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74930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3"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57150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9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92075</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400" w:lineRule="exact"/>
        <w:rPr>
          <w:sz w:val="24"/>
          <w:szCs w:val="24"/>
          <w:color w:val="auto"/>
        </w:rPr>
      </w:pPr>
    </w:p>
    <w:tbl>
      <w:tblPr>
        <w:tblLayout w:type="fixed"/>
        <w:tblInd w:w="1140" w:type="dxa"/>
        <w:tblCellMar>
          <w:top w:w="0" w:type="dxa"/>
          <w:left w:w="0" w:type="dxa"/>
          <w:bottom w:w="0" w:type="dxa"/>
          <w:right w:w="0" w:type="dxa"/>
        </w:tblCellMar>
      </w:tblPr>
      <w:tr>
        <w:trPr>
          <w:trHeight w:val="227"/>
        </w:trPr>
        <w:tc>
          <w:tcPr>
            <w:tcW w:w="4160" w:type="dxa"/>
            <w:vAlign w:val="bottom"/>
          </w:tcPr>
          <w:p>
            <w:pPr>
              <w:jc w:val="center"/>
              <w:ind w:right="364"/>
              <w:spacing w:after="0"/>
              <w:rPr>
                <w:sz w:val="20"/>
                <w:szCs w:val="20"/>
                <w:color w:val="auto"/>
              </w:rPr>
            </w:pPr>
            <w:r>
              <w:rPr>
                <w:rFonts w:ascii="Arial" w:cs="Arial" w:eastAsia="Arial" w:hAnsi="Arial"/>
                <w:sz w:val="16"/>
                <w:szCs w:val="16"/>
                <w:b w:val="1"/>
                <w:bCs w:val="1"/>
                <w:color w:val="auto"/>
              </w:rPr>
              <w:t>Delaware</w:t>
            </w:r>
          </w:p>
        </w:tc>
        <w:tc>
          <w:tcPr>
            <w:tcW w:w="3820" w:type="dxa"/>
            <w:vAlign w:val="bottom"/>
          </w:tcPr>
          <w:p>
            <w:pPr>
              <w:jc w:val="center"/>
              <w:ind w:left="384"/>
              <w:spacing w:after="0"/>
              <w:rPr>
                <w:sz w:val="20"/>
                <w:szCs w:val="20"/>
                <w:color w:val="auto"/>
              </w:rPr>
            </w:pPr>
            <w:r>
              <w:rPr>
                <w:rFonts w:ascii="Arial" w:cs="Arial" w:eastAsia="Arial" w:hAnsi="Arial"/>
                <w:sz w:val="16"/>
                <w:szCs w:val="16"/>
                <w:b w:val="1"/>
                <w:bCs w:val="1"/>
                <w:color w:val="auto"/>
              </w:rPr>
              <w:t>75-1825172</w:t>
            </w:r>
          </w:p>
        </w:tc>
      </w:tr>
      <w:tr>
        <w:trPr>
          <w:trHeight w:val="184"/>
        </w:trPr>
        <w:tc>
          <w:tcPr>
            <w:tcW w:w="4160" w:type="dxa"/>
            <w:vAlign w:val="bottom"/>
          </w:tcPr>
          <w:p>
            <w:pPr>
              <w:jc w:val="center"/>
              <w:ind w:right="364"/>
              <w:spacing w:after="0"/>
              <w:rPr>
                <w:sz w:val="20"/>
                <w:szCs w:val="20"/>
                <w:color w:val="auto"/>
              </w:rPr>
            </w:pPr>
            <w:r>
              <w:rPr>
                <w:rFonts w:ascii="Arial" w:cs="Arial" w:eastAsia="Arial" w:hAnsi="Arial"/>
                <w:sz w:val="14"/>
                <w:szCs w:val="14"/>
                <w:color w:val="auto"/>
              </w:rPr>
              <w:t>(State or other jurisdiction of incorporation or organization)</w:t>
            </w:r>
          </w:p>
        </w:tc>
        <w:tc>
          <w:tcPr>
            <w:tcW w:w="3820" w:type="dxa"/>
            <w:vAlign w:val="bottom"/>
          </w:tcPr>
          <w:p>
            <w:pPr>
              <w:jc w:val="center"/>
              <w:ind w:left="384"/>
              <w:spacing w:after="0"/>
              <w:rPr>
                <w:sz w:val="20"/>
                <w:szCs w:val="20"/>
                <w:color w:val="auto"/>
              </w:rPr>
            </w:pPr>
            <w:r>
              <w:rPr>
                <w:rFonts w:ascii="Arial" w:cs="Arial" w:eastAsia="Arial" w:hAnsi="Arial"/>
                <w:sz w:val="14"/>
                <w:szCs w:val="14"/>
                <w:color w:val="auto"/>
              </w:rPr>
              <w:t>(I.R.S. Employer Identification No.)</w:t>
            </w:r>
          </w:p>
        </w:tc>
      </w:tr>
      <w:tr>
        <w:trPr>
          <w:trHeight w:val="234"/>
        </w:trPr>
        <w:tc>
          <w:tcPr>
            <w:tcW w:w="4160" w:type="dxa"/>
            <w:vAlign w:val="bottom"/>
          </w:tcPr>
          <w:p>
            <w:pPr>
              <w:ind w:left="360"/>
              <w:spacing w:after="0"/>
              <w:rPr>
                <w:sz w:val="20"/>
                <w:szCs w:val="20"/>
                <w:color w:val="auto"/>
              </w:rPr>
            </w:pPr>
            <w:r>
              <w:rPr>
                <w:rFonts w:ascii="Arial" w:cs="Arial" w:eastAsia="Arial" w:hAnsi="Arial"/>
                <w:sz w:val="16"/>
                <w:szCs w:val="16"/>
                <w:b w:val="1"/>
                <w:bCs w:val="1"/>
                <w:color w:val="auto"/>
              </w:rPr>
              <w:t>1 Skyview Drive, Fort Worth,  Texas    76155</w:t>
            </w:r>
          </w:p>
        </w:tc>
        <w:tc>
          <w:tcPr>
            <w:tcW w:w="3820" w:type="dxa"/>
            <w:vAlign w:val="bottom"/>
          </w:tcPr>
          <w:p>
            <w:pPr>
              <w:jc w:val="right"/>
              <w:ind w:right="884"/>
              <w:spacing w:after="0"/>
              <w:rPr>
                <w:sz w:val="20"/>
                <w:szCs w:val="20"/>
                <w:color w:val="auto"/>
              </w:rPr>
            </w:pPr>
            <w:r>
              <w:rPr>
                <w:rFonts w:ascii="Arial" w:cs="Arial" w:eastAsia="Arial" w:hAnsi="Arial"/>
                <w:sz w:val="16"/>
                <w:szCs w:val="16"/>
                <w:b w:val="1"/>
                <w:bCs w:val="1"/>
                <w:color w:val="auto"/>
              </w:rPr>
              <w:t>(682) 278-9000</w:t>
            </w:r>
          </w:p>
        </w:tc>
      </w:tr>
      <w:tr>
        <w:trPr>
          <w:trHeight w:val="184"/>
        </w:trPr>
        <w:tc>
          <w:tcPr>
            <w:tcW w:w="4160" w:type="dxa"/>
            <w:vAlign w:val="bottom"/>
          </w:tcPr>
          <w:p>
            <w:pPr>
              <w:jc w:val="center"/>
              <w:ind w:right="364"/>
              <w:spacing w:after="0"/>
              <w:rPr>
                <w:sz w:val="20"/>
                <w:szCs w:val="20"/>
                <w:color w:val="auto"/>
              </w:rPr>
            </w:pPr>
            <w:r>
              <w:rPr>
                <w:rFonts w:ascii="Arial" w:cs="Arial" w:eastAsia="Arial" w:hAnsi="Arial"/>
                <w:sz w:val="14"/>
                <w:szCs w:val="14"/>
                <w:color w:val="auto"/>
              </w:rPr>
              <w:t>(Address of principal executive offices, including zip code)</w:t>
            </w:r>
          </w:p>
        </w:tc>
        <w:tc>
          <w:tcPr>
            <w:tcW w:w="3820" w:type="dxa"/>
            <w:vAlign w:val="bottom"/>
          </w:tcPr>
          <w:p>
            <w:pPr>
              <w:jc w:val="center"/>
              <w:ind w:left="384"/>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92075</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9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rPr>
              <w:t>Delaware</w:t>
            </w:r>
          </w:p>
        </w:tc>
        <w:tc>
          <w:tcPr>
            <w:tcW w:w="1780" w:type="dxa"/>
            <w:vAlign w:val="bottom"/>
          </w:tcPr>
          <w:p>
            <w:pPr>
              <w:spacing w:after="0"/>
              <w:rPr>
                <w:sz w:val="19"/>
                <w:szCs w:val="19"/>
                <w:color w:val="auto"/>
              </w:rPr>
            </w:pPr>
          </w:p>
        </w:tc>
        <w:tc>
          <w:tcPr>
            <w:tcW w:w="4500" w:type="dxa"/>
            <w:vAlign w:val="bottom"/>
            <w:gridSpan w:val="3"/>
          </w:tcPr>
          <w:p>
            <w:pPr>
              <w:jc w:val="center"/>
              <w:ind w:right="3019"/>
              <w:spacing w:after="0"/>
              <w:rPr>
                <w:sz w:val="20"/>
                <w:szCs w:val="20"/>
                <w:color w:val="auto"/>
              </w:rPr>
            </w:pPr>
            <w:r>
              <w:rPr>
                <w:rFonts w:ascii="Arial" w:cs="Arial" w:eastAsia="Arial" w:hAnsi="Arial"/>
                <w:sz w:val="16"/>
                <w:szCs w:val="16"/>
                <w:b w:val="1"/>
                <w:bCs w:val="1"/>
                <w:color w:val="auto"/>
              </w:rPr>
              <w:t>13-1502798</w:t>
            </w:r>
          </w:p>
        </w:tc>
        <w:tc>
          <w:tcPr>
            <w:tcW w:w="0" w:type="dxa"/>
            <w:vAlign w:val="bottom"/>
          </w:tcPr>
          <w:p>
            <w:pPr>
              <w:spacing w:after="0"/>
              <w:rPr>
                <w:sz w:val="1"/>
                <w:szCs w:val="1"/>
                <w:color w:val="auto"/>
              </w:rPr>
            </w:pPr>
          </w:p>
        </w:tc>
      </w:tr>
      <w:tr>
        <w:trPr>
          <w:trHeight w:val="185"/>
        </w:trPr>
        <w:tc>
          <w:tcPr>
            <w:tcW w:w="4960" w:type="dxa"/>
            <w:vAlign w:val="bottom"/>
            <w:gridSpan w:val="3"/>
          </w:tcPr>
          <w:p>
            <w:pPr>
              <w:jc w:val="center"/>
              <w:ind w:left="961"/>
              <w:spacing w:after="0"/>
              <w:rPr>
                <w:sz w:val="20"/>
                <w:szCs w:val="20"/>
                <w:color w:val="auto"/>
              </w:rPr>
            </w:pPr>
            <w:r>
              <w:rPr>
                <w:rFonts w:ascii="Arial" w:cs="Arial" w:eastAsia="Arial" w:hAnsi="Arial"/>
                <w:sz w:val="14"/>
                <w:szCs w:val="14"/>
                <w:color w:val="auto"/>
              </w:rPr>
              <w:t>(State or other jurisdiction of incorporation or organization)</w:t>
            </w:r>
          </w:p>
        </w:tc>
        <w:tc>
          <w:tcPr>
            <w:tcW w:w="6280" w:type="dxa"/>
            <w:vAlign w:val="bottom"/>
            <w:gridSpan w:val="4"/>
          </w:tcPr>
          <w:p>
            <w:pPr>
              <w:jc w:val="center"/>
              <w:ind w:right="123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34"/>
        </w:trPr>
        <w:tc>
          <w:tcPr>
            <w:tcW w:w="4960" w:type="dxa"/>
            <w:vAlign w:val="bottom"/>
            <w:gridSpan w:val="3"/>
          </w:tcPr>
          <w:p>
            <w:pPr>
              <w:ind w:left="1500"/>
              <w:spacing w:after="0"/>
              <w:rPr>
                <w:sz w:val="20"/>
                <w:szCs w:val="20"/>
                <w:color w:val="auto"/>
              </w:rPr>
            </w:pPr>
            <w:r>
              <w:rPr>
                <w:rFonts w:ascii="Arial" w:cs="Arial" w:eastAsia="Arial" w:hAnsi="Arial"/>
                <w:sz w:val="16"/>
                <w:szCs w:val="16"/>
                <w:b w:val="1"/>
                <w:bCs w:val="1"/>
                <w:color w:val="auto"/>
              </w:rPr>
              <w:t>1 Skyview Drive, Fort Worth,  Texas    76155</w:t>
            </w:r>
          </w:p>
        </w:tc>
        <w:tc>
          <w:tcPr>
            <w:tcW w:w="1780" w:type="dxa"/>
            <w:vAlign w:val="bottom"/>
          </w:tcPr>
          <w:p>
            <w:pPr>
              <w:spacing w:after="0"/>
              <w:rPr>
                <w:sz w:val="20"/>
                <w:szCs w:val="20"/>
                <w:color w:val="auto"/>
              </w:rPr>
            </w:pPr>
          </w:p>
        </w:tc>
        <w:tc>
          <w:tcPr>
            <w:tcW w:w="4500" w:type="dxa"/>
            <w:vAlign w:val="bottom"/>
            <w:gridSpan w:val="3"/>
          </w:tcPr>
          <w:p>
            <w:pPr>
              <w:jc w:val="right"/>
              <w:ind w:right="2999"/>
              <w:spacing w:after="0"/>
              <w:rPr>
                <w:sz w:val="20"/>
                <w:szCs w:val="20"/>
                <w:color w:val="auto"/>
              </w:rPr>
            </w:pPr>
            <w:r>
              <w:rPr>
                <w:rFonts w:ascii="Arial" w:cs="Arial" w:eastAsia="Arial" w:hAnsi="Arial"/>
                <w:sz w:val="16"/>
                <w:szCs w:val="16"/>
                <w:b w:val="1"/>
                <w:bCs w:val="1"/>
                <w:color w:val="auto"/>
              </w:rPr>
              <w:t>(682) 278-9000</w:t>
            </w:r>
          </w:p>
        </w:tc>
        <w:tc>
          <w:tcPr>
            <w:tcW w:w="0" w:type="dxa"/>
            <w:vAlign w:val="bottom"/>
          </w:tcPr>
          <w:p>
            <w:pPr>
              <w:spacing w:after="0"/>
              <w:rPr>
                <w:sz w:val="1"/>
                <w:szCs w:val="1"/>
                <w:color w:val="auto"/>
              </w:rPr>
            </w:pPr>
          </w:p>
        </w:tc>
      </w:tr>
      <w:tr>
        <w:trPr>
          <w:trHeight w:val="185"/>
        </w:trPr>
        <w:tc>
          <w:tcPr>
            <w:tcW w:w="4960" w:type="dxa"/>
            <w:vAlign w:val="bottom"/>
            <w:gridSpan w:val="3"/>
          </w:tcPr>
          <w:p>
            <w:pPr>
              <w:jc w:val="center"/>
              <w:ind w:left="961"/>
              <w:spacing w:after="0"/>
              <w:rPr>
                <w:sz w:val="20"/>
                <w:szCs w:val="20"/>
                <w:color w:val="auto"/>
              </w:rPr>
            </w:pPr>
            <w:r>
              <w:rPr>
                <w:rFonts w:ascii="Arial" w:cs="Arial" w:eastAsia="Arial" w:hAnsi="Arial"/>
                <w:sz w:val="14"/>
                <w:szCs w:val="14"/>
                <w:color w:val="auto"/>
              </w:rPr>
              <w:t>(Address of principal executive offices, including zip code)</w:t>
            </w:r>
          </w:p>
        </w:tc>
        <w:tc>
          <w:tcPr>
            <w:tcW w:w="6280" w:type="dxa"/>
            <w:vAlign w:val="bottom"/>
            <w:gridSpan w:val="4"/>
          </w:tcPr>
          <w:p>
            <w:pPr>
              <w:jc w:val="center"/>
              <w:ind w:right="1239"/>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370"/>
        </w:trPr>
        <w:tc>
          <w:tcPr>
            <w:tcW w:w="496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960" w:type="dxa"/>
            <w:vAlign w:val="bottom"/>
            <w:gridSpan w:val="3"/>
          </w:tcPr>
          <w:p>
            <w:pPr>
              <w:jc w:val="center"/>
              <w:ind w:right="1100"/>
              <w:spacing w:after="0"/>
              <w:rPr>
                <w:sz w:val="20"/>
                <w:szCs w:val="20"/>
                <w:color w:val="auto"/>
              </w:rPr>
            </w:pPr>
            <w:r>
              <w:rPr>
                <w:rFonts w:ascii="Arial" w:cs="Arial" w:eastAsia="Arial" w:hAnsi="Arial"/>
                <w:sz w:val="16"/>
                <w:szCs w:val="16"/>
                <w:b w:val="1"/>
                <w:bCs w:val="1"/>
                <w:color w:val="auto"/>
              </w:rPr>
              <w:t>Title of each class</w:t>
            </w:r>
          </w:p>
        </w:tc>
        <w:tc>
          <w:tcPr>
            <w:tcW w:w="1780" w:type="dxa"/>
            <w:vAlign w:val="bottom"/>
          </w:tcPr>
          <w:p>
            <w:pPr>
              <w:jc w:val="center"/>
              <w:ind w:right="103"/>
              <w:spacing w:after="0"/>
              <w:rPr>
                <w:sz w:val="20"/>
                <w:szCs w:val="20"/>
                <w:color w:val="auto"/>
              </w:rPr>
            </w:pPr>
            <w:r>
              <w:rPr>
                <w:rFonts w:ascii="Arial" w:cs="Arial" w:eastAsia="Arial" w:hAnsi="Arial"/>
                <w:sz w:val="16"/>
                <w:szCs w:val="16"/>
                <w:b w:val="1"/>
                <w:bCs w:val="1"/>
                <w:color w:val="auto"/>
                <w:w w:val="99"/>
              </w:rPr>
              <w:t>Trading Symbol(s)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56"/>
        </w:trPr>
        <w:tc>
          <w:tcPr>
            <w:tcW w:w="38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103"/>
              <w:spacing w:after="0" w:line="156" w:lineRule="exact"/>
              <w:rPr>
                <w:sz w:val="20"/>
                <w:szCs w:val="20"/>
                <w:color w:val="auto"/>
              </w:rPr>
            </w:pPr>
            <w:r>
              <w:rPr>
                <w:rFonts w:ascii="Arial" w:cs="Arial" w:eastAsia="Arial" w:hAnsi="Arial"/>
                <w:sz w:val="16"/>
                <w:szCs w:val="16"/>
                <w:b w:val="1"/>
                <w:bCs w:val="1"/>
                <w:color w:val="auto"/>
                <w:w w:val="97"/>
              </w:rPr>
              <w:t>AAL</w:t>
            </w: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145"/>
        </w:trPr>
        <w:tc>
          <w:tcPr>
            <w:tcW w:w="4960" w:type="dxa"/>
            <w:vAlign w:val="bottom"/>
            <w:gridSpan w:val="3"/>
            <w:vMerge w:val="restart"/>
          </w:tcPr>
          <w:p>
            <w:pPr>
              <w:jc w:val="center"/>
              <w:ind w:right="1100"/>
              <w:spacing w:after="0"/>
              <w:rPr>
                <w:sz w:val="20"/>
                <w:szCs w:val="20"/>
                <w:color w:val="auto"/>
              </w:rPr>
            </w:pPr>
            <w:r>
              <w:rPr>
                <w:rFonts w:ascii="Arial" w:cs="Arial" w:eastAsia="Arial" w:hAnsi="Arial"/>
                <w:sz w:val="16"/>
                <w:szCs w:val="16"/>
                <w:b w:val="1"/>
                <w:bCs w:val="1"/>
                <w:color w:val="auto"/>
              </w:rPr>
              <w:t>Preferred Stock Purchase Rights</w:t>
            </w:r>
          </w:p>
        </w:tc>
        <w:tc>
          <w:tcPr>
            <w:tcW w:w="1780" w:type="dxa"/>
            <w:vAlign w:val="bottom"/>
            <w:vMerge w:val="restart"/>
          </w:tcPr>
          <w:p>
            <w:pPr>
              <w:jc w:val="center"/>
              <w:ind w:right="103"/>
              <w:spacing w:after="0"/>
              <w:rPr>
                <w:sz w:val="20"/>
                <w:szCs w:val="20"/>
                <w:color w:val="auto"/>
              </w:rPr>
            </w:pPr>
            <w:r>
              <w:rPr>
                <w:rFonts w:ascii="Arial" w:cs="Arial" w:eastAsia="Arial" w:hAnsi="Arial"/>
                <w:sz w:val="16"/>
                <w:szCs w:val="16"/>
                <w:color w:val="auto"/>
                <w:w w:val="99"/>
              </w:rPr>
              <w:t>—</w:t>
            </w:r>
          </w:p>
        </w:tc>
        <w:tc>
          <w:tcPr>
            <w:tcW w:w="4500" w:type="dxa"/>
            <w:vAlign w:val="bottom"/>
            <w:gridSpan w:val="3"/>
          </w:tcPr>
          <w:p>
            <w:pPr>
              <w:jc w:val="center"/>
              <w:ind w:left="828"/>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130"/>
        </w:trPr>
        <w:tc>
          <w:tcPr>
            <w:tcW w:w="4960" w:type="dxa"/>
            <w:vAlign w:val="bottom"/>
            <w:gridSpan w:val="3"/>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96"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2"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72" w:lineRule="exact"/>
        <w:rPr>
          <w:sz w:val="24"/>
          <w:szCs w:val="24"/>
          <w:color w:val="auto"/>
        </w:rPr>
      </w:pPr>
    </w:p>
    <w:p>
      <w:pPr>
        <w:jc w:val="both"/>
        <w:ind w:firstLine="162"/>
        <w:spacing w:after="0" w:line="29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8"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72" w:lineRule="exact"/>
        <w:rPr>
          <w:sz w:val="24"/>
          <w:szCs w:val="24"/>
          <w:color w:val="auto"/>
        </w:rPr>
      </w:pPr>
    </w:p>
    <w:p>
      <w:pPr>
        <w:jc w:val="both"/>
        <w:ind w:firstLine="162"/>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ectPr>
          <w:pgSz w:w="11900" w:h="16838" w:orient="portrait"/>
          <w:cols w:equalWidth="0" w:num="1">
            <w:col w:w="11240"/>
          </w:cols>
          <w:pgMar w:left="320" w:top="1093" w:right="339" w:bottom="0" w:gutter="0" w:footer="0" w:header="0"/>
        </w:sectPr>
      </w:pPr>
    </w:p>
    <w:p>
      <w:pPr>
        <w:spacing w:after="0"/>
        <w:rPr>
          <w:sz w:val="20"/>
          <w:szCs w:val="20"/>
          <w:color w:val="auto"/>
        </w:rPr>
      </w:pPr>
      <w:r>
        <w:rPr>
          <w:rFonts w:ascii="Arial" w:cs="Arial" w:eastAsia="Arial" w:hAnsi="Arial"/>
          <w:sz w:val="16"/>
          <w:szCs w:val="16"/>
          <w:color w:val="auto"/>
        </w:rPr>
        <w:t>Rule 12b-2 of the Exchange Act.</w:t>
      </w:r>
    </w:p>
    <w:p>
      <w:pPr>
        <w:spacing w:after="0" w:line="19" w:lineRule="exact"/>
        <w:rPr>
          <w:sz w:val="24"/>
          <w:szCs w:val="24"/>
          <w:color w:val="auto"/>
        </w:rPr>
      </w:pPr>
    </w:p>
    <w:p>
      <w:pPr>
        <w:ind w:left="20"/>
        <w:spacing w:after="0" w:line="331" w:lineRule="exact"/>
        <w:tabs>
          <w:tab w:leader="none" w:pos="1920" w:val="left"/>
        </w:tabs>
        <w:rPr>
          <w:sz w:val="20"/>
          <w:szCs w:val="20"/>
          <w:color w:val="auto"/>
        </w:rPr>
      </w:pPr>
      <w:r>
        <w:rPr>
          <w:rFonts w:ascii="Arial" w:cs="Arial" w:eastAsia="Arial" w:hAnsi="Arial"/>
          <w:sz w:val="13"/>
          <w:szCs w:val="13"/>
          <w:color w:val="auto"/>
        </w:rPr>
        <w:t>American Airlines Group Inc.</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Accelerated filer</w:t>
      </w:r>
    </w:p>
    <w:p>
      <w:pPr>
        <w:ind w:left="20"/>
        <w:spacing w:after="0" w:line="325" w:lineRule="exact"/>
        <w:tabs>
          <w:tab w:leader="none" w:pos="1920" w:val="left"/>
        </w:tabs>
        <w:rPr>
          <w:sz w:val="20"/>
          <w:szCs w:val="20"/>
          <w:color w:val="auto"/>
        </w:rPr>
      </w:pPr>
      <w:r>
        <w:rPr>
          <w:rFonts w:ascii="Arial" w:cs="Arial" w:eastAsia="Arial" w:hAnsi="Arial"/>
          <w:sz w:val="13"/>
          <w:szCs w:val="13"/>
          <w:color w:val="auto"/>
        </w:rPr>
        <w:t>American Airlines, Inc.</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403"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381"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2">
            <w:col w:w="4960" w:space="280"/>
            <w:col w:w="6000"/>
          </w:cols>
          <w:pgMar w:left="320" w:top="1093" w:right="339" w:bottom="0" w:gutter="0" w:footer="0" w:header="0"/>
          <w:type w:val="continuous"/>
        </w:sectPr>
      </w:pPr>
    </w:p>
    <w:p>
      <w:pPr>
        <w:spacing w:after="0" w:line="167" w:lineRule="exact"/>
        <w:rPr>
          <w:sz w:val="24"/>
          <w:szCs w:val="24"/>
          <w:color w:val="auto"/>
        </w:rPr>
      </w:pPr>
    </w:p>
    <w:p>
      <w:pPr>
        <w:ind w:right="20" w:firstLine="162"/>
        <w:spacing w:after="0" w:line="27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5"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100"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189"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8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05"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13, 2023, there were 653,540,550 shares of American Airlines Group Inc. common stock outstanding.</w:t>
      </w:r>
    </w:p>
    <w:p>
      <w:pPr>
        <w:spacing w:after="0" w:line="113" w:lineRule="exact"/>
        <w:rPr>
          <w:sz w:val="24"/>
          <w:szCs w:val="24"/>
          <w:color w:val="auto"/>
        </w:rPr>
      </w:pPr>
    </w:p>
    <w:p>
      <w:pPr>
        <w:ind w:firstLine="162"/>
        <w:spacing w:after="0" w:line="293" w:lineRule="auto"/>
        <w:rPr>
          <w:sz w:val="20"/>
          <w:szCs w:val="20"/>
          <w:color w:val="auto"/>
        </w:rPr>
      </w:pPr>
      <w:r>
        <w:rPr>
          <w:rFonts w:ascii="Arial" w:cs="Arial" w:eastAsia="Arial" w:hAnsi="Arial"/>
          <w:sz w:val="16"/>
          <w:szCs w:val="16"/>
          <w:color w:val="auto"/>
        </w:rPr>
        <w:t>As of October 13, 2023,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93"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539115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September 30,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11"/>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0" w:type="dxa"/>
            <w:vAlign w:val="bottom"/>
            <w:gridSpan w:val="11"/>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620" w:type="dxa"/>
            <w:vAlign w:val="bottom"/>
            <w:gridSpan w:val="2"/>
          </w:tcPr>
          <w:p>
            <w:pPr>
              <w:spacing w:after="0" w:line="189" w:lineRule="exact"/>
              <w:rPr>
                <w:sz w:val="20"/>
                <w:szCs w:val="20"/>
                <w:color w:val="auto"/>
              </w:rPr>
            </w:pPr>
            <w:r>
              <w:rPr>
                <w:rFonts w:ascii="Arial" w:cs="Arial" w:eastAsia="Arial" w:hAnsi="Arial"/>
                <w:sz w:val="18"/>
                <w:szCs w:val="18"/>
                <w:color w:val="auto"/>
              </w:rPr>
              <w:t>Item 1A.</w:t>
            </w:r>
          </w:p>
        </w:tc>
        <w:tc>
          <w:tcPr>
            <w:tcW w:w="6300" w:type="dxa"/>
            <w:vAlign w:val="bottom"/>
            <w:gridSpan w:val="14"/>
          </w:tcPr>
          <w:p>
            <w:pPr>
              <w:spacing w:after="0" w:line="189" w:lineRule="exact"/>
              <w:rPr>
                <w:sz w:val="20"/>
                <w:szCs w:val="20"/>
                <w:color w:val="auto"/>
              </w:rPr>
            </w:pPr>
            <w:r>
              <w:rPr>
                <w:rFonts w:ascii="Arial" w:cs="Arial" w:eastAsia="Arial" w:hAnsi="Arial"/>
                <w:sz w:val="18"/>
                <w:szCs w:val="18"/>
                <w:color w:val="0000FF"/>
                <w:w w:val="99"/>
              </w:rPr>
              <w:t>Condensed Consolidated Financial Statements of American Airlines Group Inc.</w:t>
            </w:r>
          </w:p>
        </w:tc>
        <w:tc>
          <w:tcPr>
            <w:tcW w:w="2700" w:type="dxa"/>
            <w:vAlign w:val="bottom"/>
            <w:gridSpan w:val="2"/>
          </w:tcPr>
          <w:p>
            <w:pPr>
              <w:spacing w:after="0"/>
              <w:rPr>
                <w:sz w:val="16"/>
                <w:szCs w:val="16"/>
                <w:color w:val="auto"/>
              </w:rPr>
            </w:pPr>
          </w:p>
        </w:tc>
        <w:tc>
          <w:tcPr>
            <w:tcW w:w="480" w:type="dxa"/>
            <w:vAlign w:val="bottom"/>
            <w:gridSpan w:val="2"/>
          </w:tcPr>
          <w:p>
            <w:pPr>
              <w:spacing w:after="0"/>
              <w:rPr>
                <w:sz w:val="16"/>
                <w:szCs w:val="16"/>
                <w:color w:val="auto"/>
              </w:rPr>
            </w:pPr>
          </w:p>
        </w:tc>
        <w:tc>
          <w:tcPr>
            <w:tcW w:w="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180" w:type="dxa"/>
            <w:vAlign w:val="bottom"/>
            <w:gridSpan w:val="7"/>
          </w:tcPr>
          <w:p>
            <w:pPr>
              <w:spacing w:after="0"/>
              <w:rPr>
                <w:sz w:val="18"/>
                <w:szCs w:val="18"/>
                <w:color w:val="auto"/>
              </w:rPr>
            </w:pPr>
          </w:p>
        </w:tc>
        <w:tc>
          <w:tcPr>
            <w:tcW w:w="27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2340" w:type="dxa"/>
            <w:vAlign w:val="bottom"/>
            <w:gridSpan w:val="6"/>
          </w:tcPr>
          <w:p>
            <w:pPr>
              <w:spacing w:after="0"/>
              <w:rPr>
                <w:sz w:val="18"/>
                <w:szCs w:val="18"/>
                <w:color w:val="auto"/>
              </w:rPr>
            </w:pPr>
          </w:p>
        </w:tc>
        <w:tc>
          <w:tcPr>
            <w:tcW w:w="3320" w:type="dxa"/>
            <w:vAlign w:val="bottom"/>
            <w:gridSpan w:val="4"/>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8"/>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Deficit</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3"/>
          </w:tcPr>
          <w:p>
            <w:pPr>
              <w:spacing w:after="0"/>
              <w:rPr>
                <w:sz w:val="20"/>
                <w:szCs w:val="20"/>
                <w:color w:val="auto"/>
              </w:rPr>
            </w:pPr>
            <w:r>
              <w:rPr>
                <w:rFonts w:ascii="Arial" w:cs="Arial" w:eastAsia="Arial" w:hAnsi="Arial"/>
                <w:sz w:val="18"/>
                <w:szCs w:val="18"/>
                <w:color w:val="0000FF"/>
                <w:w w:val="99"/>
              </w:rPr>
              <w:t>Condensed Consolidated Financial Statements of American Airlines, Inc.</w:t>
            </w:r>
          </w:p>
        </w:tc>
        <w:tc>
          <w:tcPr>
            <w:tcW w:w="320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1680" w:type="dxa"/>
            <w:vAlign w:val="bottom"/>
            <w:gridSpan w:val="6"/>
          </w:tcPr>
          <w:p>
            <w:pPr>
              <w:spacing w:after="0"/>
              <w:rPr>
                <w:sz w:val="18"/>
                <w:szCs w:val="18"/>
                <w:color w:val="auto"/>
              </w:rPr>
            </w:pPr>
          </w:p>
        </w:tc>
        <w:tc>
          <w:tcPr>
            <w:tcW w:w="320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Arial" w:cs="Arial" w:eastAsia="Arial" w:hAnsi="Arial"/>
                <w:sz w:val="18"/>
                <w:szCs w:val="18"/>
                <w:color w:val="0000FF"/>
                <w:w w:val="99"/>
              </w:rPr>
              <w:t>Condensed Consolidated Balance Sheets</w:t>
            </w:r>
          </w:p>
        </w:tc>
        <w:tc>
          <w:tcPr>
            <w:tcW w:w="2340" w:type="dxa"/>
            <w:vAlign w:val="bottom"/>
            <w:gridSpan w:val="6"/>
          </w:tcPr>
          <w:p>
            <w:pPr>
              <w:spacing w:after="0"/>
              <w:rPr>
                <w:sz w:val="18"/>
                <w:szCs w:val="18"/>
                <w:color w:val="auto"/>
              </w:rPr>
            </w:pPr>
          </w:p>
        </w:tc>
        <w:tc>
          <w:tcPr>
            <w:tcW w:w="332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gridSpan w:val="11"/>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412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9"/>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60" w:type="dxa"/>
            <w:vAlign w:val="bottom"/>
            <w:gridSpan w:val="2"/>
          </w:tcPr>
          <w:p>
            <w:pPr>
              <w:spacing w:after="0"/>
              <w:rPr>
                <w:sz w:val="18"/>
                <w:szCs w:val="18"/>
                <w:color w:val="auto"/>
              </w:rPr>
            </w:pPr>
          </w:p>
        </w:tc>
        <w:tc>
          <w:tcPr>
            <w:tcW w:w="412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9"/>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6"/>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4280" w:type="dxa"/>
            <w:vAlign w:val="bottom"/>
            <w:gridSpan w:val="7"/>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62</w:t>
            </w: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11"/>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3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620" w:type="dxa"/>
            <w:vAlign w:val="bottom"/>
            <w:gridSpan w:val="2"/>
          </w:tcPr>
          <w:p>
            <w:pPr>
              <w:spacing w:after="0" w:line="189" w:lineRule="exact"/>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500" w:type="dxa"/>
            <w:vAlign w:val="bottom"/>
            <w:gridSpan w:val="12"/>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50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FF"/>
              </w:rPr>
              <w:t>92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760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92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93</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0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Downturns in economic conditions could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189"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188"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189"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8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loss of key personnel upon whom we depend to operate our business or the inability to attract and develop additional qualified personnel could adversely affect our business.</w:t>
      </w:r>
    </w:p>
    <w:p>
      <w:pPr>
        <w:spacing w:after="0" w:line="18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89"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or our inability to otherwise maintain labor costs at competitive levels and hire and retain a sufficient number of employees may adversely affect our operations and financial performance.</w:t>
      </w:r>
    </w:p>
    <w:p>
      <w:pPr>
        <w:spacing w:after="0" w:line="18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8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to our business model that are designed to increase revenues may not be successful and may cause operational difficulties or decreased demand.</w:t>
      </w:r>
    </w:p>
    <w:p>
      <w:pPr>
        <w:spacing w:after="0" w:line="18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utilize our NOLs and other carryforwards may be limited.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right="2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189"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89"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191"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89"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8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or terrorist attacks; the travel industry continues to face ongoing security concerns.</w:t>
      </w:r>
    </w:p>
    <w:p>
      <w:pPr>
        <w:spacing w:after="0" w:line="120" w:lineRule="exact"/>
        <w:rPr>
          <w:rFonts w:ascii="Arial" w:cs="Arial" w:eastAsia="Arial" w:hAnsi="Arial"/>
          <w:sz w:val="22"/>
          <w:szCs w:val="22"/>
          <w:color w:val="auto"/>
        </w:rPr>
      </w:pPr>
    </w:p>
    <w:p>
      <w:pPr>
        <w:ind w:left="660" w:right="20" w:hanging="328"/>
        <w:spacing w:after="0" w:line="30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changing consumer preferences and the potential increased impacts of severe weather events on our operations and infrastructure.</w:t>
      </w:r>
    </w:p>
    <w:p>
      <w:pPr>
        <w:spacing w:after="0" w:line="9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A shortage of pilots or other personnel has in the past and could continue to materially adversely affect our business.</w:t>
      </w:r>
    </w:p>
    <w:p>
      <w:pPr>
        <w:spacing w:after="0" w:line="189"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 Delays in scheduled aircraft deliveries or other loss of anticipated fleet capacity, and failure of new aircraft to perform as expected, may adversely impact our business, results of operations and financial condition.</w:t>
      </w:r>
    </w:p>
    <w:p>
      <w:pPr>
        <w:spacing w:after="0" w:line="19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189" w:lineRule="exact"/>
        <w:rPr>
          <w:rFonts w:ascii="Arial" w:cs="Arial" w:eastAsia="Arial" w:hAnsi="Arial"/>
          <w:sz w:val="22"/>
          <w:szCs w:val="22"/>
          <w:color w:val="auto"/>
        </w:rPr>
      </w:pPr>
    </w:p>
    <w:p>
      <w:pPr>
        <w:jc w:val="both"/>
        <w:ind w:left="660" w:hanging="328"/>
        <w:spacing w:after="0" w:line="24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Evolving cybersecurity and data privacy requirements (in particular, compliance with applicable federal, state and foreign laws relating to handling of personal information about individuals)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164"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rely on third-party distribution channels and must manage effectively the costs, rights and functionality of these channels.</w:t>
      </w:r>
    </w:p>
    <w:p>
      <w:pPr>
        <w:spacing w:after="0" w:line="189"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00"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9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12,421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32,438</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35,783</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9,773</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1,949</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35,558</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654,119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653,241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650,145</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-4902835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(783)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0"/>
        </w:trPr>
        <w:tc>
          <w:tcPr>
            <w:tcW w:w="5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w:t>
            </w: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10,005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8,525</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995</w:t>
            </w: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2,138</w:t>
            </w:r>
          </w:p>
        </w:tc>
      </w:tr>
      <w:tr>
        <w:trPr>
          <w:trHeight w:val="206"/>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2,279</w:t>
            </w:r>
          </w:p>
        </w:tc>
      </w:tr>
      <w:tr>
        <w:trPr>
          <w:trHeight w:val="199"/>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892</w:t>
            </w:r>
          </w:p>
        </w:tc>
      </w:tr>
      <w:tr>
        <w:trPr>
          <w:trHeight w:val="200"/>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16,708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15,269</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39,703</w:t>
            </w: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10,156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9,913</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613</w:t>
            </w:r>
          </w:p>
        </w:tc>
      </w:tr>
      <w:tr>
        <w:trPr>
          <w:trHeight w:val="192"/>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51,889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50,229</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(21,571)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(20,029)</w:t>
            </w:r>
          </w:p>
        </w:tc>
      </w:tr>
      <w:tr>
        <w:trPr>
          <w:trHeight w:val="192"/>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30,318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30,200</w:t>
            </w:r>
          </w:p>
        </w:tc>
      </w:tr>
      <w:tr>
        <w:trPr>
          <w:trHeight w:val="207"/>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8,094</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$831 and $827, respectively</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2,053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2,059</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3,099</w:t>
            </w:r>
          </w:p>
        </w:tc>
      </w:tr>
      <w:tr>
        <w:trPr>
          <w:trHeight w:val="198"/>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1,904</w:t>
            </w:r>
          </w:p>
        </w:tc>
      </w:tr>
      <w:tr>
        <w:trPr>
          <w:trHeight w:val="200"/>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10,807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11,153</w:t>
            </w:r>
          </w:p>
        </w:tc>
      </w:tr>
      <w:tr>
        <w:trPr>
          <w:trHeight w:val="196"/>
        </w:trPr>
        <w:tc>
          <w:tcPr>
            <w:tcW w:w="758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65,711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64,716</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0"/>
        </w:trPr>
        <w:tc>
          <w:tcPr>
            <w:tcW w:w="75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 (DEFICIT)</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3,274</w:t>
            </w: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2,123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2,149</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1,713</w:t>
            </w: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7,673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6,745</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3,169</w:t>
            </w: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1,387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1,465</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2,677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2,981</w:t>
            </w:r>
          </w:p>
        </w:tc>
      </w:tr>
      <w:tr>
        <w:trPr>
          <w:trHeight w:val="192"/>
        </w:trPr>
        <w:tc>
          <w:tcPr>
            <w:tcW w:w="758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16"/>
                <w:szCs w:val="16"/>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24,380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21,496</w:t>
            </w:r>
          </w:p>
        </w:tc>
      </w:tr>
      <w:tr>
        <w:trPr>
          <w:trHeight w:val="206"/>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29,722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32,389</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2,837</w:t>
            </w: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1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5,834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5,976</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6,559</w:t>
            </w:r>
          </w:p>
        </w:tc>
      </w:tr>
      <w:tr>
        <w:trPr>
          <w:trHeight w:val="198"/>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1,258</w:t>
            </w:r>
          </w:p>
        </w:tc>
      </w:tr>
      <w:tr>
        <w:trPr>
          <w:trHeight w:val="200"/>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46,467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49,019</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49"/>
        </w:trPr>
        <w:tc>
          <w:tcPr>
            <w:tcW w:w="7580" w:type="dxa"/>
            <w:vAlign w:val="bottom"/>
          </w:tcPr>
          <w:p>
            <w:pPr>
              <w:ind w:left="360"/>
              <w:spacing w:after="0" w:line="149" w:lineRule="exact"/>
              <w:rPr>
                <w:sz w:val="20"/>
                <w:szCs w:val="20"/>
                <w:color w:val="auto"/>
              </w:rPr>
            </w:pPr>
            <w:r>
              <w:rPr>
                <w:rFonts w:ascii="Arial" w:cs="Arial" w:eastAsia="Arial" w:hAnsi="Arial"/>
                <w:sz w:val="15"/>
                <w:szCs w:val="15"/>
                <w:color w:val="auto"/>
              </w:rPr>
              <w:t>Common stock, $0.01 par value; 1,750,000,000 shares authorized, 653,504,063 shares issued and</w:t>
            </w: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2"/>
        </w:trPr>
        <w:tc>
          <w:tcPr>
            <w:tcW w:w="7580" w:type="dxa"/>
            <w:vAlign w:val="bottom"/>
          </w:tcPr>
          <w:p>
            <w:pPr>
              <w:ind w:left="360"/>
              <w:spacing w:after="0"/>
              <w:rPr>
                <w:sz w:val="20"/>
                <w:szCs w:val="20"/>
                <w:color w:val="auto"/>
              </w:rPr>
            </w:pPr>
            <w:r>
              <w:rPr>
                <w:rFonts w:ascii="Arial" w:cs="Arial" w:eastAsia="Arial" w:hAnsi="Arial"/>
                <w:sz w:val="15"/>
                <w:szCs w:val="15"/>
                <w:color w:val="auto"/>
              </w:rPr>
              <w:t>outstanding at September 30, 2023; 650,642,461 shares issued and outstanding at December 31, 2022</w:t>
            </w:r>
          </w:p>
        </w:tc>
        <w:tc>
          <w:tcPr>
            <w:tcW w:w="16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7,291</w:t>
            </w:r>
          </w:p>
        </w:tc>
      </w:tr>
      <w:tr>
        <w:trPr>
          <w:trHeight w:val="198"/>
        </w:trPr>
        <w:tc>
          <w:tcPr>
            <w:tcW w:w="758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(4,788)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(4,585)</w:t>
            </w:r>
          </w:p>
        </w:tc>
      </w:tr>
      <w:tr>
        <w:trPr>
          <w:trHeight w:val="207"/>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(7,708)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(8,511)</w:t>
            </w:r>
          </w:p>
        </w:tc>
      </w:tr>
      <w:tr>
        <w:trPr>
          <w:trHeight w:val="192"/>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stockholders’ deficit</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(5,799)</w:t>
            </w:r>
          </w:p>
        </w:tc>
      </w:tr>
      <w:tr>
        <w:trPr>
          <w:trHeight w:val="225"/>
        </w:trPr>
        <w:tc>
          <w:tcPr>
            <w:tcW w:w="75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65,711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64,716</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6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 and sale of property and equipment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13,412</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restricted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 of equity investments</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77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(2,038)</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77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debt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 converted to finance leases</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Equity investments</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1,478</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7" w:lineRule="exact"/>
        <w:rPr>
          <w:sz w:val="20"/>
          <w:szCs w:val="20"/>
          <w:color w:val="auto"/>
        </w:rPr>
      </w:pPr>
    </w:p>
    <w:p>
      <w:pPr>
        <w:ind w:left="340" w:right="20" w:hanging="332"/>
        <w:spacing w:after="0" w:line="226"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4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tcPr>
          <w:p>
            <w:pPr>
              <w:ind w:left="20"/>
              <w:spacing w:after="0" w:line="176" w:lineRule="exact"/>
              <w:rPr>
                <w:sz w:val="20"/>
                <w:szCs w:val="20"/>
                <w:color w:val="auto"/>
              </w:rPr>
            </w:pPr>
            <w:r>
              <w:rPr>
                <w:rFonts w:ascii="Arial" w:cs="Arial" w:eastAsia="Arial" w:hAnsi="Arial"/>
                <w:sz w:val="18"/>
                <w:szCs w:val="18"/>
                <w:color w:val="auto"/>
              </w:rPr>
              <w:t>Issuance of 2,175,213 shares of AAG common stock pursuant to</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469,087 shares of AAG common stock pursuant to</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tcPr>
          <w:p>
            <w:pPr>
              <w:ind w:left="20"/>
              <w:spacing w:after="0" w:line="176" w:lineRule="exact"/>
              <w:rPr>
                <w:sz w:val="20"/>
                <w:szCs w:val="20"/>
                <w:color w:val="auto"/>
              </w:rPr>
            </w:pPr>
            <w:r>
              <w:rPr>
                <w:rFonts w:ascii="Arial" w:cs="Arial" w:eastAsia="Arial" w:hAnsi="Arial"/>
                <w:sz w:val="18"/>
                <w:szCs w:val="18"/>
                <w:color w:val="auto"/>
              </w:rPr>
              <w:t>Issuance of 217,302 shares of AAG common stock pursuant to</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40" w:type="dxa"/>
            <w:vAlign w:val="bottom"/>
          </w:tcPr>
          <w:p>
            <w:pPr>
              <w:ind w:left="20"/>
              <w:spacing w:after="0" w:line="176" w:lineRule="exact"/>
              <w:rPr>
                <w:sz w:val="20"/>
                <w:szCs w:val="20"/>
                <w:color w:val="auto"/>
              </w:rPr>
            </w:pPr>
            <w:r>
              <w:rPr>
                <w:rFonts w:ascii="Arial" w:cs="Arial" w:eastAsia="Arial" w:hAnsi="Arial"/>
                <w:sz w:val="18"/>
                <w:szCs w:val="18"/>
                <w:color w:val="auto"/>
              </w:rPr>
              <w:t>Settlement of Single-Dip Unsecured claims held in the Disputed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Claims Reserve</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4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4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6"/>
        </w:trPr>
        <w:tc>
          <w:tcPr>
            <w:tcW w:w="5540" w:type="dxa"/>
            <w:vAlign w:val="bottom"/>
          </w:tcPr>
          <w:p>
            <w:pPr>
              <w:ind w:left="20"/>
              <w:spacing w:after="0" w:line="176" w:lineRule="exact"/>
              <w:rPr>
                <w:sz w:val="20"/>
                <w:szCs w:val="20"/>
                <w:color w:val="auto"/>
              </w:rPr>
            </w:pPr>
            <w:r>
              <w:rPr>
                <w:rFonts w:ascii="Arial" w:cs="Arial" w:eastAsia="Arial" w:hAnsi="Arial"/>
                <w:sz w:val="18"/>
                <w:szCs w:val="18"/>
                <w:color w:val="auto"/>
              </w:rPr>
              <w:t>Issuance of 1,770,173 shares of AAG common stock pursuant to</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54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281,593 shares of AAG common stock pursuant to</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76"/>
        </w:trPr>
        <w:tc>
          <w:tcPr>
            <w:tcW w:w="5540" w:type="dxa"/>
            <w:vAlign w:val="bottom"/>
          </w:tcPr>
          <w:p>
            <w:pPr>
              <w:ind w:left="20"/>
              <w:spacing w:after="0" w:line="176" w:lineRule="exact"/>
              <w:rPr>
                <w:sz w:val="20"/>
                <w:szCs w:val="20"/>
                <w:color w:val="auto"/>
              </w:rPr>
            </w:pPr>
            <w:r>
              <w:rPr>
                <w:rFonts w:ascii="Arial" w:cs="Arial" w:eastAsia="Arial" w:hAnsi="Arial"/>
                <w:sz w:val="18"/>
                <w:szCs w:val="18"/>
                <w:color w:val="auto"/>
              </w:rPr>
              <w:t>Issuance of 83,665 shares of AAG common stock pursuant to</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540" w:type="dxa"/>
            <w:vAlign w:val="bottom"/>
          </w:tcPr>
          <w:p>
            <w:pPr>
              <w:ind w:left="180"/>
              <w:spacing w:after="0"/>
              <w:rPr>
                <w:sz w:val="20"/>
                <w:szCs w:val="20"/>
                <w:color w:val="auto"/>
              </w:rPr>
            </w:pPr>
            <w:r>
              <w:rPr>
                <w:rFonts w:ascii="Arial" w:cs="Arial" w:eastAsia="Arial" w:hAnsi="Arial"/>
                <w:sz w:val="18"/>
                <w:szCs w:val="18"/>
                <w:color w:val="auto"/>
              </w:rPr>
              <w:t>employee stock plans net of shares withheld for cash taxes</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2022.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Labor Relations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May 2023, American and the Allied Pilots Association, the union representing our mainline pilots, reached an agreement in principle on a new collective bargaining agreement, which was ratified in August 2023. This four-year agreement provides wage rate increases, including an initial wage rate increase of 21% effective as of January 1, 2023, quality-of-life benefits and other benefit-related items. The additional compensation for the 2023 period prior to contract ratification as a result of the higher wage rates was recorded within salaries, wages and benefits in the condensed consolidated statements of operations in the second and third quarters of 2023. The agreement also included a provision for a one-time payment upon ratification. During the third quarter of 2023, one-time charges resulting from the ratification of this new agreement were recorded as mainline operating special items, net in the condensed consolidated statement of operations, including the one-time payment of $754 million as well as adjustments to other benefit-related items of $229 million. The one-time payment and the additional compensation was principally paid in October 2023, with remaining payments expected to be paid in the first quarter of 2024.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24"/>
        </w:trPr>
        <w:tc>
          <w:tcPr>
            <w:tcW w:w="59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Severance expenses</w:t>
            </w: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4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8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94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0"/>
        </w:trPr>
        <w:tc>
          <w:tcPr>
            <w:tcW w:w="59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Debt refinancing and extinguishment</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(3)</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94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9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7" w:lineRule="exact"/>
        <w:rPr>
          <w:sz w:val="20"/>
          <w:szCs w:val="20"/>
          <w:color w:val="auto"/>
        </w:rPr>
      </w:pPr>
    </w:p>
    <w:p>
      <w:pPr>
        <w:ind w:left="340" w:hanging="332"/>
        <w:spacing w:after="0" w:line="226"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our mainline pilots, including a one-time payment of $754 million as well as adjustments to other benefit-related items of $229 million.</w:t>
      </w:r>
    </w:p>
    <w:p>
      <w:pPr>
        <w:spacing w:after="0" w:line="150" w:lineRule="exact"/>
        <w:rPr>
          <w:rFonts w:ascii="Arial" w:cs="Arial" w:eastAsia="Arial" w:hAnsi="Arial"/>
          <w:sz w:val="23"/>
          <w:szCs w:val="23"/>
          <w:color w:val="auto"/>
          <w:vertAlign w:val="superscript"/>
        </w:rPr>
      </w:pPr>
    </w:p>
    <w:p>
      <w:pPr>
        <w:jc w:val="both"/>
        <w:ind w:left="340" w:hanging="332"/>
        <w:spacing w:after="0" w:line="233"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Fleet impairment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Common Share</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The following table provides the computation of basic and diluted earnings (loss) per common share (EPS) (in millions,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8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650,586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650,145</w:t>
            </w:r>
          </w:p>
        </w:tc>
        <w:tc>
          <w:tcPr>
            <w:tcW w:w="0" w:type="dxa"/>
            <w:vAlign w:val="bottom"/>
          </w:tcPr>
          <w:p>
            <w:pPr>
              <w:spacing w:after="0"/>
              <w:rPr>
                <w:sz w:val="1"/>
                <w:szCs w:val="1"/>
                <w:color w:val="auto"/>
              </w:rPr>
            </w:pPr>
          </w:p>
        </w:tc>
      </w:tr>
      <w:tr>
        <w:trPr>
          <w:trHeight w:val="223"/>
        </w:trPr>
        <w:tc>
          <w:tcPr>
            <w:tcW w:w="5940" w:type="dxa"/>
            <w:vAlign w:val="bottom"/>
          </w:tcPr>
          <w:p>
            <w:pPr>
              <w:ind w:left="140"/>
              <w:spacing w:after="0"/>
              <w:rPr>
                <w:sz w:val="20"/>
                <w:szCs w:val="20"/>
                <w:color w:val="auto"/>
              </w:rPr>
            </w:pPr>
            <w:r>
              <w:rPr>
                <w:rFonts w:ascii="Arial" w:cs="Arial" w:eastAsia="Arial" w:hAnsi="Arial"/>
                <w:sz w:val="18"/>
                <w:szCs w:val="18"/>
                <w:color w:val="auto"/>
              </w:rPr>
              <w:t>Basic EPS</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Interest expense on 6.50% convertible senior notes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650,145</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 awards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certain PSP Warrants and Treasury Loan Warrants</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Assumed conversion of 6.50% convertible senior notes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654,119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650,145</w:t>
            </w:r>
          </w:p>
        </w:tc>
        <w:tc>
          <w:tcPr>
            <w:tcW w:w="0" w:type="dxa"/>
            <w:vAlign w:val="bottom"/>
          </w:tcPr>
          <w:p>
            <w:pPr>
              <w:spacing w:after="0"/>
              <w:rPr>
                <w:sz w:val="1"/>
                <w:szCs w:val="1"/>
                <w:color w:val="auto"/>
              </w:rPr>
            </w:pPr>
          </w:p>
        </w:tc>
      </w:tr>
      <w:tr>
        <w:trPr>
          <w:trHeight w:val="223"/>
        </w:trPr>
        <w:tc>
          <w:tcPr>
            <w:tcW w:w="5940" w:type="dxa"/>
            <w:vAlign w:val="bottom"/>
          </w:tcPr>
          <w:p>
            <w:pPr>
              <w:ind w:left="68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were excluded from the calculation of diluted EPS because inclusion of such shares would be antidilutive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7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r>
      <w:tr>
        <w:trPr>
          <w:trHeight w:val="224"/>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6.50% convertible senior notes</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61,728</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Restricted stock unit awards</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5,400</w:t>
            </w:r>
          </w:p>
        </w:tc>
      </w:tr>
    </w:tbl>
    <w:p>
      <w:pPr>
        <w:spacing w:after="0" w:line="23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for the three and nine months ended September 30, 2023 and 2022, excluded from the calculation of diluted EPS because inclusion of such shares would be antidilutive, are certain shares underlying the warrants we issued to the U.S. Department of Treasury (Treasury) pursuant to (i) the payroll support program established under the Coronavirus Aid, Relief, and Economic Security Act (PSP1), (ii) the payroll support program established under the Subtitle A of Title IV of Division N of the Consolidated Appropriations Act, 2021 (PSP2),</w:t>
      </w:r>
    </w:p>
    <w:p>
      <w:pPr>
        <w:spacing w:after="0" w:line="3" w:lineRule="exact"/>
        <w:rPr>
          <w:sz w:val="20"/>
          <w:szCs w:val="20"/>
          <w:color w:val="auto"/>
        </w:rPr>
      </w:pPr>
    </w:p>
    <w:p>
      <w:pPr>
        <w:ind w:firstLine="8"/>
        <w:spacing w:after="0" w:line="261"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payroll support program established under the American Rescue Plan Act of 2021 (PSP3) (collectively, the PSP Warrants) and (iv) the Loan and Guarantee Agreement with Treasury (Treasury Loan Warrants).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provides a summary of the PSP Warrants and the Treasury Loan Warrants: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Warrants</w:t>
            </w:r>
          </w:p>
        </w:tc>
        <w:tc>
          <w:tcPr>
            <w:tcW w:w="80" w:type="dxa"/>
            <w:vAlign w:val="bottom"/>
            <w:vMerge w:val="restart"/>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Arial" w:cs="Arial" w:eastAsia="Arial" w:hAnsi="Arial"/>
                <w:sz w:val="14"/>
                <w:szCs w:val="14"/>
                <w:b w:val="1"/>
                <w:bCs w:val="1"/>
                <w:color w:val="auto"/>
              </w:rPr>
              <w:t>Warrants Issued (shares, in</w:t>
            </w:r>
          </w:p>
        </w:tc>
        <w:tc>
          <w:tcPr>
            <w:tcW w:w="400" w:type="dxa"/>
            <w:vAlign w:val="bottom"/>
          </w:tcPr>
          <w:p>
            <w:pPr>
              <w:spacing w:after="0"/>
              <w:rPr>
                <w:sz w:val="14"/>
                <w:szCs w:val="14"/>
                <w:color w:val="auto"/>
              </w:rPr>
            </w:pPr>
          </w:p>
        </w:tc>
        <w:tc>
          <w:tcPr>
            <w:tcW w:w="16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vMerge w:val="restart"/>
          </w:tcPr>
          <w:p>
            <w:pPr>
              <w:spacing w:after="0"/>
              <w:rPr>
                <w:sz w:val="14"/>
                <w:szCs w:val="14"/>
                <w:color w:val="auto"/>
              </w:rPr>
            </w:pPr>
          </w:p>
        </w:tc>
        <w:tc>
          <w:tcPr>
            <w:tcW w:w="3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3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thousands)</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PSP1 Warrants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April 2025 to September 2025</w:t>
            </w:r>
          </w:p>
        </w:tc>
        <w:tc>
          <w:tcPr>
            <w:tcW w:w="0" w:type="dxa"/>
            <w:vAlign w:val="bottom"/>
          </w:tcPr>
          <w:p>
            <w:pPr>
              <w:spacing w:after="0"/>
              <w:rPr>
                <w:sz w:val="1"/>
                <w:szCs w:val="1"/>
                <w:color w:val="auto"/>
              </w:rPr>
            </w:pP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PSP2 Warrants</w:t>
            </w:r>
          </w:p>
        </w:tc>
        <w:tc>
          <w:tcPr>
            <w:tcW w:w="2060" w:type="dxa"/>
            <w:vAlign w:val="bottom"/>
          </w:tcPr>
          <w:p>
            <w:pPr>
              <w:jc w:val="right"/>
              <w:spacing w:after="0"/>
              <w:rPr>
                <w:sz w:val="20"/>
                <w:szCs w:val="20"/>
                <w:color w:val="auto"/>
              </w:rPr>
            </w:pPr>
            <w:r>
              <w:rPr>
                <w:rFonts w:ascii="Arial" w:cs="Arial" w:eastAsia="Arial" w:hAnsi="Arial"/>
                <w:sz w:val="18"/>
                <w:szCs w:val="18"/>
                <w:color w:val="auto"/>
              </w:rPr>
              <w:t>6,576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15.66</w:t>
            </w:r>
          </w:p>
        </w:tc>
        <w:tc>
          <w:tcPr>
            <w:tcW w:w="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9"/>
              </w:rPr>
              <w:t>January 2026 to April 2026</w:t>
            </w: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PSP3 Warrants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CCEEFF"/>
          </w:tcPr>
          <w:p>
            <w:pPr>
              <w:spacing w:after="0"/>
              <w:rPr>
                <w:sz w:val="19"/>
                <w:szCs w:val="19"/>
                <w:color w:val="auto"/>
              </w:rPr>
            </w:pPr>
          </w:p>
        </w:tc>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April 2026 to June 2026</w:t>
            </w:r>
          </w:p>
        </w:tc>
        <w:tc>
          <w:tcPr>
            <w:tcW w:w="0" w:type="dxa"/>
            <w:vAlign w:val="bottom"/>
          </w:tcPr>
          <w:p>
            <w:pPr>
              <w:spacing w:after="0"/>
              <w:rPr>
                <w:sz w:val="1"/>
                <w:szCs w:val="1"/>
                <w:color w:val="auto"/>
              </w:rPr>
            </w:pPr>
          </w:p>
        </w:tc>
      </w:tr>
      <w:tr>
        <w:trPr>
          <w:trHeight w:val="230"/>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Treasury Loan Warrants</w:t>
            </w:r>
          </w:p>
        </w:tc>
        <w:tc>
          <w:tcPr>
            <w:tcW w:w="2060" w:type="dxa"/>
            <w:vAlign w:val="bottom"/>
          </w:tcPr>
          <w:p>
            <w:pPr>
              <w:jc w:val="right"/>
              <w:spacing w:after="0"/>
              <w:rPr>
                <w:sz w:val="20"/>
                <w:szCs w:val="20"/>
                <w:color w:val="auto"/>
              </w:rPr>
            </w:pPr>
            <w:r>
              <w:rPr>
                <w:rFonts w:ascii="Arial" w:cs="Arial" w:eastAsia="Arial" w:hAnsi="Arial"/>
                <w:sz w:val="18"/>
                <w:szCs w:val="18"/>
                <w:color w:val="auto"/>
              </w:rPr>
              <w:t>4,396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rPr>
              <w:t>September 2025</w:t>
            </w:r>
          </w:p>
        </w:tc>
        <w:tc>
          <w:tcPr>
            <w:tcW w:w="0" w:type="dxa"/>
            <w:vAlign w:val="bottom"/>
          </w:tcPr>
          <w:p>
            <w:pPr>
              <w:spacing w:after="0"/>
              <w:rPr>
                <w:sz w:val="1"/>
                <w:szCs w:val="1"/>
                <w:color w:val="auto"/>
              </w:rPr>
            </w:pPr>
          </w:p>
        </w:tc>
      </w:tr>
      <w:tr>
        <w:trPr>
          <w:trHeight w:val="742"/>
        </w:trPr>
        <w:tc>
          <w:tcPr>
            <w:tcW w:w="3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ind w:left="260" w:right="9200" w:hanging="252"/>
        <w:spacing w:after="0" w:line="370" w:lineRule="auto"/>
        <w:tabs>
          <w:tab w:leader="none" w:pos="217"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operating revenues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208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1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11,473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11,536</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33,821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30,150</w:t>
            </w:r>
          </w:p>
        </w:tc>
      </w:tr>
      <w:tr>
        <w:trPr>
          <w:trHeight w:val="229"/>
        </w:trPr>
        <w:tc>
          <w:tcPr>
            <w:tcW w:w="59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23"/>
        </w:trPr>
        <w:tc>
          <w:tcPr>
            <w:tcW w:w="594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32,438</w:t>
            </w: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30"/>
        </w:trPr>
        <w:tc>
          <w:tcPr>
            <w:tcW w:w="5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5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23"/>
        </w:trPr>
        <w:tc>
          <w:tcPr>
            <w:tcW w:w="594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35,783</w:t>
            </w:r>
          </w:p>
        </w:tc>
      </w:tr>
      <w:tr>
        <w:trPr>
          <w:trHeight w:val="20"/>
        </w:trPr>
        <w:tc>
          <w:tcPr>
            <w:tcW w:w="2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68" w:lineRule="exact"/>
        <w:rPr>
          <w:sz w:val="20"/>
          <w:szCs w:val="20"/>
          <w:color w:val="auto"/>
        </w:rPr>
      </w:pPr>
    </w:p>
    <w:p>
      <w:pPr>
        <w:ind w:left="340" w:hanging="332"/>
        <w:spacing w:after="0" w:line="226"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26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8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59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24"/>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23,966</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4,357</w:t>
            </w:r>
          </w:p>
        </w:tc>
      </w:tr>
      <w:tr>
        <w:trPr>
          <w:trHeight w:val="23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Atlantic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r>
      <w:tr>
        <w:trPr>
          <w:trHeight w:val="229"/>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Pacific</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48"/>
        </w:trPr>
        <w:tc>
          <w:tcPr>
            <w:tcW w:w="5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passenger revenue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32,438</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-1174115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7"/>
              </w:rPr>
              <w:t>9,145</w:t>
            </w:r>
          </w:p>
        </w:tc>
      </w:tr>
      <w:tr>
        <w:trPr>
          <w:trHeight w:val="230"/>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19"/>
                <w:szCs w:val="19"/>
                <w:color w:val="auto"/>
              </w:rPr>
            </w:pPr>
          </w:p>
        </w:tc>
        <w:tc>
          <w:tcPr>
            <w:tcW w:w="1080" w:type="dxa"/>
            <w:vAlign w:val="bottom"/>
          </w:tcPr>
          <w:p>
            <w:pPr>
              <w:jc w:val="center"/>
              <w:ind w:left="390"/>
              <w:spacing w:after="0"/>
              <w:rPr>
                <w:sz w:val="20"/>
                <w:szCs w:val="20"/>
                <w:color w:val="auto"/>
              </w:rPr>
            </w:pPr>
            <w:r>
              <w:rPr>
                <w:rFonts w:ascii="Arial" w:cs="Arial" w:eastAsia="Arial" w:hAnsi="Arial"/>
                <w:sz w:val="18"/>
                <w:szCs w:val="18"/>
                <w:color w:val="auto"/>
                <w:w w:val="97"/>
              </w:rPr>
              <w:t>2,900</w:t>
            </w:r>
          </w:p>
        </w:tc>
      </w:tr>
      <w:tr>
        <w:trPr>
          <w:trHeight w:val="229"/>
        </w:trPr>
        <w:tc>
          <w:tcPr>
            <w:tcW w:w="9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rPr>
              <w:t>(2,720)</w:t>
            </w:r>
          </w:p>
        </w:tc>
      </w:tr>
      <w:tr>
        <w:trPr>
          <w:trHeight w:val="223"/>
        </w:trPr>
        <w:tc>
          <w:tcPr>
            <w:tcW w:w="95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September 30, 2023 </w:t>
            </w:r>
            <w:r>
              <w:rPr>
                <w:rFonts w:ascii="Arial" w:cs="Arial" w:eastAsia="Arial" w:hAnsi="Arial"/>
                <w:sz w:val="23"/>
                <w:szCs w:val="23"/>
                <w:color w:val="auto"/>
                <w:vertAlign w:val="superscript"/>
              </w:rPr>
              <w:t>(2)</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7"/>
              </w:rPr>
              <w:t>9,325</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68" w:lineRule="exact"/>
        <w:rPr>
          <w:sz w:val="20"/>
          <w:szCs w:val="20"/>
          <w:color w:val="auto"/>
        </w:rPr>
      </w:pPr>
    </w:p>
    <w:p>
      <w:pPr>
        <w:jc w:val="both"/>
        <w:ind w:left="340" w:hanging="332"/>
        <w:spacing w:after="0" w:line="237" w:lineRule="auto"/>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51"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September 30, 2023, our current loyalty program liability was $3.5 billion and represents our current estimate of revenue expected to be recognized in the next 12 months based on historical trends, with the balance reflected in long-term loyalty program liability expected to be recognized as revenue in periods thereafter.</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our air traffic liability also fluctuates with seasonal travel patterns. The contract duration of passenger tickets is one year. Accordingly, any revenue associated with tickets sold for future travel will be recognized within 12 months. For the nine months ended September 30, 2023, $5.2 billion of revenue was recognized in passenger revenue that was included in our air traffic liability at December 31, 2022. Substantially all tickets issued in 2022 and thereafter are no longer subject to change fees which provides more flexibility for customers to change travel plans. Given this new flexibility offered to our customers, our estimate of revenue that will be recognized from the air traffic liability for future flown or unused tickets may be subject to variability and differ from historical experience.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2022</w:t>
            </w:r>
          </w:p>
        </w:tc>
      </w:tr>
      <w:tr>
        <w:trPr>
          <w:trHeight w:val="211"/>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2013 Term Loan Facility, variable interest rate of 8.59%, installments through February 2028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1,752</w:t>
            </w: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7.32%, installments through January 2027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through April 2026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AAdvantage Term Loan Facility, variable interest rate of 10.34%, installments through April</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2"/>
        </w:trPr>
        <w:tc>
          <w:tcPr>
            <w:tcW w:w="2080" w:type="dxa"/>
            <w:vAlign w:val="bottom"/>
          </w:tcPr>
          <w:p>
            <w:pPr>
              <w:ind w:left="300"/>
              <w:spacing w:after="0" w:line="242"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(1)</w:t>
            </w:r>
          </w:p>
        </w:tc>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2"/>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7.13%, averaging 3.65%, maturing from 2023 to 2034</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2"/>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2.55% to 8.92%, averaging 6.91%, maturing from 2023 to 2035</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2"/>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30,043</w:t>
            </w:r>
          </w:p>
        </w:tc>
      </w:tr>
      <w:tr>
        <w:trPr>
          <w:trHeight w:val="20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PSP1 Promissory Note, interest only payments until due in April 2030</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PSP2 Promissory Note, interest only payments until due in January 2031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PSP3 Promissory Note, interest only payments until due in April 2031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3.75% senior notes, interest only payments until due in March 2025</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208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33,277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35,289</w:t>
            </w: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0"/>
        </w:trPr>
        <w:tc>
          <w:tcPr>
            <w:tcW w:w="7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r>
      <w:tr>
        <w:trPr>
          <w:trHeight w:val="248"/>
        </w:trPr>
        <w:tc>
          <w:tcPr>
            <w:tcW w:w="7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31,844</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r>
    </w:tbl>
    <w:p>
      <w:pPr>
        <w:spacing w:after="0" w:line="114"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2023, the maximum availability under our revolving credit and other facilities is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55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short-term facility</w:t>
            </w:r>
          </w:p>
        </w:tc>
        <w:tc>
          <w:tcPr>
            <w:tcW w:w="55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17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9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American currently has $55 million of available borrowing base under a cargo receivables facility that is set to expire in December 2023. As a result of the below amendments to the 2013, 2014 and April 2016 Revolving Facilities, the aggregate commitments under these facilities will be $2.8 billion through October 11, 2024, and thereafter through October 13, 2026, such aggregate commitments will decrease to $2.2 billion.</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10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At September 30, 2023, the if-converted value of the 6.50% convertible senior notes due 2025 (the Convertible Notes) did not exceed the principal amount. The last reported sale price per share of our common stock (as defined in the indenture governing our Convertible Notes, the Convertible Notes Indenture) did not exceed 130% of the conversion price of the Convertible Notes for at least 20 of the 30 consecutive trading days ending on September 30, 2023. Accordingly, pursuant to the terms of the Convertible Notes Indenture, the holders of the Convertible Notes cannot convert at their option at any time during the quarter ending December 31, 2023.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2023 Financing Activities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Credit Facilities</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February 2023, American and AAG refinanced approximately $1.8 billion in aggregate principal amount of term loans outstanding under the 2013 Term Loan Facility (the 2013 Term Loan Facility Refinancing) through the combination of (i) the issuance of $750 million in aggregate principal amount of 7.25% senior secured notes due 2028 and (ii) the entry into the Seventh Amendment to the 2013 Credit Agreement, pursuant to which the maturity of $1.0 billion in term loans under the 2013 Term Loan Facility was extended to February 2028 from June 2025. The Seventh Amendment also amended certain other terms of the 2013 Credit Agreement, including the interest rate and amortization schedule for the 2013 Term Loan Facility, the requirements for delivery of appraisals and certain covenants relating to dispositions of collateral. Additionally, the Seventh Amendment transitioned the benchmark interest rate from the London Interbank Offered Rate (LIBOR) to the Secured Overnight Financing Rate (SOFR). As a result, the 2013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and an applicable margin of 2.75%.</w:t>
      </w:r>
    </w:p>
    <w:p>
      <w:pPr>
        <w:spacing w:after="0" w:line="14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2023, American and AAG entered into the Eighth Amendment to the 2013 Credit Agreement, pursuant to which American extended the maturity of certain commitments under the 2013 Revolving Facility. The Eighth Amendment also amended certain other terms of the 2013 Credit Agreement, including certain covenants and transitioned the benchmark interest rate from LIBOR to SOFR. The 2013 Revolving Facility bears interest at a base rate (subject to a floor of 1.00%) plus an applicable margin of 2.25%, 2.50% or 2.75%, depending on AAG’s public corporate rating, or, at American’s option, the SOFR rate for a tenor of one, three or six months, depending on the interest period selected by American (subject to a floor of 0.00%), plus the SOFR adjustment applicable to such interest period plus an applicable margin of 3.25%, 3.50% or 3.75%, depending on AAG’s public corporate rating. Additionally, as a result of the Eighth Amendment, through October 11, 2024, the aggregate commitments under the 2013 Revolving Facility will be $736 million, and thereafter through October 13, 2026, such aggregate commitments will decrease to $563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7.25% Senior Secured Notes</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February 15, 2023, as part of the 2013 Term Loan Facility Refinancing, American issued $ 750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which began on August 15, 2023. The 7.25% 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then outstanding under the 2013 Term Loan Facility and to pay related fees and expenses.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countries in South America (which comprises Argentina, Bolivia, Brazil, Chile, Colombia, Ecuador, Guyana, Paraguay, Peru, Suriname, Uruguay and Venezuela but does not include territories subject to the sovereignty, control or jurisdiction of a country not otherwise listed herein) and New Zealand (collectively, the 7.25% Senior Secured Notes Collateral). The 7.25% Senior Secured Notes Collateral also secures, on a first lien, pari passu basis with the 7.25% Senior Secured Notes, the 2013 Credit Facilities under the 2013 Credit Agreement.</w:t>
      </w:r>
    </w:p>
    <w:p>
      <w:pPr>
        <w:spacing w:after="0" w:line="13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spacing w:after="0" w:line="14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Further, if certain change of control transactions occur, each holder of 7.25% Senior Secured Notes may require American to repurchase the 7.25% Senior Secured Notes in whole or in part at a repurchase price of 101% of the aggregate principal amount thereof, plus accrued and unpaid interest, if any, to but not including the repurchase date.</w:t>
      </w:r>
    </w:p>
    <w:p>
      <w:pPr>
        <w:spacing w:after="0" w:line="13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Credit Facilities</w:t>
      </w:r>
    </w:p>
    <w:p>
      <w:pPr>
        <w:spacing w:after="0" w:line="9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2023, American and AAG entered into the Ninth Amendment to the 2014 Credit Agreement, pursuant to which American extended the maturity of certain commitments under the 2014 Revolving Facility. The Ninth Amendment also amended certain other terms of the 2014 Credit Agreement including the requirements for delivery of appraisals and certain other covenants and transitioned the benchmark interest rate for the 2014 Revolving Facility and the 2014 Term Loan Facility from LIBOR to SOFR. The 2014 Revolving Facility bears interest at the same base rate and applicable margin as the 2013 Revolving Facility, as noted above in “</w:t>
      </w:r>
      <w:r>
        <w:rPr>
          <w:rFonts w:ascii="Arial" w:cs="Arial" w:eastAsia="Arial" w:hAnsi="Arial"/>
          <w:sz w:val="18"/>
          <w:szCs w:val="18"/>
          <w:i w:val="1"/>
          <w:iCs w:val="1"/>
          <w:color w:val="auto"/>
        </w:rPr>
        <w:t>2013 Credit Facilities.”</w:t>
      </w:r>
      <w:r>
        <w:rPr>
          <w:rFonts w:ascii="Arial" w:cs="Arial" w:eastAsia="Arial" w:hAnsi="Arial"/>
          <w:sz w:val="18"/>
          <w:szCs w:val="18"/>
          <w:color w:val="auto"/>
        </w:rPr>
        <w:t xml:space="preserve"> The 2014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plus an applicable margin of 0.75%. Additionally, as a result of the Ninth Amendment, through October 11, 2024, the aggregate commitments under the 2014 Revolving Facility will be $1.6 billion, and thereafter through October 13, 2026, such aggregate commitments will decrease to $1.2 billion.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April 2016 Revolving Facility</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March 2023, American and AAG entered into the Sixth Amendment to the April 2016 Credit Agreement, pursuant to which American extended the maturity of certain commitments under the April 2016 Revolving Facility. The Sixth Amendment also amended certain other terms under the April 2016 Credit Agreement including the requirements for delivery of appraisals and certain other covenants and transitioned the benchmark interest rate for the April 2016 Revolving Facility from LIBOR to SOFR. The April 2016 Revolving Facility bears interest at the same base rate and applicable margin as the 2013 Revolving Facility, as noted above in “</w:t>
      </w:r>
      <w:r>
        <w:rPr>
          <w:rFonts w:ascii="Arial" w:cs="Arial" w:eastAsia="Arial" w:hAnsi="Arial"/>
          <w:sz w:val="18"/>
          <w:szCs w:val="18"/>
          <w:i w:val="1"/>
          <w:iCs w:val="1"/>
          <w:color w:val="auto"/>
        </w:rPr>
        <w:t>2013 Credit Facilities.”</w:t>
      </w:r>
      <w:r>
        <w:rPr>
          <w:rFonts w:ascii="Arial" w:cs="Arial" w:eastAsia="Arial" w:hAnsi="Arial"/>
          <w:sz w:val="18"/>
          <w:szCs w:val="18"/>
          <w:color w:val="auto"/>
        </w:rPr>
        <w:t xml:space="preserve"> Additionally, as a result of the Sixth Amendment, through October 11, 2024, the aggregate commitments under the April 2016 Revolving Facility will be $446 million, and thereafter through October 13, 2026, such aggregate commitments will decrease to $342 million.</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AAdvantage Term Loan Facility</w:t>
      </w:r>
    </w:p>
    <w:p>
      <w:pPr>
        <w:spacing w:after="0" w:line="9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June 2023, American and AAdvantage Loyalty IP Ltd. entered into the First Amendment to the AAdvantage Term Loan Facility pursuant to which the benchmark interest rate transitioned from LIBOR to SOFR, effective July 1, 2023. As a result, the AAdvantage Term Loan Facility bears interest at a base rate (subject to a floor of 0.00%) plus an applicable margin of 3.75% or, at American’s option, the SOFR rate for a tenor of three months (subject to a floor of 0.75%), plus a 0.26161% credit spread adjustment and an applicable margin of 4.75%. Other than the foregoing, the terms of the AAdvantage Term Loan Facility remain substantially unchanged.</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Loans and Other Notes Payable Issued in 2023</w:t>
      </w:r>
    </w:p>
    <w:p>
      <w:pPr>
        <w:spacing w:after="0" w:line="9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During the first nine months of 2023, American entered into agreements under which it borrowed $663 million in connection with the financing of certain aircraft. Debt incurred under these agreements matures in 2032 through 2035 and bears interest at fixed and variable rates (comprised of SOFR plus an applicable margin) averaging 6.90% as of September 30, 2023.</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Financing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nine months of 2023, we repurchased $552 million of secured and unsecured notes in the open market.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At December 31, 2022, we had approximately $16.2 billion of gross federal net operating losses (NOLs) and $4.3 billion of other carryforwards available to reduce future federal taxable income, of which $5.9 billion will expire beginning in 2025 if unused and $ 14.6 billion can be carried forward indefinitely. We also had approximately $6.0 billion of NOL carryforwards to reduce future state taxable income at December 31, 2022, which will expire in taxable years 2022 through 2042 if unused.</w:t>
      </w:r>
    </w:p>
    <w:p>
      <w:pPr>
        <w:spacing w:after="0" w:line="1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nine months ended September 30, 2023.</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2023</w:t>
            </w:r>
          </w:p>
        </w:tc>
        <w:tc>
          <w:tcPr>
            <w:tcW w:w="88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9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7" w:lineRule="exact"/>
        <w:rPr>
          <w:sz w:val="20"/>
          <w:szCs w:val="20"/>
          <w:color w:val="auto"/>
        </w:rPr>
      </w:pPr>
    </w:p>
    <w:p>
      <w:pPr>
        <w:ind w:left="340" w:right="20" w:hanging="332"/>
        <w:spacing w:after="0" w:line="226"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49" w:lineRule="exact"/>
        <w:rPr>
          <w:rFonts w:ascii="Arial" w:cs="Arial" w:eastAsia="Arial" w:hAnsi="Arial"/>
          <w:sz w:val="23"/>
          <w:szCs w:val="23"/>
          <w:color w:val="auto"/>
          <w:vertAlign w:val="superscript"/>
        </w:rPr>
      </w:pPr>
    </w:p>
    <w:p>
      <w:pPr>
        <w:ind w:left="340" w:hanging="332"/>
        <w:spacing w:after="0" w:line="226"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w:t>
      </w:r>
    </w:p>
    <w:p>
      <w:pPr>
        <w:spacing w:after="0" w:line="150" w:lineRule="exact"/>
        <w:rPr>
          <w:rFonts w:ascii="Arial" w:cs="Arial" w:eastAsia="Arial" w:hAnsi="Arial"/>
          <w:sz w:val="23"/>
          <w:szCs w:val="23"/>
          <w:color w:val="auto"/>
          <w:vertAlign w:val="superscript"/>
        </w:rPr>
      </w:pPr>
    </w:p>
    <w:p>
      <w:pPr>
        <w:jc w:val="both"/>
        <w:ind w:left="340" w:hanging="332"/>
        <w:spacing w:after="0" w:line="233"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our equity investments in China Southern Airlines Company Limited (China Southern Airlines), GOL Linhas Aéreas Inteligentes S.A. (GOL) and Vertical Aerospace Ltd. (Vertical). See Note 8 for further information on our equity investments.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as of September 30, 2023 and December 31, 2022, which would have been classified as Level 3 in the fair value hierarchy. The fair value of the Convertible Notes, which would have been classified as Level 2, was $1.1 billion as of September 30, 2023 and December 31, 2022.</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2022</w:t>
            </w:r>
          </w:p>
        </w:tc>
      </w:tr>
      <w:tr>
        <w:trPr>
          <w:trHeight w:val="157"/>
        </w:trPr>
        <w:tc>
          <w:tcPr>
            <w:tcW w:w="5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0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100" w:type="dxa"/>
            <w:vAlign w:val="bottom"/>
          </w:tcPr>
          <w:p>
            <w:pPr>
              <w:jc w:val="center"/>
              <w:ind w:right="242"/>
              <w:spacing w:after="0" w:line="157" w:lineRule="exact"/>
              <w:rPr>
                <w:sz w:val="20"/>
                <w:szCs w:val="20"/>
                <w:color w:val="auto"/>
              </w:rPr>
            </w:pPr>
            <w:r>
              <w:rPr>
                <w:rFonts w:ascii="Arial" w:cs="Arial" w:eastAsia="Arial" w:hAnsi="Arial"/>
                <w:sz w:val="14"/>
                <w:szCs w:val="14"/>
                <w:b w:val="1"/>
                <w:bCs w:val="1"/>
                <w:color w:val="auto"/>
              </w:rPr>
              <w:t>Fair</w:t>
            </w:r>
          </w:p>
        </w:tc>
      </w:tr>
      <w:tr>
        <w:trPr>
          <w:trHeight w:val="201"/>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9"/>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32,915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34,903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32,569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To help expand our network and as part of our ongoing commitment to sustainability, we enter into various commercial relationships or other strategic partnerships, including equity investments, with other airlines and companies. Our equity investments are reflected in other assets on our condensed consolidated balance sheets. Our share of equity method investees’ financial results and changes in fair value are recorded in nonoperating other income (expense), net on the condensed consolidated statements of operations.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equity investment ownership interests and carrying values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r>
      <w:tr>
        <w:trPr>
          <w:trHeight w:val="201"/>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Accounting Treatment</w:t>
            </w: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2023</w:t>
            </w: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7"/>
                <w:szCs w:val="17"/>
                <w:color w:val="auto"/>
              </w:rPr>
            </w:pPr>
          </w:p>
        </w:tc>
        <w:tc>
          <w:tcPr>
            <w:tcW w:w="148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 2022</w:t>
            </w:r>
          </w:p>
        </w:tc>
      </w:tr>
      <w:tr>
        <w:trPr>
          <w:trHeight w:val="157"/>
        </w:trPr>
        <w:tc>
          <w:tcPr>
            <w:tcW w:w="2160" w:type="dxa"/>
            <w:vAlign w:val="bottom"/>
            <w:tcBorders>
              <w:top w:val="single" w:sz="8" w:color="CCEEFF"/>
            </w:tcBorders>
            <w:gridSpan w:val="2"/>
            <w:shd w:val="clear" w:color="auto" w:fill="CCEEFF"/>
          </w:tcPr>
          <w:p>
            <w:pPr>
              <w:ind w:left="20"/>
              <w:spacing w:after="0" w:line="157" w:lineRule="exact"/>
              <w:rPr>
                <w:sz w:val="20"/>
                <w:szCs w:val="20"/>
                <w:color w:val="auto"/>
              </w:rPr>
            </w:pPr>
            <w:r>
              <w:rPr>
                <w:rFonts w:ascii="Arial" w:cs="Arial" w:eastAsia="Arial" w:hAnsi="Arial"/>
                <w:sz w:val="18"/>
                <w:szCs w:val="18"/>
                <w:color w:val="auto"/>
              </w:rPr>
              <w:t>Republic Airways</w:t>
            </w:r>
          </w:p>
        </w:tc>
        <w:tc>
          <w:tcPr>
            <w:tcW w:w="1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242"/>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Equity Method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Fair Value</w:t>
            </w: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1"/>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6"/>
        </w:trPr>
        <w:tc>
          <w:tcPr>
            <w:tcW w:w="2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r>
    </w:tbl>
    <w:p>
      <w:pPr>
        <w:spacing w:after="0" w:line="82" w:lineRule="exact"/>
        <w:rPr>
          <w:sz w:val="20"/>
          <w:szCs w:val="20"/>
          <w:color w:val="auto"/>
        </w:rPr>
      </w:pPr>
    </w:p>
    <w:p>
      <w:pPr>
        <w:ind w:left="340" w:hanging="332"/>
        <w:spacing w:after="0" w:line="226" w:lineRule="auto"/>
        <w:tabs>
          <w:tab w:leader="none" w:pos="334"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Primarily includes our investment in JetSMART Holdings Limited, which is accounted for under the equity method, and our investments in GOL and Vertical, which are each accounted for at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1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As of September 30, 2023, we remeasured our retiree medical and other postretirement benefits to account for enhanced retirement benefits provided to our mainline pilots pursuant to the new collective bargaining agreement ratified in August 2023. As a result, we increased our postretirement benefits obligation by $339 million, which was included as a component of prior service cost in accumulated other comprehensive loss.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nine months of 2023, we made required contributions of $68 million to our defined benefit pension plans.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Retiree</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Medical and</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Income Tax</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2"/>
                <w:szCs w:val="12"/>
                <w:color w:val="auto"/>
              </w:rPr>
            </w:pPr>
          </w:p>
        </w:tc>
        <w:tc>
          <w:tcPr>
            <w:tcW w:w="138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rPr>
              <w:t>Benefit</w:t>
            </w: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line="230" w:lineRule="exact"/>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332"/>
        <w:spacing w:after="0" w:line="226"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50" w:lineRule="exact"/>
        <w:rPr>
          <w:rFonts w:ascii="Arial" w:cs="Arial" w:eastAsia="Arial" w:hAnsi="Arial"/>
          <w:sz w:val="23"/>
          <w:szCs w:val="23"/>
          <w:color w:val="auto"/>
          <w:vertAlign w:val="superscript"/>
        </w:rPr>
      </w:pPr>
    </w:p>
    <w:p>
      <w:pPr>
        <w:ind w:left="340" w:hanging="332"/>
        <w:spacing w:after="0" w:line="226" w:lineRule="auto"/>
        <w:tabs>
          <w:tab w:leader="none" w:pos="33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statements of operations.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18" w:right="339" w:bottom="1440" w:gutter="0" w:footer="0" w:header="0"/>
        </w:sect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3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Amounts reclassified from AOCI</w:t>
            </w:r>
          </w:p>
        </w:tc>
        <w:tc>
          <w:tcPr>
            <w:tcW w:w="900" w:type="dxa"/>
            <w:vAlign w:val="bottom"/>
            <w:tcBorders>
              <w:bottom w:val="single" w:sz="8" w:color="auto"/>
            </w:tcBorders>
          </w:tcPr>
          <w:p>
            <w:pPr>
              <w:spacing w:after="0"/>
              <w:rPr>
                <w:sz w:val="17"/>
                <w:szCs w:val="17"/>
                <w:color w:val="auto"/>
              </w:rPr>
            </w:pPr>
          </w:p>
        </w:tc>
      </w:tr>
      <w:tr>
        <w:trPr>
          <w:trHeight w:val="157"/>
        </w:trPr>
        <w:tc>
          <w:tcPr>
            <w:tcW w:w="3900" w:type="dxa"/>
            <w:vAlign w:val="bottom"/>
          </w:tcPr>
          <w:p>
            <w:pPr>
              <w:spacing w:after="0"/>
              <w:rPr>
                <w:sz w:val="13"/>
                <w:szCs w:val="13"/>
                <w:color w:val="auto"/>
              </w:rPr>
            </w:pPr>
          </w:p>
        </w:tc>
        <w:tc>
          <w:tcPr>
            <w:tcW w:w="230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Nine Months Ended</w:t>
            </w:r>
          </w:p>
        </w:tc>
      </w:tr>
      <w:tr>
        <w:trPr>
          <w:trHeight w:val="189"/>
        </w:trPr>
        <w:tc>
          <w:tcPr>
            <w:tcW w:w="3900" w:type="dxa"/>
            <w:vAlign w:val="bottom"/>
          </w:tcPr>
          <w:p>
            <w:pPr>
              <w:spacing w:after="0"/>
              <w:rPr>
                <w:sz w:val="16"/>
                <w:szCs w:val="16"/>
                <w:color w:val="auto"/>
              </w:rPr>
            </w:pPr>
          </w:p>
        </w:tc>
        <w:tc>
          <w:tcPr>
            <w:tcW w:w="2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4"/>
        </w:trPr>
        <w:tc>
          <w:tcPr>
            <w:tcW w:w="390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2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500"/>
        <w:spacing w:after="0" w:line="248"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400" w:space="600"/>
            <w:col w:w="2240"/>
          </w:cols>
          <w:pgMar w:left="320" w:top="118" w:right="339" w:bottom="1440" w:gutter="0" w:footer="0" w:header="0"/>
          <w:type w:val="continuous"/>
        </w:sectPr>
      </w:pPr>
    </w:p>
    <w:p>
      <w:pPr>
        <w:ind w:left="20"/>
        <w:spacing w:after="0" w:line="233" w:lineRule="auto"/>
        <w:rPr>
          <w:sz w:val="20"/>
          <w:szCs w:val="20"/>
          <w:color w:val="auto"/>
        </w:rPr>
      </w:pPr>
      <w:r>
        <w:rPr>
          <w:rFonts w:ascii="Arial" w:cs="Arial" w:eastAsia="Arial" w:hAnsi="Arial"/>
          <w:sz w:val="18"/>
          <w:szCs w:val="18"/>
          <w:color w:val="auto"/>
        </w:rPr>
        <w:t>Amortization of pension, retiree medical and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postretirement benefits:</w:t>
      </w:r>
    </w:p>
    <w:tbl>
      <w:tblPr>
        <w:tblLayout w:type="fixed"/>
        <w:tblInd w:w="0" w:type="dxa"/>
        <w:tblCellMar>
          <w:top w:w="0" w:type="dxa"/>
          <w:left w:w="0" w:type="dxa"/>
          <w:bottom w:w="0" w:type="dxa"/>
          <w:right w:w="0" w:type="dxa"/>
        </w:tblCellMar>
      </w:tblPr>
      <w:tr>
        <w:trPr>
          <w:trHeight w:val="200"/>
        </w:trPr>
        <w:tc>
          <w:tcPr>
            <w:tcW w:w="3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40" w:type="dxa"/>
            <w:vAlign w:val="bottom"/>
          </w:tcPr>
          <w:p>
            <w:pPr>
              <w:ind w:left="120"/>
              <w:spacing w:after="0" w:line="200" w:lineRule="exact"/>
              <w:rPr>
                <w:sz w:val="20"/>
                <w:szCs w:val="20"/>
                <w:color w:val="auto"/>
              </w:rPr>
            </w:pPr>
            <w:r>
              <w:rPr>
                <w:rFonts w:ascii="Arial" w:cs="Arial" w:eastAsia="Arial" w:hAnsi="Arial"/>
                <w:sz w:val="18"/>
                <w:szCs w:val="18"/>
                <w:color w:val="auto"/>
              </w:rPr>
              <w:t>Nonoperating other income</w:t>
            </w:r>
          </w:p>
        </w:tc>
      </w:tr>
      <w:tr>
        <w:trPr>
          <w:trHeight w:val="229"/>
        </w:trPr>
        <w:tc>
          <w:tcPr>
            <w:tcW w:w="392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840" w:type="dxa"/>
            <w:vAlign w:val="bottom"/>
          </w:tcPr>
          <w:p>
            <w:pPr>
              <w:ind w:left="280"/>
              <w:spacing w:after="0"/>
              <w:rPr>
                <w:sz w:val="20"/>
                <w:szCs w:val="20"/>
                <w:color w:val="auto"/>
              </w:rPr>
            </w:pPr>
            <w:r>
              <w:rPr>
                <w:rFonts w:ascii="Arial" w:cs="Arial" w:eastAsia="Arial" w:hAnsi="Arial"/>
                <w:sz w:val="18"/>
                <w:szCs w:val="18"/>
                <w:color w:val="auto"/>
              </w:rPr>
              <w:t>(expense), net</w:t>
            </w:r>
          </w:p>
        </w:tc>
      </w:tr>
      <w:tr>
        <w:trPr>
          <w:trHeight w:val="190"/>
        </w:trPr>
        <w:tc>
          <w:tcPr>
            <w:tcW w:w="3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Nonoperating other income</w:t>
            </w:r>
          </w:p>
        </w:tc>
      </w:tr>
      <w:tr>
        <w:trPr>
          <w:trHeight w:val="229"/>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 net</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40" w:type="dxa"/>
            <w:vAlign w:val="bottom"/>
          </w:tcPr>
          <w:p>
            <w:pPr>
              <w:spacing w:after="0"/>
              <w:rPr>
                <w:sz w:val="19"/>
                <w:szCs w:val="19"/>
                <w:color w:val="auto"/>
              </w:rPr>
            </w:pPr>
          </w:p>
        </w:tc>
      </w:tr>
      <w:tr>
        <w:trPr>
          <w:trHeight w:val="21"/>
        </w:trPr>
        <w:tc>
          <w:tcPr>
            <w:tcW w:w="3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Our regional carrier arrangements are in the form of capacity purchase agreements. Expenses associated with American Eagle operations are classified as regional expenses on the condensed consolidated statements of operations.</w:t>
      </w:r>
    </w:p>
    <w:p>
      <w:pPr>
        <w:spacing w:after="0" w:line="13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Regional expenses for the three months ended September 30, 2023 and 2022 include $79 million and $81 million of depreciation and amortization, respectively, and $2 million and $1 million of aircraft rent, respectively. Regional expenses for the nine months ended September 30, 2023 and 2022 include $239 million and $240 million of depreciation and amortization, respectively, and $5 million and $4 million of aircraft rent, respectively.</w:t>
      </w:r>
    </w:p>
    <w:p>
      <w:pPr>
        <w:spacing w:after="0" w:line="13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During the three months ended September 30, 2023 and 2022, we recognized $ 153 million and $152 million, respectively, of expense under our capacity purchase agreement with Republic Airways Inc. (Republic). During the nine months ended September 30, 2023 and 2022, we recognized $ 489 million and $462 million, respectively, of expense under our capacity purchase agreement with Republic. We hold a 25% equity interest in Republic Airways Holdings Inc., the parent company of Republic.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301"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The parties presented their respective cases in a bench trial that commenced on September 27, 2022. The parties presented closing arguments on November 18, 2022.</w:t>
      </w:r>
    </w:p>
    <w:p>
      <w:pPr>
        <w:spacing w:after="0" w:line="1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May 19, 2023, the U.S. District Court for the District of Massachusetts issued an order permanently enjoining American and JetBlue from continuing and further implementing the NEA. Following written submissions by the parties and a hearing on July 26, 2023, the U.S. District Court for the District of Massachusetts entered a Final Judgment and Order Entering Permanent Injunction on July 28, 2023. The parties have complied and will continue to comply with the terms of the Final Judgment and Order Entering Permanent Injunction, including winding down activities related to the NEA. American filed a notice of appeal to the U.S. Court of Appeals for the First Circuit on September 25, 2023.</w:t>
      </w:r>
    </w:p>
    <w:p>
      <w:pPr>
        <w:spacing w:after="0" w:line="13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In March 2023, American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American, together with JetBlue, filed a motion to dismiss the third amended complaint, and that motion remains pending. We believe these lawsuits are without merit and are defending against them vigorously.</w:t>
      </w:r>
    </w:p>
    <w:p>
      <w:pPr>
        <w:spacing w:after="0" w:line="13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12,421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32,438</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35,778</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9,768</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1,949</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35,504</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60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9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1"/>
        </w:trPr>
        <w:tc>
          <w:tcPr>
            <w:tcW w:w="5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10,002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8,523</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995</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2,117</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Receivables from related parties, net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6,588</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2,332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2,157</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Prepaid expenses and other</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w:t>
            </w:r>
          </w:p>
        </w:tc>
        <w:tc>
          <w:tcPr>
            <w:tcW w:w="0" w:type="dxa"/>
            <w:vAlign w:val="bottom"/>
          </w:tcPr>
          <w:p>
            <w:pPr>
              <w:spacing w:after="0"/>
              <w:rPr>
                <w:sz w:val="1"/>
                <w:szCs w:val="1"/>
                <w:color w:val="auto"/>
              </w:rPr>
            </w:pPr>
          </w:p>
        </w:tc>
      </w:tr>
      <w:tr>
        <w:trPr>
          <w:trHeight w:val="192"/>
        </w:trPr>
        <w:tc>
          <w:tcPr>
            <w:tcW w:w="776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23,388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21,607</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Flight equipment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40,582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39,359</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Ground property and equipment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9,479</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Equipment purchase deposits</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at cost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49,451</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(21,073)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(19,569)</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net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29,882</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7,824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8,033</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Intangibles, net of accumulated amortization of $831 and $827, respectively</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Deferred tax asset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2,581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2,893</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1,759</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other assets</w:t>
            </w: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10,802</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71,610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70,324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3,760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3,267</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2,071</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Accrued salaries and wages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3,063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1,529</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 traffic liability</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6,745</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3,491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3,169</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1,449</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accrued liabilities</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2,852</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21,082</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27,155</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Pension and postretirement benefits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2,904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2,811</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5,976</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6,290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6,512</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1,195</w:t>
            </w:r>
          </w:p>
        </w:tc>
        <w:tc>
          <w:tcPr>
            <w:tcW w:w="0" w:type="dxa"/>
            <w:vAlign w:val="bottom"/>
          </w:tcPr>
          <w:p>
            <w:pPr>
              <w:spacing w:after="0"/>
              <w:rPr>
                <w:sz w:val="1"/>
                <w:szCs w:val="1"/>
                <w:color w:val="auto"/>
              </w:rPr>
            </w:pPr>
          </w:p>
        </w:tc>
      </w:tr>
      <w:tr>
        <w:trPr>
          <w:trHeight w:val="192"/>
        </w:trPr>
        <w:tc>
          <w:tcPr>
            <w:tcW w:w="7760" w:type="dxa"/>
            <w:vAlign w:val="bottom"/>
          </w:tcPr>
          <w:p>
            <w:pPr>
              <w:ind w:left="680"/>
              <w:spacing w:after="0"/>
              <w:rPr>
                <w:sz w:val="20"/>
                <w:szCs w:val="20"/>
                <w:color w:val="auto"/>
              </w:rPr>
            </w:pPr>
            <w:r>
              <w:rPr>
                <w:rFonts w:ascii="Arial" w:cs="Arial" w:eastAsia="Arial" w:hAnsi="Arial"/>
                <w:sz w:val="15"/>
                <w:szCs w:val="15"/>
                <w:color w:val="auto"/>
              </w:rPr>
              <w:t>Total noncurrent liabilities</w:t>
            </w: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41,138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43,649</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776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17,309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17,230</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(4,690)</w:t>
            </w:r>
          </w:p>
        </w:tc>
        <w:tc>
          <w:tcPr>
            <w:tcW w:w="0" w:type="dxa"/>
            <w:vAlign w:val="bottom"/>
          </w:tcPr>
          <w:p>
            <w:pPr>
              <w:spacing w:after="0"/>
              <w:rPr>
                <w:sz w:val="1"/>
                <w:szCs w:val="1"/>
                <w:color w:val="auto"/>
              </w:rPr>
            </w:pPr>
          </w:p>
        </w:tc>
      </w:tr>
      <w:tr>
        <w:trPr>
          <w:trHeight w:val="198"/>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Retained deficit</w:t>
            </w: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(5,891)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(6,947)</w:t>
            </w: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5,593</w:t>
            </w:r>
          </w:p>
        </w:tc>
        <w:tc>
          <w:tcPr>
            <w:tcW w:w="0" w:type="dxa"/>
            <w:vAlign w:val="bottom"/>
          </w:tcPr>
          <w:p>
            <w:pPr>
              <w:spacing w:after="0"/>
              <w:rPr>
                <w:sz w:val="1"/>
                <w:szCs w:val="1"/>
                <w:color w:val="auto"/>
              </w:rPr>
            </w:pPr>
          </w:p>
        </w:tc>
      </w:tr>
      <w:tr>
        <w:trPr>
          <w:trHeight w:val="194"/>
        </w:trPr>
        <w:tc>
          <w:tcPr>
            <w:tcW w:w="776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71,610</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70,324</w:t>
            </w:r>
          </w:p>
        </w:tc>
        <w:tc>
          <w:tcPr>
            <w:tcW w:w="0" w:type="dxa"/>
            <w:vAlign w:val="bottom"/>
          </w:tcPr>
          <w:p>
            <w:pPr>
              <w:spacing w:after="0"/>
              <w:rPr>
                <w:sz w:val="1"/>
                <w:szCs w:val="1"/>
                <w:color w:val="auto"/>
              </w:rPr>
            </w:pPr>
          </w:p>
        </w:tc>
      </w:tr>
      <w:tr>
        <w:trPr>
          <w:trHeight w:val="22"/>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60" w:type="dxa"/>
            <w:vAlign w:val="bottom"/>
          </w:tcPr>
          <w:p>
            <w:pPr>
              <w:spacing w:after="0"/>
              <w:rPr>
                <w:sz w:val="17"/>
                <w:szCs w:val="17"/>
                <w:color w:val="auto"/>
              </w:rPr>
            </w:pPr>
          </w:p>
        </w:tc>
        <w:tc>
          <w:tcPr>
            <w:tcW w:w="348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 and sale of property and equipment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13,412</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restricted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 of equity investments</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3"/>
        </w:trPr>
        <w:tc>
          <w:tcPr>
            <w:tcW w:w="776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financing activities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7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debt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Finance leases converted to operating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 converted to finance leases</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Equity investments</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7" w:lineRule="exact"/>
        <w:rPr>
          <w:sz w:val="20"/>
          <w:szCs w:val="20"/>
          <w:color w:val="auto"/>
        </w:rPr>
      </w:pPr>
    </w:p>
    <w:p>
      <w:pPr>
        <w:ind w:left="340" w:right="20" w:hanging="332"/>
        <w:spacing w:after="0" w:line="226"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17"/>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2022. American is the principal wholly-owned subsidiary of American Airlines Group Inc. (AAG). All significant intercompany transactions have been eliminated.</w:t>
      </w:r>
    </w:p>
    <w:p>
      <w:pPr>
        <w:spacing w:after="0" w:line="13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Labor Relations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May 2023, American and the Allied Pilots Association, the union representing American’s mainline pilots, reached an agreement in principle on a new collective bargaining agreement, which was ratified in August 2023. This four-year agreement provides wage rate increases, including an initial wage rate increase of 21% effective as of January 1, 2023, quality-of-life benefits and other benefit-related items. The additional compensation for the 2023 period prior to contract ratification as a result of the higher wage rates was recorded within salaries, wages and benefits in the condensed consolidated statements of operations in the second and third quarters of 2023. The agreement also included a provision for a one-time payment upon ratification. During the third quarter of 2023, one-time charges resulting from the ratification of this new agreement were recorded as mainline operating special items, net in the condensed consolidated statement of operations, including the one-time payment of $754 million as well as adjustments to other benefit-related items of $229 million. The one-time payment and the additional compensation was principally paid in October 2023, with remaining payments expected to be paid in the first quarter of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260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0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24"/>
        </w:trPr>
        <w:tc>
          <w:tcPr>
            <w:tcW w:w="50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7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Severance expenses</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8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70"/>
        </w:trPr>
        <w:tc>
          <w:tcPr>
            <w:tcW w:w="50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Debt refinancing and extinguishment</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(3)</w:t>
            </w:r>
          </w:p>
        </w:tc>
        <w:tc>
          <w:tcPr>
            <w:tcW w:w="8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506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50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742"/>
        </w:trPr>
        <w:tc>
          <w:tcPr>
            <w:tcW w:w="5060" w:type="dxa"/>
            <w:vAlign w:val="bottom"/>
          </w:tcPr>
          <w:p>
            <w:pPr>
              <w:spacing w:after="0"/>
              <w:rPr>
                <w:sz w:val="24"/>
                <w:szCs w:val="24"/>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3112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both"/>
        <w:ind w:left="340" w:hanging="332"/>
        <w:spacing w:after="0" w:line="233"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American’s mainline pilots, including a one-time payment of $754 million as well as adjustments to other benefit-related items of $229 million.</w:t>
      </w:r>
    </w:p>
    <w:p>
      <w:pPr>
        <w:spacing w:after="0" w:line="151" w:lineRule="exact"/>
        <w:rPr>
          <w:rFonts w:ascii="Arial" w:cs="Arial" w:eastAsia="Arial" w:hAnsi="Arial"/>
          <w:sz w:val="23"/>
          <w:szCs w:val="23"/>
          <w:color w:val="auto"/>
          <w:vertAlign w:val="superscript"/>
        </w:rPr>
      </w:pPr>
    </w:p>
    <w:p>
      <w:pPr>
        <w:jc w:val="both"/>
        <w:ind w:left="340" w:hanging="332"/>
        <w:spacing w:after="0" w:line="233"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Fleet impairment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unrealized gains and losses associated with certain equity investments.</w:t>
      </w:r>
    </w:p>
    <w:p>
      <w:pPr>
        <w:spacing w:after="0" w:line="220" w:lineRule="exact"/>
        <w:rPr>
          <w:sz w:val="20"/>
          <w:szCs w:val="20"/>
          <w:color w:val="auto"/>
        </w:rPr>
      </w:pPr>
    </w:p>
    <w:p>
      <w:pPr>
        <w:ind w:left="260" w:right="9200" w:hanging="252"/>
        <w:spacing w:after="0" w:line="370" w:lineRule="auto"/>
        <w:tabs>
          <w:tab w:leader="none" w:pos="217"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0" w:type="dxa"/>
            <w:vAlign w:val="bottom"/>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r>
      <w:tr>
        <w:trPr>
          <w:trHeight w:val="210"/>
        </w:trPr>
        <w:tc>
          <w:tcPr>
            <w:tcW w:w="4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Passenger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940" w:type="dxa"/>
            <w:vAlign w:val="bottom"/>
            <w:gridSpan w:val="2"/>
          </w:tcPr>
          <w:p>
            <w:pPr>
              <w:ind w:left="200"/>
              <w:spacing w:after="0"/>
              <w:rPr>
                <w:sz w:val="20"/>
                <w:szCs w:val="20"/>
                <w:color w:val="auto"/>
              </w:rPr>
            </w:pPr>
            <w:r>
              <w:rPr>
                <w:rFonts w:ascii="Arial" w:cs="Arial" w:eastAsia="Arial" w:hAnsi="Arial"/>
                <w:sz w:val="18"/>
                <w:szCs w:val="18"/>
                <w:color w:val="auto"/>
              </w:rPr>
              <w:t>Passenger travel</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11,536</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33,821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30,150</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23"/>
        </w:trPr>
        <w:tc>
          <w:tcPr>
            <w:tcW w:w="40" w:type="dxa"/>
            <w:vAlign w:val="bottom"/>
          </w:tcPr>
          <w:p>
            <w:pPr>
              <w:spacing w:after="0"/>
              <w:rPr>
                <w:sz w:val="19"/>
                <w:szCs w:val="19"/>
                <w:color w:val="auto"/>
              </w:rPr>
            </w:pPr>
          </w:p>
        </w:tc>
        <w:tc>
          <w:tcPr>
            <w:tcW w:w="5940" w:type="dxa"/>
            <w:vAlign w:val="bottom"/>
            <w:gridSpan w:val="2"/>
          </w:tcPr>
          <w:p>
            <w:pPr>
              <w:ind w:left="460"/>
              <w:spacing w:after="0"/>
              <w:rPr>
                <w:sz w:val="20"/>
                <w:szCs w:val="20"/>
                <w:color w:val="auto"/>
              </w:rPr>
            </w:pPr>
            <w:r>
              <w:rPr>
                <w:rFonts w:ascii="Arial" w:cs="Arial" w:eastAsia="Arial" w:hAnsi="Arial"/>
                <w:sz w:val="18"/>
                <w:szCs w:val="18"/>
                <w:color w:val="auto"/>
              </w:rPr>
              <w:t>Total passenger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32,438</w:t>
            </w: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29"/>
        </w:trPr>
        <w:tc>
          <w:tcPr>
            <w:tcW w:w="4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Loyalty revenue - marketing services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30"/>
        </w:trPr>
        <w:tc>
          <w:tcPr>
            <w:tcW w:w="40" w:type="dxa"/>
            <w:vAlign w:val="bottom"/>
          </w:tcPr>
          <w:p>
            <w:pPr>
              <w:spacing w:after="0"/>
              <w:rPr>
                <w:sz w:val="19"/>
                <w:szCs w:val="19"/>
                <w:color w:val="auto"/>
              </w:rPr>
            </w:pPr>
          </w:p>
        </w:tc>
        <w:tc>
          <w:tcPr>
            <w:tcW w:w="59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40" w:type="dxa"/>
            <w:vAlign w:val="bottom"/>
          </w:tcPr>
          <w:p>
            <w:pPr>
              <w:spacing w:after="0"/>
              <w:rPr>
                <w:sz w:val="19"/>
                <w:szCs w:val="19"/>
                <w:color w:val="auto"/>
              </w:rPr>
            </w:pPr>
          </w:p>
        </w:tc>
        <w:tc>
          <w:tcPr>
            <w:tcW w:w="5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23"/>
        </w:trPr>
        <w:tc>
          <w:tcPr>
            <w:tcW w:w="40" w:type="dxa"/>
            <w:vAlign w:val="bottom"/>
          </w:tcPr>
          <w:p>
            <w:pPr>
              <w:spacing w:after="0"/>
              <w:rPr>
                <w:sz w:val="19"/>
                <w:szCs w:val="19"/>
                <w:color w:val="auto"/>
              </w:rPr>
            </w:pPr>
          </w:p>
        </w:tc>
        <w:tc>
          <w:tcPr>
            <w:tcW w:w="5940" w:type="dxa"/>
            <w:vAlign w:val="bottom"/>
            <w:gridSpan w:val="2"/>
          </w:tcPr>
          <w:p>
            <w:pPr>
              <w:ind w:left="66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35,778</w:t>
            </w: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5"/>
        </w:trPr>
        <w:tc>
          <w:tcPr>
            <w:tcW w:w="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82" w:lineRule="exact"/>
        <w:rPr>
          <w:sz w:val="20"/>
          <w:szCs w:val="20"/>
          <w:color w:val="auto"/>
        </w:rPr>
      </w:pPr>
    </w:p>
    <w:p>
      <w:pPr>
        <w:ind w:left="340" w:hanging="332"/>
        <w:spacing w:after="0" w:line="226" w:lineRule="auto"/>
        <w:tabs>
          <w:tab w:leader="none" w:pos="33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Pr>
          <w:p>
            <w:pPr>
              <w:spacing w:after="0"/>
              <w:rPr>
                <w:sz w:val="17"/>
                <w:szCs w:val="17"/>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7"/>
                <w:szCs w:val="17"/>
                <w:color w:val="auto"/>
              </w:rPr>
            </w:pPr>
          </w:p>
        </w:tc>
        <w:tc>
          <w:tcPr>
            <w:tcW w:w="248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59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23,966</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4,357</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48"/>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-616585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97"/>
              </w:rPr>
              <w:t>9,145</w:t>
            </w:r>
          </w:p>
        </w:tc>
      </w:tr>
      <w:tr>
        <w:trPr>
          <w:trHeight w:val="229"/>
        </w:trPr>
        <w:tc>
          <w:tcPr>
            <w:tcW w:w="946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140" w:type="dxa"/>
            <w:vAlign w:val="bottom"/>
          </w:tcPr>
          <w:p>
            <w:pPr>
              <w:jc w:val="center"/>
              <w:ind w:left="450"/>
              <w:spacing w:after="0"/>
              <w:rPr>
                <w:sz w:val="20"/>
                <w:szCs w:val="20"/>
                <w:color w:val="auto"/>
              </w:rPr>
            </w:pPr>
            <w:r>
              <w:rPr>
                <w:rFonts w:ascii="Arial" w:cs="Arial" w:eastAsia="Arial" w:hAnsi="Arial"/>
                <w:sz w:val="18"/>
                <w:szCs w:val="18"/>
                <w:color w:val="auto"/>
                <w:w w:val="97"/>
              </w:rPr>
              <w:t>2,900</w:t>
            </w:r>
          </w:p>
        </w:tc>
      </w:tr>
      <w:tr>
        <w:trPr>
          <w:trHeight w:val="230"/>
        </w:trPr>
        <w:tc>
          <w:tcPr>
            <w:tcW w:w="9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rPr>
              <w:t>(2,720)</w:t>
            </w:r>
          </w:p>
        </w:tc>
      </w:tr>
      <w:tr>
        <w:trPr>
          <w:trHeight w:val="223"/>
        </w:trPr>
        <w:tc>
          <w:tcPr>
            <w:tcW w:w="946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September 30, 2023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7"/>
              </w:rPr>
              <w:t>9,325</w:t>
            </w:r>
          </w:p>
        </w:tc>
      </w:tr>
      <w:tr>
        <w:trPr>
          <w:trHeight w:val="21"/>
        </w:trPr>
        <w:tc>
          <w:tcPr>
            <w:tcW w:w="20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7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82" w:lineRule="exact"/>
        <w:rPr>
          <w:sz w:val="20"/>
          <w:szCs w:val="20"/>
          <w:color w:val="auto"/>
        </w:rPr>
      </w:pPr>
    </w:p>
    <w:p>
      <w:pPr>
        <w:jc w:val="both"/>
        <w:ind w:left="340" w:hanging="332"/>
        <w:spacing w:after="0" w:line="237"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51"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September 30, 2023, American’s current loyalty program liability was $3.5 billion and represents American’s current estimate of revenue expected to be recognized in the next 12 months based on historical trends, with the balance reflected in long-term loyalty program liability expected to be recognized as revenue in periods thereafter.</w:t>
      </w:r>
    </w:p>
    <w:p>
      <w:pPr>
        <w:spacing w:after="0" w:line="15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American’s air traffic liability also fluctuates with seasonal travel patterns. The contract duration of passenger tickets is one year. Accordingly, any revenue associated with tickets sold for future travel will be recognized within 12 months. For the nine months ended September 30, 2023, $5.2 billion of revenue was recognized in passenger revenue that was included in American’s air traffic liability at December 31, 2022. Substantially all tickets issued in 2022 and thereafter are no longer subject to change fees which provides more flexibility for customers to change travel plans. Given this new flexibility offered to its customers, American’s estimate of revenue that will be recognized from the air traffic liability for future flown or unused tickets may be subject to variability and differ from historical experience.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2022</w:t>
            </w:r>
          </w:p>
        </w:tc>
      </w:tr>
      <w:tr>
        <w:trPr>
          <w:trHeight w:val="211"/>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8.59%, installments through February 2028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1,752</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7.32%, installments through January 2027</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7.25% senior secured notes, interest only payments until due in February 2028</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through April 2026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75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AAdvantage Term Loan Facility, variable interest rate of 10.34%, installments through April</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2"/>
        </w:trPr>
        <w:tc>
          <w:tcPr>
            <w:tcW w:w="7560" w:type="dxa"/>
            <w:vAlign w:val="bottom"/>
          </w:tcPr>
          <w:p>
            <w:pPr>
              <w:ind w:left="300"/>
              <w:spacing w:after="0" w:line="242"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176"/>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2"/>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7.13%, averaging 3.65%, maturing from 2023 to 2034</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2"/>
        </w:trPr>
        <w:tc>
          <w:tcPr>
            <w:tcW w:w="7560" w:type="dxa"/>
            <w:vAlign w:val="bottom"/>
          </w:tcPr>
          <w:p>
            <w:pPr>
              <w:ind w:left="300"/>
              <w:spacing w:after="0"/>
              <w:rPr>
                <w:sz w:val="20"/>
                <w:szCs w:val="20"/>
                <w:color w:val="auto"/>
              </w:rPr>
            </w:pPr>
            <w:r>
              <w:rPr>
                <w:rFonts w:ascii="Arial" w:cs="Arial" w:eastAsia="Arial" w:hAnsi="Arial"/>
                <w:sz w:val="18"/>
                <w:szCs w:val="18"/>
                <w:color w:val="auto"/>
              </w:rPr>
              <w:t>2.55% to 8.92%, averaging 6.91%, maturing from 2023 to 2035</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176"/>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2"/>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30,043</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r>
      <w:tr>
        <w:trPr>
          <w:trHeight w:val="248"/>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112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96"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2023, the maximum availability under American’s revolving credit and other facilities is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short-term facility</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American currently has $55 million of available borrowing base under a cargo receivables facility that is set to expire in December 2023. As a result of the below amendments to the 2013, 2014 and April 2016 Revolving Facilities, the aggregate commitments under these facilities will be $2.8 billion through October 11, 2024, and thereafter through October 13, 2026, such aggregate commitments will decrease to $2.2 billion.</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2023 Financing Activities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Credit Facilities</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February 2023, American and AAG refinanced approximately $1.8 billion in aggregate principal amount of term loans outstanding under the 2013 Term Loan Facility (the 2013 Term Loan Facility Refinancing) through the combination of (i) the issuance of $750 million in aggregate principal amount of 7.25% senior secured notes due 2028 and (ii) the entry into the Seventh Amendment to the 2013 Credit Agreement, pursuant to which the maturity of $1.0 billion in term loans under the 2013 Term Loan Facility was extended to February 2028 from June 2025. The Seventh Amendment also amended certain other terms of the 2013 Credit Agreement, including the interest rate and amortization schedule for the 2013 Term Loan Facility, the requirements for delivery of appraisals and certain covenants relating to dispositions of collateral. Additionally, the Seventh Amendment transitioned the benchmark interest rate from the London Interbank Offered Rate (LIBOR) to the Secured Overnight Financing Rate (SOFR). As a result, the 2013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and an applicable margin of 2.75%.</w:t>
      </w:r>
    </w:p>
    <w:p>
      <w:pPr>
        <w:spacing w:after="0" w:line="14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2023, American and AAG entered into the Eighth Amendment to the 2013 Credit Agreement, pursuant to which American extended the maturity of certain commitments under the 2013 Revolving Facility. The Eighth Amendment also amended certain other terms of the 2013 Credit Agreement, including certain covenants and transitioned the benchmark interest rate from LIBOR to SOFR. The 2013 Revolving Facility bears interest at a base rate (subject to a floor of 1.00%) plus an applicable margin of 2.25%, 2.50% or 2.75%, depending on AAG’s public corporate rating, or, at American’s option, the SOFR rate for a tenor of one, three or six months, depending on the interest period selected by American (subject to a floor of 0.00%), plus the SOFR adjustment applicable to such interest period plus an applicable margin of 3.25%, 3.50% or 3.75%, depending on AAG’s public corporate rating. Additionally, as a result of the Eighth Amendment, through October 11, 2024, the aggregate commitments under the 2013 Revolving Facility will be $736 million, and thereafter through October 13, 2026, such aggregate commitments will decrease to $563 million.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7.25% Senior Secured Notes</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February 15, 2023, as part of the 2013 Term Loan Facility Refinancing, American issued $ 750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which began on August 15, 2023. The 7.25% 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then outstanding under the 2013 Term Loan Facility and to pay related fees and expenses.</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countries in South America (which comprises Argentina, Bolivia, Brazil, Chile, Colombia, Ecuador, Guyana, Paraguay, Peru, Suriname, Uruguay and Venezuela but does not include territories subject to the sovereignty, control or jurisdiction of a country not otherwise listed herein) and New Zealand (collectively, the 7.25% Senior Secured Notes Collateral). The 7.25% Senior Secured Notes Collateral also secures, on a first lien, pari passu basis with the 7.25% Senior Secured Notes, the 2013 Credit Facilities under the 2013 Credit Agreement.</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certain equity offerings, at a redemption price equal to 107.250% of the aggregate principal amount of the 7.25% Senior Secured Notes to be redeemed, plus any accrued and unpaid interest thereon to but excluding the date of redemption.</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Further, if certain change of control transactions occur, each holder of 7.25% Senior Secured Notes may require American to repurchase the 7.25% Senior Secured Notes in whole or in part at a repurchase price of 101% of the aggregate principal amount thereof, plus accrued and unpaid interest, if any, to but not including the repurchase date.</w:t>
      </w:r>
    </w:p>
    <w:p>
      <w:pPr>
        <w:spacing w:after="0" w:line="13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Credit Facilities</w:t>
      </w:r>
    </w:p>
    <w:p>
      <w:pPr>
        <w:spacing w:after="0" w:line="9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2023, American and AAG entered into the Ninth Amendment to the 2014 Credit Agreement, pursuant to which American extended the maturity of certain commitments under the 2014 Revolving Facility. The Ninth Amendment also amended certain other terms of the 2014 Credit Agreement including the requirements for delivery of appraisals and certain other covenants and transitioned the benchmark interest rate for the 2014 Revolving Facility and the 2014 Term Loan Facility from LIBOR to SOFR. The 2014 Revolving Facility bears interest at the same base rate and applicable margin as the 2013 Revolving Facility, as noted above in “</w:t>
      </w:r>
      <w:r>
        <w:rPr>
          <w:rFonts w:ascii="Arial" w:cs="Arial" w:eastAsia="Arial" w:hAnsi="Arial"/>
          <w:sz w:val="18"/>
          <w:szCs w:val="18"/>
          <w:i w:val="1"/>
          <w:iCs w:val="1"/>
          <w:color w:val="auto"/>
        </w:rPr>
        <w:t>2013 Credit Facilities.”</w:t>
      </w:r>
      <w:r>
        <w:rPr>
          <w:rFonts w:ascii="Arial" w:cs="Arial" w:eastAsia="Arial" w:hAnsi="Arial"/>
          <w:sz w:val="18"/>
          <w:szCs w:val="18"/>
          <w:color w:val="auto"/>
        </w:rPr>
        <w:t xml:space="preserve"> The 2014 Term Loan Facility bears interest at a base rate (subject to a floor of 1.00%) plus an applicable margin of 1.75% or, at American’s option, the SOFR rate for a tenor of one, three or six months, depending on the interest period selected by American (subject to a floor of 0.00%), plus the SOFR adjustment applicable to such interest period plus an applicable margin of 0.75%. Additionally, as a result of the Ninth Amendment, through October 11, 2024, the aggregate commitments under the 2014 Revolving Facility will be $1.6 billion, and thereafter through October 13, 2026, such aggregate commitments will decrease to $1.2 billion.</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April 2016 Revolving Facility</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March 2023, American and AAG entered into the Sixth Amendment to the April 2016 Credit Agreement, pursuant to which American extended the maturity of certain commitments under the April 2016 Revolving Facility. The Sixth Amendment also amended certain other terms under the April 2016 Credit Agreement including the requirements for delivery of appraisals and certain other covenants and transitioned the benchmark interest rate for the April 2016 Revolving Facility from LIBOR to SOFR. The April 2016 Revolving Facility bears interest at the same base rate and applicable margin as the 2013 Revolving Facility, as noted above in “</w:t>
      </w:r>
      <w:r>
        <w:rPr>
          <w:rFonts w:ascii="Arial" w:cs="Arial" w:eastAsia="Arial" w:hAnsi="Arial"/>
          <w:sz w:val="18"/>
          <w:szCs w:val="18"/>
          <w:i w:val="1"/>
          <w:iCs w:val="1"/>
          <w:color w:val="auto"/>
        </w:rPr>
        <w:t>2013 Credit Facilities.”</w:t>
      </w:r>
      <w:r>
        <w:rPr>
          <w:rFonts w:ascii="Arial" w:cs="Arial" w:eastAsia="Arial" w:hAnsi="Arial"/>
          <w:sz w:val="18"/>
          <w:szCs w:val="18"/>
          <w:color w:val="auto"/>
        </w:rPr>
        <w:t xml:space="preserve"> Additionally, as a result of the Sixth Amendment, through October 11, 2024, the aggregate commitments under the April 2016 Revolving Facility will be $446 million, and thereafter through October 13, 2026, such aggregate commitments will decrease to $342 million.</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AAdvantage Term Loan Facility</w:t>
      </w:r>
    </w:p>
    <w:p>
      <w:pPr>
        <w:spacing w:after="0" w:line="9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June 2023, American and AAdvantage Loyalty IP Ltd. entered into the First Amendment to the AAdvantage Term Loan Facility pursuant to which the benchmark interest rate transitioned from LIBOR to SOFR, effective July 1, 2023. As a result, the AAdvantage Term Loan Facility bears interest at a base rate (subject to a floor of 0.00%) plus an applicable margin of 3.75% or, at American’s option, the SOFR rate for a tenor of three months (subject to a floor of 0.75%), plus a 0.26161% credit spread adjustment and an applicable margin of 4.75%. Other than the foregoing, the terms of the AAdvantage Term Loan Facility remain substantially unchanged.</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Loans and Other Notes Payable Issued in 2023</w:t>
      </w:r>
    </w:p>
    <w:p>
      <w:pPr>
        <w:spacing w:after="0" w:line="9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During the first nine months of 2023, American entered into agreements under which it borrowed $663 million in connection with the financing of certain aircraft. Debt incurred under these agreements matures in 2032 through 2035 and bears interest at fixed and variable rates (comprised of SOFR plus an applicable margin) averaging 6.90% as of September 30,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Financing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nine months of 2023, American repurchased $539 million of secured notes in the open market.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At December 31, 2022, American had approximately $16.1 billion of gross federal net operating losses (NOLs) and $3.5 billion of other carryforwards available to reduce future federal taxable income, of which $6.2 billion will expire beginning in 2025 if unused and $13.4 billion can be carried forward indefinitely. American is a member of AAG’s consolidated federal and certain state income tax returns. American also had approximately $5.9 billion of NOL carryforwards to reduce future state taxable income at December 31, 2022, which will expire in taxable years 2022 through 2042 if unused.</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 There can be no assurance that an additional valuation allowance on American’s net deferred tax assets will not be required. Such valuation allowance could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nine months ended September 30, 2023.</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rPr>
              <w:t>Fair Value Measurements as of September 30, 2023</w:t>
            </w:r>
          </w:p>
        </w:tc>
        <w:tc>
          <w:tcPr>
            <w:tcW w:w="106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7"/>
                <w:szCs w:val="17"/>
                <w:color w:val="auto"/>
              </w:rPr>
            </w:pPr>
          </w:p>
        </w:tc>
        <w:tc>
          <w:tcPr>
            <w:tcW w:w="10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32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7" w:lineRule="exact"/>
        <w:rPr>
          <w:sz w:val="20"/>
          <w:szCs w:val="20"/>
          <w:color w:val="auto"/>
        </w:rPr>
      </w:pPr>
    </w:p>
    <w:p>
      <w:pPr>
        <w:ind w:left="340" w:right="20" w:hanging="332"/>
        <w:spacing w:after="0" w:line="226"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49" w:lineRule="exact"/>
        <w:rPr>
          <w:rFonts w:ascii="Arial" w:cs="Arial" w:eastAsia="Arial" w:hAnsi="Arial"/>
          <w:sz w:val="23"/>
          <w:szCs w:val="23"/>
          <w:color w:val="auto"/>
          <w:vertAlign w:val="superscript"/>
        </w:rPr>
      </w:pPr>
    </w:p>
    <w:p>
      <w:pPr>
        <w:ind w:left="340" w:hanging="332"/>
        <w:spacing w:after="0" w:line="226"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w:t>
      </w:r>
    </w:p>
    <w:p>
      <w:pPr>
        <w:spacing w:after="0" w:line="150" w:lineRule="exact"/>
        <w:rPr>
          <w:rFonts w:ascii="Arial" w:cs="Arial" w:eastAsia="Arial" w:hAnsi="Arial"/>
          <w:sz w:val="23"/>
          <w:szCs w:val="23"/>
          <w:color w:val="auto"/>
          <w:vertAlign w:val="superscript"/>
        </w:rPr>
      </w:pPr>
    </w:p>
    <w:p>
      <w:pPr>
        <w:jc w:val="both"/>
        <w:ind w:left="340" w:hanging="332"/>
        <w:spacing w:after="0" w:line="233" w:lineRule="auto"/>
        <w:tabs>
          <w:tab w:leader="none" w:pos="33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American’s equity investments in China Southern Airlines Company Limited (China Southern Airlines), GOL Linhas Aéreas Inteligentes S.A. (GOL) and Vertical Aerospace Ltd. (Vertical). See Note 7 for further information on American’s equity investments.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2022</w:t>
            </w:r>
          </w:p>
        </w:tc>
      </w:tr>
      <w:tr>
        <w:trPr>
          <w:trHeight w:val="143"/>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2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100" w:type="dxa"/>
            <w:vAlign w:val="bottom"/>
          </w:tcPr>
          <w:p>
            <w:pPr>
              <w:jc w:val="center"/>
              <w:ind w:right="242"/>
              <w:spacing w:after="0" w:line="143" w:lineRule="exact"/>
              <w:rPr>
                <w:sz w:val="20"/>
                <w:szCs w:val="20"/>
                <w:color w:val="auto"/>
              </w:rPr>
            </w:pPr>
            <w:r>
              <w:rPr>
                <w:rFonts w:ascii="Arial" w:cs="Arial" w:eastAsia="Arial" w:hAnsi="Arial"/>
                <w:sz w:val="14"/>
                <w:szCs w:val="14"/>
                <w:b w:val="1"/>
                <w:bCs w:val="1"/>
                <w:color w:val="auto"/>
              </w:rPr>
              <w:t>Fair</w:t>
            </w:r>
          </w:p>
        </w:tc>
      </w:tr>
      <w:tr>
        <w:trPr>
          <w:trHeight w:val="189"/>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27,697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27,236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29,679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28,453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To help expand American’s network and as part of its ongoing commitment to sustainability, American enters into various commercial relationships or other strategic partnerships, including equity investments, with other airlines and companies. American’s equity investments are reflected in other assets on its condensed consolidated balance sheets. American’s share of equity method investees’ financial results and changes in fair value are recorded in nonoperating other income (expense), net on the condensed consolidated statements of operations.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American’s equity investment ownership interests and carrying values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bottom w:val="single" w:sz="8" w:color="auto"/>
            </w:tcBorders>
            <w:gridSpan w:val="3"/>
          </w:tcPr>
          <w:p>
            <w:pPr>
              <w:jc w:val="right"/>
              <w:ind w:right="1076"/>
              <w:spacing w:after="0"/>
              <w:rPr>
                <w:sz w:val="20"/>
                <w:szCs w:val="20"/>
                <w:color w:val="auto"/>
              </w:rPr>
            </w:pPr>
            <w:r>
              <w:rPr>
                <w:rFonts w:ascii="Arial" w:cs="Arial" w:eastAsia="Arial" w:hAnsi="Arial"/>
                <w:sz w:val="14"/>
                <w:szCs w:val="14"/>
                <w:b w:val="1"/>
                <w:bCs w:val="1"/>
                <w:color w:val="auto"/>
              </w:rPr>
              <w:t>Ownership Interest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Carrying Value (in millions)</w:t>
            </w:r>
          </w:p>
        </w:tc>
      </w:tr>
      <w:tr>
        <w:trPr>
          <w:trHeight w:val="201"/>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Accounting Treatment</w:t>
            </w: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2023</w:t>
            </w: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7"/>
                <w:szCs w:val="17"/>
                <w:color w:val="auto"/>
              </w:rPr>
            </w:pPr>
          </w:p>
        </w:tc>
        <w:tc>
          <w:tcPr>
            <w:tcW w:w="148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 2022</w:t>
            </w:r>
          </w:p>
        </w:tc>
      </w:tr>
      <w:tr>
        <w:trPr>
          <w:trHeight w:val="171"/>
        </w:trPr>
        <w:tc>
          <w:tcPr>
            <w:tcW w:w="2160" w:type="dxa"/>
            <w:vAlign w:val="bottom"/>
            <w:tcBorders>
              <w:top w:val="single" w:sz="8" w:color="CCEEFF"/>
            </w:tcBorders>
            <w:gridSpan w:val="2"/>
            <w:shd w:val="clear" w:color="auto" w:fill="CCEEFF"/>
          </w:tcPr>
          <w:p>
            <w:pPr>
              <w:ind w:left="20"/>
              <w:spacing w:after="0" w:line="170" w:lineRule="exact"/>
              <w:rPr>
                <w:sz w:val="20"/>
                <w:szCs w:val="20"/>
                <w:color w:val="auto"/>
              </w:rPr>
            </w:pPr>
            <w:r>
              <w:rPr>
                <w:rFonts w:ascii="Arial" w:cs="Arial" w:eastAsia="Arial" w:hAnsi="Arial"/>
                <w:sz w:val="18"/>
                <w:szCs w:val="18"/>
                <w:color w:val="auto"/>
              </w:rPr>
              <w:t>Republic Airways</w:t>
            </w:r>
          </w:p>
        </w:tc>
        <w:tc>
          <w:tcPr>
            <w:tcW w:w="1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229"/>
        </w:trPr>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Holdings Inc.</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Equity Method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Fair Value</w:t>
            </w: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2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pacing w:after="0" w:line="82" w:lineRule="exact"/>
        <w:rPr>
          <w:sz w:val="20"/>
          <w:szCs w:val="20"/>
          <w:color w:val="auto"/>
        </w:rPr>
      </w:pPr>
    </w:p>
    <w:p>
      <w:pPr>
        <w:ind w:left="340" w:right="20" w:hanging="332"/>
        <w:spacing w:after="0" w:line="226"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Primarily includes American’s investment in JetSMART Holdings Limited, which is accounted for under the equity method, and American’s investments in GOL and Vertical, which are each accounted for at fair value.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service cost component of net periodic benefit cost (income) is included in operating expenses and the other components of net periodic benefit cost (income) are included in nonoperating other income (expense), net in the condensed consolidated statements of operations.</w:t>
      </w:r>
    </w:p>
    <w:p>
      <w:pPr>
        <w:spacing w:after="0" w:line="1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As of September 30, 2023, American remeasured its retiree medical and other postretirement benefits to account for enhanced retirement benefits provided to its mainline pilots pursuant to the new collective bargaining agreement ratified in August 2023. As a result, American increased its postretirement benefits obligation by $339 million, which was included as a component of prior service cost in accumulated other comprehensive loss.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nine months of 2023, American made required contributions of $67 million to its defined benefit pension plans.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3" w:lineRule="exact"/>
        <w:rPr>
          <w:sz w:val="20"/>
          <w:szCs w:val="20"/>
          <w:color w:val="auto"/>
        </w:rPr>
      </w:pPr>
    </w:p>
    <w:p>
      <w:pPr>
        <w:jc w:val="center"/>
        <w:ind w:left="1280"/>
        <w:spacing w:after="0"/>
        <w:rPr>
          <w:sz w:val="20"/>
          <w:szCs w:val="20"/>
          <w:color w:val="auto"/>
        </w:rPr>
      </w:pPr>
      <w:r>
        <w:rPr>
          <w:rFonts w:ascii="Arial" w:cs="Arial" w:eastAsia="Arial" w:hAnsi="Arial"/>
          <w:sz w:val="14"/>
          <w:szCs w:val="14"/>
          <w:b w:val="1"/>
          <w:bCs w:val="1"/>
          <w:color w:val="auto"/>
        </w:rPr>
        <w:t>Pension,</w:t>
      </w:r>
    </w:p>
    <w:p>
      <w:pPr>
        <w:jc w:val="center"/>
        <w:ind w:left="1280"/>
        <w:spacing w:after="0" w:line="221" w:lineRule="auto"/>
        <w:rPr>
          <w:sz w:val="20"/>
          <w:szCs w:val="20"/>
          <w:color w:val="auto"/>
        </w:rPr>
      </w:pPr>
      <w:r>
        <w:rPr>
          <w:rFonts w:ascii="Arial" w:cs="Arial" w:eastAsia="Arial" w:hAnsi="Arial"/>
          <w:sz w:val="14"/>
          <w:szCs w:val="14"/>
          <w:b w:val="1"/>
          <w:bCs w:val="1"/>
          <w:color w:val="auto"/>
        </w:rPr>
        <w:t>Retiree</w:t>
      </w:r>
    </w:p>
    <w:tbl>
      <w:tblPr>
        <w:tblLayout w:type="fixed"/>
        <w:tblInd w:w="0" w:type="dxa"/>
        <w:tblCellMar>
          <w:top w:w="0" w:type="dxa"/>
          <w:left w:w="0" w:type="dxa"/>
          <w:bottom w:w="0" w:type="dxa"/>
          <w:right w:w="0" w:type="dxa"/>
        </w:tblCellMar>
      </w:tblPr>
      <w:tr>
        <w:trPr>
          <w:trHeight w:val="131"/>
        </w:trPr>
        <w:tc>
          <w:tcPr>
            <w:tcW w:w="5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rPr>
              <w:t>Medical and</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Income Tax</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Other</w:t>
            </w: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1"/>
                <w:szCs w:val="11"/>
                <w:color w:val="auto"/>
              </w:rPr>
            </w:pPr>
          </w:p>
        </w:tc>
        <w:tc>
          <w:tcPr>
            <w:tcW w:w="13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rPr>
              <w:t>Benefit</w:t>
            </w:r>
          </w:p>
        </w:tc>
        <w:tc>
          <w:tcPr>
            <w:tcW w:w="300" w:type="dxa"/>
            <w:vAlign w:val="bottom"/>
          </w:tcPr>
          <w:p>
            <w:pPr>
              <w:spacing w:after="0"/>
              <w:rPr>
                <w:sz w:val="11"/>
                <w:szCs w:val="11"/>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7"/>
              <w:spacing w:after="0" w:line="202" w:lineRule="exact"/>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18"/>
                <w:szCs w:val="18"/>
                <w:b w:val="1"/>
                <w:bCs w:val="1"/>
                <w:color w:val="auto"/>
                <w:vertAlign w:val="superscript"/>
              </w:rPr>
              <w:t>(1)</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line="230" w:lineRule="exact"/>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4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18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3112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340" w:hanging="332"/>
        <w:spacing w:after="0" w:line="226"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50" w:lineRule="exact"/>
        <w:rPr>
          <w:rFonts w:ascii="Arial" w:cs="Arial" w:eastAsia="Arial" w:hAnsi="Arial"/>
          <w:sz w:val="23"/>
          <w:szCs w:val="23"/>
          <w:color w:val="auto"/>
          <w:vertAlign w:val="superscript"/>
        </w:rPr>
      </w:pPr>
    </w:p>
    <w:p>
      <w:pPr>
        <w:ind w:left="340" w:hanging="332"/>
        <w:spacing w:after="0" w:line="226"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statements of operations.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18"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Amounts reclassified from AOCI</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57"/>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right"/>
              <w:ind w:right="8"/>
              <w:spacing w:after="0" w:line="157" w:lineRule="exact"/>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4"/>
          </w:tcPr>
          <w:p>
            <w:pPr>
              <w:jc w:val="right"/>
              <w:ind w:right="335"/>
              <w:spacing w:after="0" w:line="157" w:lineRule="exact"/>
              <w:rPr>
                <w:sz w:val="20"/>
                <w:szCs w:val="20"/>
                <w:color w:val="auto"/>
              </w:rPr>
            </w:pPr>
            <w:r>
              <w:rPr>
                <w:rFonts w:ascii="Arial" w:cs="Arial" w:eastAsia="Arial" w:hAnsi="Arial"/>
                <w:sz w:val="14"/>
                <w:szCs w:val="14"/>
                <w:b w:val="1"/>
                <w:bCs w:val="1"/>
                <w:color w:val="auto"/>
              </w:rPr>
              <w:t>Nine Months Ended</w:t>
            </w:r>
          </w:p>
        </w:tc>
      </w:tr>
      <w:tr>
        <w:trPr>
          <w:trHeight w:val="189"/>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AOCI Components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r>
      <w:tr>
        <w:trPr>
          <w:trHeight w:val="171"/>
        </w:trPr>
        <w:tc>
          <w:tcPr>
            <w:tcW w:w="386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Amortization of pension, retiree medical and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9"/>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other postretirement benefits: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32"/>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Actuarial loss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15175" cy="265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15175"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Affected line items on the</w:t>
      </w:r>
    </w:p>
    <w:p>
      <w:pPr>
        <w:jc w:val="center"/>
        <w:ind w:right="200"/>
        <w:spacing w:after="0" w:line="221" w:lineRule="auto"/>
        <w:rPr>
          <w:sz w:val="20"/>
          <w:szCs w:val="20"/>
          <w:color w:val="auto"/>
        </w:rPr>
      </w:pPr>
      <w:r>
        <w:rPr>
          <w:rFonts w:ascii="Arial" w:cs="Arial" w:eastAsia="Arial" w:hAnsi="Arial"/>
          <w:sz w:val="14"/>
          <w:szCs w:val="14"/>
          <w:b w:val="1"/>
          <w:bCs w:val="1"/>
          <w:color w:val="auto"/>
        </w:rPr>
        <w:t>condensed consolidated</w:t>
      </w:r>
    </w:p>
    <w:p>
      <w:pPr>
        <w:ind w:left="340"/>
        <w:spacing w:after="0"/>
        <w:rPr>
          <w:sz w:val="20"/>
          <w:szCs w:val="20"/>
          <w:color w:val="auto"/>
        </w:rPr>
      </w:pPr>
      <w:r>
        <w:rPr>
          <w:rFonts w:ascii="Arial" w:cs="Arial" w:eastAsia="Arial" w:hAnsi="Arial"/>
          <w:sz w:val="14"/>
          <w:szCs w:val="14"/>
          <w:b w:val="1"/>
          <w:bCs w:val="1"/>
          <w:color w:val="auto"/>
        </w:rPr>
        <w:t>statements of operations</w:t>
      </w:r>
    </w:p>
    <w:p>
      <w:pPr>
        <w:spacing w:after="0" w:line="200" w:lineRule="exact"/>
        <w:rPr>
          <w:sz w:val="20"/>
          <w:szCs w:val="20"/>
          <w:color w:val="auto"/>
        </w:rPr>
      </w:pPr>
    </w:p>
    <w:p>
      <w:pPr>
        <w:spacing w:after="0" w:line="256" w:lineRule="exact"/>
        <w:rPr>
          <w:sz w:val="20"/>
          <w:szCs w:val="20"/>
          <w:color w:val="auto"/>
        </w:rPr>
      </w:pPr>
    </w:p>
    <w:p>
      <w:pPr>
        <w:ind w:right="560" w:hanging="161"/>
        <w:spacing w:after="0" w:line="234" w:lineRule="auto"/>
        <w:rPr>
          <w:sz w:val="20"/>
          <w:szCs w:val="20"/>
          <w:color w:val="auto"/>
        </w:rPr>
      </w:pPr>
      <w:r>
        <w:rPr>
          <w:rFonts w:ascii="Arial" w:cs="Arial" w:eastAsia="Arial" w:hAnsi="Arial"/>
          <w:sz w:val="18"/>
          <w:szCs w:val="18"/>
          <w:color w:val="auto"/>
        </w:rPr>
        <w:t>Nonoperating other income (expense), net</w:t>
      </w:r>
    </w:p>
    <w:p>
      <w:pPr>
        <w:spacing w:after="0" w:line="15" w:lineRule="exact"/>
        <w:rPr>
          <w:sz w:val="20"/>
          <w:szCs w:val="20"/>
          <w:color w:val="auto"/>
        </w:rPr>
      </w:pPr>
    </w:p>
    <w:p>
      <w:pPr>
        <w:ind w:right="560" w:hanging="161"/>
        <w:spacing w:after="0" w:line="234" w:lineRule="auto"/>
        <w:rPr>
          <w:sz w:val="20"/>
          <w:szCs w:val="20"/>
          <w:color w:val="auto"/>
        </w:rPr>
      </w:pPr>
      <w:r>
        <w:rPr>
          <w:rFonts w:ascii="Arial" w:cs="Arial" w:eastAsia="Arial" w:hAnsi="Arial"/>
          <w:sz w:val="18"/>
          <w:szCs w:val="18"/>
          <w:color w:val="auto"/>
        </w:rPr>
        <w:t>Nonoperating other income (expense), net</w:t>
      </w:r>
    </w:p>
    <w:p>
      <w:pPr>
        <w:spacing w:after="0" w:line="919" w:lineRule="exact"/>
        <w:rPr>
          <w:sz w:val="20"/>
          <w:szCs w:val="20"/>
          <w:color w:val="auto"/>
        </w:rPr>
      </w:pPr>
    </w:p>
    <w:p>
      <w:pPr>
        <w:sectPr>
          <w:pgSz w:w="11900" w:h="16838" w:orient="portrait"/>
          <w:cols w:equalWidth="0" w:num="2">
            <w:col w:w="8380" w:space="280"/>
            <w:col w:w="2580"/>
          </w:cols>
          <w:pgMar w:left="320" w:top="118" w:right="339" w:bottom="1440" w:gutter="0" w:footer="0" w:header="0"/>
          <w:type w:val="continuous"/>
        </w:sectPr>
      </w:pPr>
    </w:p>
    <w:p>
      <w:pPr>
        <w:jc w:val="both"/>
        <w:ind w:firstLine="243"/>
        <w:spacing w:after="0" w:line="258"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in the form of capacity purchase agreements. Expenses associated with American Eagle operations are classified as regional expenses on the condensed consolidated statements of operations.</w:t>
      </w:r>
    </w:p>
    <w:p>
      <w:pPr>
        <w:spacing w:after="0" w:line="13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Regional expenses for the three months ended September 30, 2023 and 2022 include $67 million and $68 million of depreciation and amortization, respectively, and $2 million and $1 million of aircraft rent, respectively. Regional expenses for the nine months ended September 30, 2023 and 2022 include $203 million and $201 million of depreciation and amortization, respectively, and $5 million and $4 million of aircraft rent, respectively.</w:t>
      </w:r>
    </w:p>
    <w:p>
      <w:pPr>
        <w:spacing w:after="0" w:line="13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During the three months ended September 30, 2023 and 2022, American recognized $153 million and $ 152 million, respectively, of expense under its capacity purchase agreement with Republic Airways Inc. (Republic). During the nine months ended September 30, 2023 and 2022, American recognized $489 million and $462 million, respectively, of expense under its capacity purchase agreement with Republic. American holds a 25% equity interest in Republic Airways Holdings Inc., the parent company of Republic.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Transactions with Related Parties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7"/>
                <w:szCs w:val="17"/>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7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97"/>
              </w:rPr>
              <w:t>9,043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8,692</w:t>
            </w:r>
          </w:p>
        </w:tc>
      </w:tr>
      <w:tr>
        <w:trPr>
          <w:trHeight w:val="230"/>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35"/>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15"/>
              <w:spacing w:after="0"/>
              <w:rPr>
                <w:sz w:val="20"/>
                <w:szCs w:val="20"/>
                <w:color w:val="auto"/>
              </w:rPr>
            </w:pPr>
            <w:r>
              <w:rPr>
                <w:rFonts w:ascii="Arial" w:cs="Arial" w:eastAsia="Arial" w:hAnsi="Arial"/>
                <w:sz w:val="18"/>
                <w:szCs w:val="18"/>
                <w:color w:val="auto"/>
              </w:rPr>
              <w:t>(2,104)</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97"/>
              </w:rPr>
              <w:t>6,939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6,588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82" w:lineRule="exact"/>
        <w:rPr>
          <w:sz w:val="20"/>
          <w:szCs w:val="20"/>
          <w:color w:val="auto"/>
        </w:rPr>
      </w:pPr>
    </w:p>
    <w:p>
      <w:pPr>
        <w:ind w:left="340" w:hanging="332"/>
        <w:spacing w:after="0" w:line="226"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9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 The parties presented their respective cases in a bench trial that commenced on September 27, 2022. The parties presented closing arguments on November 18, 2022.</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May 19, 2023, the U.S. District Court for the District of Massachusetts issued an order permanently enjoining American and JetBlue from continuing and further implementing the NEA. Following written submissions by the parties and a hearing on July 26, 2023, the U.S. District Court for the District of Massachusetts entered a Final Judgment and Order Entering Permanent Injunction on July 28, 2023. The parties have complied and will continue to comply with the terms of the Final Judgment and Order Entering Permanent Injunction, including winding down activities related to the NEA. American filed a notice of appeal to the U.S. Court of Appeals for the First Circuit on September 25, 2023.</w:t>
      </w:r>
    </w:p>
    <w:p>
      <w:pPr>
        <w:spacing w:after="0" w:line="13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In March 2023, American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American, together with JetBlue, filed a motion to dismiss the third amended complaint, and that motion remains pending. American believes these lawsuits are without merit and is defending against them vigorously.</w:t>
      </w:r>
    </w:p>
    <w:p>
      <w:pPr>
        <w:spacing w:after="0" w:line="13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0"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2022 (the 2022 Form 10-K). The information contained herein is not a comprehensive discussion and analysis of the financial condition and results of operations of AAG and American, but rather updates disclosures made in the 2022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Third Quarter 2023 Results</w:t>
      </w:r>
    </w:p>
    <w:p>
      <w:pPr>
        <w:spacing w:after="0" w:line="100" w:lineRule="exact"/>
        <w:rPr>
          <w:sz w:val="20"/>
          <w:szCs w:val="20"/>
          <w:color w:val="auto"/>
        </w:rPr>
      </w:pPr>
    </w:p>
    <w:p>
      <w:pPr>
        <w:jc w:val="both"/>
        <w:ind w:right="20" w:firstLine="243"/>
        <w:spacing w:after="0" w:line="275"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left="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93"/>
              <w:spacing w:after="0" w:line="121" w:lineRule="exact"/>
              <w:rPr>
                <w:sz w:val="20"/>
                <w:szCs w:val="20"/>
                <w:color w:val="auto"/>
              </w:rPr>
            </w:pPr>
            <w:r>
              <w:rPr>
                <w:rFonts w:ascii="Arial" w:cs="Arial" w:eastAsia="Arial" w:hAnsi="Arial"/>
                <w:sz w:val="13"/>
                <w:szCs w:val="13"/>
                <w:b w:val="1"/>
                <w:bCs w:val="1"/>
                <w:color w:val="auto"/>
              </w:rPr>
              <w:t>Increase</w:t>
            </w:r>
          </w:p>
        </w:tc>
        <w:tc>
          <w:tcPr>
            <w:tcW w:w="1260" w:type="dxa"/>
            <w:vAlign w:val="bottom"/>
          </w:tcPr>
          <w:p>
            <w:pPr>
              <w:jc w:val="center"/>
              <w:ind w:left="36"/>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40" w:type="dxa"/>
            <w:vAlign w:val="bottom"/>
            <w:gridSpan w:val="7"/>
          </w:tcPr>
          <w:p>
            <w:pPr>
              <w:jc w:val="right"/>
              <w:ind w:right="153"/>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w w:val="97"/>
              </w:rPr>
              <w:t>(30.9)</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6"/>
              </w:rPr>
              <w:t>10.4</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7"/>
              </w:rPr>
              <w:t>(16.6)</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w w:val="96"/>
              </w:rPr>
              <w:t>17.4</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(1,153)</w:t>
            </w:r>
          </w:p>
        </w:tc>
        <w:tc>
          <w:tcPr>
            <w:tcW w:w="1260" w:type="dxa"/>
            <w:vAlign w:val="bottom"/>
          </w:tcPr>
          <w:p>
            <w:pPr>
              <w:ind w:left="560"/>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w:t>
            </w:r>
          </w:p>
        </w:tc>
        <w:tc>
          <w:tcPr>
            <w:tcW w:w="1260" w:type="dxa"/>
            <w:vAlign w:val="bottom"/>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260" w:type="dxa"/>
            <w:vAlign w:val="bottom"/>
            <w:tcBorders>
              <w:bottom w:val="single" w:sz="8" w:color="CCEEFF"/>
            </w:tcBorders>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60" w:type="dxa"/>
            <w:vAlign w:val="bottom"/>
            <w:tcBorders>
              <w:bottom w:val="single" w:sz="8" w:color="CCEEFF"/>
            </w:tcBorders>
            <w:shd w:val="clear" w:color="auto" w:fill="CCEEFF"/>
          </w:tcPr>
          <w:p>
            <w:pPr>
              <w:jc w:val="center"/>
              <w:ind w:left="36"/>
              <w:spacing w:after="0"/>
              <w:rPr>
                <w:sz w:val="20"/>
                <w:szCs w:val="20"/>
                <w:color w:val="auto"/>
              </w:rPr>
            </w:pPr>
            <w:r>
              <w:rPr>
                <w:rFonts w:ascii="Arial" w:cs="Arial" w:eastAsia="Arial" w:hAnsi="Arial"/>
                <w:sz w:val="18"/>
                <w:szCs w:val="18"/>
                <w:color w:val="auto"/>
                <w:w w:val="97"/>
              </w:rPr>
              <w:t>(43.4)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-2468245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-2468245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340" w:hanging="332"/>
        <w:spacing w:after="0" w:line="229"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below and Note 2 to AAG’s Condensed Consolidated Financial Statements in Part I, Item 1A for details on the components of net special items.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(Loss) and Net Income (Loss)</w:t>
      </w:r>
    </w:p>
    <w:p>
      <w:pPr>
        <w:spacing w:after="0" w:line="9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Pre-tax loss and net loss were $690 million and $ 545 million, respectively, in the third quarter of 2023. This compares to third quarter of 2022 pre-tax income and net income of $658 million and $483 million, respectively. The period-over-period decrease in our pre-tax income on a GAAP basis was principally driven by increased salaries, wages and benefits costs as a result of the ratification of a new collective bargaining agreement with our mainline pilots. The third quarter of 2023 also included $ 1.1 billion of pre-tax net special items, principally related to one-time charges resulting from the new agreement. These costs were offset in part by lower aircraft fuel expenses principally driven by a 22.0% decrease in the average price per gallon of aircraft fuel.</w:t>
      </w:r>
    </w:p>
    <w:p>
      <w:pPr>
        <w:spacing w:after="0" w:line="13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Excluding the effects of pre-tax net special items, pre-tax income was $362 million and $ 640 million in the third quarters of 2023 and 2022, respectively. The period-over-period decrease in our pre-tax income excluding pre-tax net special items was principally driven by increased salaries, wages and benefits costs, offset in part by lower aircraft fuel expenses, as described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May 2023, American and the Allied Pilots Association, the union representing our mainline pilots, reached an agreement in principle on a new collective bargaining agreement, which was ratified in August 2023. This four-year agreement provides wage rate increases, including an initial wage rate increase of 21% effective as of January 1, 2023, quality-of-life benefits and other benefit-related items. The additional compensation for the 2023 period prior to contract ratification as a result of the higher wage rates was recorded within salaries, wages and benefits in the condensed consolidated statements of operations in the second and third quarters of 2023. The agreement also included a provision for a one-time payment upon ratification. During the third quarter of 2023, one-time charges resulting from the ratification of this new agreement were recorded as mainline operating special items, net in the condensed consolidated statement of operations, including the one-time payment of $754 million as well as adjustments to other benefit-related items of $229 million. The one-time payment and the additional compensation was principally paid in October 2023, with remaining payments expected to be paid in the first quarter of 2024.</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9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third quarter of 2023, we reported total operating revenues of $13.5 billion and total passenger revenue of $12.4 billion. These revenues remained flat as compared to the third quarter of 2022. Continued strength in demand for air travel in the third quarter of 2023 resulted in a 5.2% increase in revenue passenger miles (RPMs), offset in part by a 4.8% decrease in passenger yield.</w:t>
      </w:r>
    </w:p>
    <w:p>
      <w:pPr>
        <w:spacing w:after="0" w:line="13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Cargo revenue decreased $86 million, or 30.9%, in the third quarter of 2023 from the third quarter of 2022 primarily due to a 32.6% decrease in cargo yield driven by increased air freight capacity.</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Other operating revenue increased $81 million, or 10.4%, in the third quarter of 2023 from the third quarter of 2022, driven primarily by higher revenue associated with our loyalty program.</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Our total revenue per available seat mile (TRASM) was 18.40 cents in the third quarter of 2023, a 6.3% decrease as compared to 19.63 cents in the third quarter of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9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Aircraft fuel expense was $3.2 billion in the third quarter of 2023, which was $638 million, or 16.6%, lower as compared to the third quarter of 2022. This decrease was primarily due to a 22.0% decrease in the average price per gallon of aircraft fuel including related taxes to $2.91 in the third quarter of 2023 from $3.73 in the third quarter of 2022, offset in part by a 6.9% increase in gallons of fuel consumed due to increased capacity.</w:t>
      </w:r>
    </w:p>
    <w:p>
      <w:pPr>
        <w:spacing w:after="0" w:line="136"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As of September 30, 2023,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9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2023 third quarter total operating cost per available seat mile (CASM) was 18.70 cents, an increase of 2.3% from 18.28 cents in the third quarter of 2022. This increase was primarily driven by costs associated with the ratification of a new collective bargaining agreement with our mainline pilots, offset in part by lower aircraft fuel expenses, as described above.</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2023 third quarter CASM excluding net special items and fuel was 13.02 cents, an increase of 3.3% from 12.61 cents in the third quarter of 2022, which was primarily driven by costs associated with the ratification of a new collective bargaining agreement with our mainline pilots, as described above.</w:t>
      </w:r>
    </w:p>
    <w:p>
      <w:pPr>
        <w:spacing w:after="0" w:line="124"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color w:val="auto"/>
        </w:rPr>
        <w:t xml:space="preserve">For a reconciliation of CASM to CASM excluding net special items and fuel, see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below.</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9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As of September 30, 2023, we had $13.5 billion in total available liquidity, consisting of $10.6 billion in unrestricted cash and short-term investments, and $2.9 billion in total undrawn capacity under revolving credit and other short-term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0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4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20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5"/>
        </w:trPr>
        <w:tc>
          <w:tcPr>
            <w:tcW w:w="20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196"/>
        </w:trPr>
        <w:tc>
          <w:tcPr>
            <w:tcW w:w="20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1"/>
        </w:trPr>
        <w:tc>
          <w:tcPr>
            <w:tcW w:w="5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Income (Loss) Excluding Net Special Items:</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Pre-tax income (loss) – GAAP</w:t>
            </w:r>
          </w:p>
        </w:tc>
        <w:tc>
          <w:tcPr>
            <w:tcW w:w="800" w:type="dxa"/>
            <w:vAlign w:val="bottom"/>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5"/>
              </w:rPr>
              <w:t>(690)</w:t>
            </w:r>
          </w:p>
        </w:tc>
        <w:tc>
          <w:tcPr>
            <w:tcW w:w="120" w:type="dxa"/>
            <w:vAlign w:val="bottom"/>
          </w:tcPr>
          <w:p>
            <w:pPr>
              <w:spacing w:after="0"/>
              <w:rPr>
                <w:sz w:val="19"/>
                <w:szCs w:val="19"/>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30"/>
        </w:trPr>
        <w:tc>
          <w:tcPr>
            <w:tcW w:w="59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Regional operating special items,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9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Nonoperating special items, net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pre-tax net special items</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Pre-tax income (loss) excluding net special items</w:t>
            </w:r>
          </w:p>
        </w:tc>
        <w:tc>
          <w:tcPr>
            <w:tcW w:w="800" w:type="dxa"/>
            <w:vAlign w:val="bottom"/>
            <w:tcBorders>
              <w:bottom w:val="single" w:sz="8" w:color="auto"/>
            </w:tcBorders>
          </w:tcPr>
          <w:p>
            <w:pPr>
              <w:jc w:val="right"/>
              <w:ind w:right="59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r>
      <w:tr>
        <w:trPr>
          <w:trHeight w:val="20"/>
        </w:trPr>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-1482090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-1482090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8" w:lineRule="exact"/>
        <w:rPr>
          <w:sz w:val="20"/>
          <w:szCs w:val="20"/>
          <w:color w:val="auto"/>
        </w:rPr>
      </w:pPr>
    </w:p>
    <w:p>
      <w:pPr>
        <w:jc w:val="center"/>
        <w:ind w:left="5520" w:right="600" w:hanging="5512"/>
        <w:spacing w:after="0" w:line="710" w:lineRule="auto"/>
        <w:tabs>
          <w:tab w:leader="none" w:pos="322"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allows management an additional tool to understand and analyze our non-fuel costs and core operating performance. Amounts may not recalculate due to rounding.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20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5"/>
        </w:trPr>
        <w:tc>
          <w:tcPr>
            <w:tcW w:w="208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2022</w:t>
            </w:r>
          </w:p>
        </w:tc>
      </w:tr>
      <w:tr>
        <w:trPr>
          <w:trHeight w:val="211"/>
        </w:trPr>
        <w:tc>
          <w:tcPr>
            <w:tcW w:w="58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and Fuel:</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1"/>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35,558</w:t>
            </w:r>
          </w:p>
        </w:tc>
      </w:tr>
      <w:tr>
        <w:trPr>
          <w:trHeight w:val="229"/>
        </w:trPr>
        <w:tc>
          <w:tcPr>
            <w:tcW w:w="58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880" w:type="dxa"/>
            <w:vAlign w:val="bottom"/>
            <w:gridSpan w:val="2"/>
            <w:shd w:val="clear" w:color="auto" w:fill="CCEEFF"/>
          </w:tcPr>
          <w:p>
            <w:pPr>
              <w:jc w:val="center"/>
              <w:ind w:right="2180"/>
              <w:spacing w:after="0"/>
              <w:rPr>
                <w:sz w:val="20"/>
                <w:szCs w:val="20"/>
                <w:color w:val="auto"/>
              </w:rPr>
            </w:pPr>
            <w:r>
              <w:rPr>
                <w:rFonts w:ascii="Arial" w:cs="Arial" w:eastAsia="Arial" w:hAnsi="Arial"/>
                <w:sz w:val="18"/>
                <w:szCs w:val="18"/>
                <w:color w:val="auto"/>
                <w:w w:val="99"/>
              </w:rPr>
              <w:t>Mainline operating special items,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5880" w:type="dxa"/>
            <w:vAlign w:val="bottom"/>
            <w:gridSpan w:val="2"/>
          </w:tcPr>
          <w:p>
            <w:pPr>
              <w:jc w:val="center"/>
              <w:ind w:right="2140"/>
              <w:spacing w:after="0"/>
              <w:rPr>
                <w:sz w:val="20"/>
                <w:szCs w:val="20"/>
                <w:color w:val="auto"/>
              </w:rPr>
            </w:pPr>
            <w:r>
              <w:rPr>
                <w:rFonts w:ascii="Arial" w:cs="Arial" w:eastAsia="Arial" w:hAnsi="Arial"/>
                <w:sz w:val="18"/>
                <w:szCs w:val="18"/>
                <w:color w:val="auto"/>
                <w:w w:val="99"/>
              </w:rPr>
              <w:t>Regional operating special items,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73,285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207,950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194,264</w:t>
            </w:r>
          </w:p>
        </w:tc>
      </w:tr>
      <w:tr>
        <w:trPr>
          <w:trHeight w:val="203"/>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29"/>
        </w:trPr>
        <w:tc>
          <w:tcPr>
            <w:tcW w:w="58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5880" w:type="dxa"/>
            <w:vAlign w:val="bottom"/>
            <w:gridSpan w:val="2"/>
            <w:shd w:val="clear" w:color="auto" w:fill="CCEEFF"/>
          </w:tcPr>
          <w:p>
            <w:pPr>
              <w:jc w:val="center"/>
              <w:ind w:right="2220"/>
              <w:spacing w:after="0"/>
              <w:rPr>
                <w:sz w:val="20"/>
                <w:szCs w:val="20"/>
                <w:color w:val="auto"/>
              </w:rPr>
            </w:pPr>
            <w:r>
              <w:rPr>
                <w:rFonts w:ascii="Arial" w:cs="Arial" w:eastAsia="Arial" w:hAnsi="Arial"/>
                <w:sz w:val="18"/>
                <w:szCs w:val="18"/>
                <w:color w:val="auto"/>
                <w:w w:val="99"/>
              </w:rPr>
              <w:t>Regional operating special items, net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48"/>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-2622550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2" w:lineRule="exact"/>
        <w:rPr>
          <w:sz w:val="20"/>
          <w:szCs w:val="20"/>
          <w:color w:val="auto"/>
        </w:rPr>
      </w:pPr>
    </w:p>
    <w:p>
      <w:pPr>
        <w:jc w:val="center"/>
        <w:ind w:left="5520" w:right="600" w:hanging="5512"/>
        <w:spacing w:after="0" w:line="710" w:lineRule="auto"/>
        <w:tabs>
          <w:tab w:leader="none" w:pos="322"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41" w:lineRule="exact"/>
        <w:rPr>
          <w:sz w:val="20"/>
          <w:szCs w:val="20"/>
          <w:color w:val="auto"/>
        </w:rPr>
      </w:pPr>
    </w:p>
    <w:p>
      <w:pPr>
        <w:ind w:right="20" w:firstLine="243"/>
        <w:spacing w:after="0" w:line="275" w:lineRule="auto"/>
        <w:rPr>
          <w:sz w:val="20"/>
          <w:szCs w:val="20"/>
          <w:color w:val="auto"/>
        </w:rPr>
      </w:pPr>
      <w:r>
        <w:rPr>
          <w:rFonts w:ascii="Arial" w:cs="Arial" w:eastAsia="Arial" w:hAnsi="Arial"/>
          <w:sz w:val="18"/>
          <w:szCs w:val="18"/>
          <w:color w:val="auto"/>
        </w:rPr>
        <w:t>The table below sets forth selected operating data for the three and nine months ended September 30, 2023 and 2022. Amounts may not recalculate due to rounding.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10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470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Increase</w:t>
            </w:r>
          </w:p>
        </w:tc>
        <w:tc>
          <w:tcPr>
            <w:tcW w:w="21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Increase</w:t>
            </w:r>
          </w:p>
        </w:tc>
      </w:tr>
      <w:tr>
        <w:trPr>
          <w:trHeight w:val="196"/>
        </w:trPr>
        <w:tc>
          <w:tcPr>
            <w:tcW w:w="47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r>
      <w:tr>
        <w:trPr>
          <w:trHeight w:val="223"/>
        </w:trPr>
        <w:tc>
          <w:tcPr>
            <w:tcW w:w="470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58,499</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160,305</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8.3%</w:t>
            </w:r>
          </w:p>
        </w:tc>
      </w:tr>
      <w:tr>
        <w:trPr>
          <w:trHeight w:val="230"/>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000" w:type="dxa"/>
            <w:vAlign w:val="bottom"/>
          </w:tcPr>
          <w:p>
            <w:pPr>
              <w:jc w:val="right"/>
              <w:spacing w:after="0"/>
              <w:rPr>
                <w:sz w:val="20"/>
                <w:szCs w:val="20"/>
                <w:color w:val="auto"/>
              </w:rPr>
            </w:pPr>
            <w:r>
              <w:rPr>
                <w:rFonts w:ascii="Arial" w:cs="Arial" w:eastAsia="Arial" w:hAnsi="Arial"/>
                <w:sz w:val="18"/>
                <w:szCs w:val="18"/>
                <w:color w:val="auto"/>
              </w:rPr>
              <w:t>73,285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68,567</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6.9%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207,950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194,264</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7.0%</w:t>
            </w:r>
          </w:p>
        </w:tc>
      </w:tr>
      <w:tr>
        <w:trPr>
          <w:trHeight w:val="229"/>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(1.3)pts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1.0pts</w:t>
            </w:r>
          </w:p>
        </w:tc>
      </w:tr>
      <w:tr>
        <w:trPr>
          <w:trHeight w:val="230"/>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21.19</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(4.8)%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20.23</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3.9%</w:t>
            </w:r>
          </w:p>
        </w:tc>
      </w:tr>
      <w:tr>
        <w:trPr>
          <w:trHeight w:val="229"/>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(6.3)%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5.1%</w:t>
            </w:r>
          </w:p>
        </w:tc>
      </w:tr>
      <w:tr>
        <w:trPr>
          <w:trHeight w:val="229"/>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00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19.63</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(6.3)%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18.42</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3.7%</w:t>
            </w: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6.3%</w:t>
            </w:r>
          </w:p>
        </w:tc>
      </w:tr>
      <w:tr>
        <w:trPr>
          <w:trHeight w:val="190"/>
        </w:trPr>
        <w:tc>
          <w:tcPr>
            <w:tcW w:w="4700" w:type="dxa"/>
            <w:vAlign w:val="bottom"/>
          </w:tcPr>
          <w:p>
            <w:pPr>
              <w:ind w:left="180"/>
              <w:spacing w:after="0" w:line="189" w:lineRule="exact"/>
              <w:rPr>
                <w:sz w:val="20"/>
                <w:szCs w:val="20"/>
                <w:color w:val="auto"/>
              </w:rPr>
            </w:pPr>
            <w:r>
              <w:rPr>
                <w:rFonts w:ascii="Arial" w:cs="Arial" w:eastAsia="Arial" w:hAnsi="Arial"/>
                <w:sz w:val="18"/>
                <w:szCs w:val="18"/>
                <w:color w:val="auto"/>
              </w:rPr>
              <w:t>Average aircraft fuel price including related taxes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9"/>
        </w:trPr>
        <w:tc>
          <w:tcPr>
            <w:tcW w:w="4700" w:type="dxa"/>
            <w:vAlign w:val="bottom"/>
          </w:tcPr>
          <w:p>
            <w:pPr>
              <w:ind w:left="360"/>
              <w:spacing w:after="0"/>
              <w:rPr>
                <w:sz w:val="20"/>
                <w:szCs w:val="20"/>
                <w:color w:val="auto"/>
              </w:rPr>
            </w:pPr>
            <w:r>
              <w:rPr>
                <w:rFonts w:ascii="Arial" w:cs="Arial" w:eastAsia="Arial" w:hAnsi="Arial"/>
                <w:sz w:val="18"/>
                <w:szCs w:val="18"/>
                <w:color w:val="auto"/>
              </w:rPr>
              <w:t>(dollars per gallon)</w:t>
            </w: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(17.5)%</w:t>
            </w:r>
          </w:p>
        </w:tc>
      </w:tr>
      <w:tr>
        <w:trPr>
          <w:trHeight w:val="229"/>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(1.9)%</w:t>
            </w:r>
          </w:p>
        </w:tc>
      </w:tr>
      <w:tr>
        <w:trPr>
          <w:trHeight w:val="230"/>
        </w:trPr>
        <w:tc>
          <w:tcPr>
            <w:tcW w:w="4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00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1,461</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2.6%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1,461</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rPr>
              <w:t>2.6%</w:t>
            </w: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129,700</w:t>
            </w:r>
          </w:p>
        </w:tc>
        <w:tc>
          <w:tcPr>
            <w:tcW w:w="1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129,700</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1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4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Excluded from the aircraft count above are one Boeing 737-800 mainline aircraft and 75 regional aircraft that were in temporary storage as of September 30, 2023 as follows: 54 Embraer 145, 11 Bombardier CRJ 700, five Embraer 170 and five Bombardier CRJ 900.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center"/>
              <w:ind w:right="136"/>
              <w:spacing w:after="0" w:line="121" w:lineRule="exact"/>
              <w:rPr>
                <w:sz w:val="20"/>
                <w:szCs w:val="20"/>
                <w:color w:val="auto"/>
              </w:rPr>
            </w:pPr>
            <w:r>
              <w:rPr>
                <w:rFonts w:ascii="Arial" w:cs="Arial" w:eastAsia="Arial" w:hAnsi="Arial"/>
                <w:sz w:val="14"/>
                <w:szCs w:val="14"/>
                <w:b w:val="1"/>
                <w:bCs w:val="1"/>
                <w:color w:val="auto"/>
              </w:rPr>
              <w:t>Increase</w:t>
            </w:r>
          </w:p>
        </w:tc>
        <w:tc>
          <w:tcPr>
            <w:tcW w:w="1500" w:type="dxa"/>
            <w:vAlign w:val="bottom"/>
          </w:tcPr>
          <w:p>
            <w:pPr>
              <w:jc w:val="center"/>
              <w:ind w:left="38"/>
              <w:spacing w:after="0" w:line="12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736"/>
              <w:spacing w:after="0"/>
              <w:rPr>
                <w:sz w:val="20"/>
                <w:szCs w:val="20"/>
                <w:color w:val="auto"/>
              </w:rPr>
            </w:pPr>
            <w:r>
              <w:rPr>
                <w:rFonts w:ascii="Arial" w:cs="Arial" w:eastAsia="Arial" w:hAnsi="Arial"/>
                <w:sz w:val="18"/>
                <w:szCs w:val="18"/>
                <w:color w:val="auto"/>
                <w:w w:val="99"/>
              </w:rPr>
              <w:t>25</w:t>
            </w:r>
          </w:p>
        </w:tc>
        <w:tc>
          <w:tcPr>
            <w:tcW w:w="150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736"/>
              <w:spacing w:after="0"/>
              <w:rPr>
                <w:sz w:val="20"/>
                <w:szCs w:val="20"/>
                <w:color w:val="auto"/>
              </w:rPr>
            </w:pPr>
            <w:r>
              <w:rPr>
                <w:rFonts w:ascii="Arial" w:cs="Arial" w:eastAsia="Arial" w:hAnsi="Arial"/>
                <w:sz w:val="18"/>
                <w:szCs w:val="18"/>
                <w:color w:val="auto"/>
                <w:w w:val="99"/>
              </w:rPr>
              <w:t>(86)</w:t>
            </w:r>
          </w:p>
        </w:tc>
        <w:tc>
          <w:tcPr>
            <w:tcW w:w="1500" w:type="dxa"/>
            <w:vAlign w:val="bottom"/>
          </w:tcPr>
          <w:p>
            <w:pPr>
              <w:jc w:val="center"/>
              <w:ind w:left="18"/>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36"/>
              <w:spacing w:after="0"/>
              <w:rPr>
                <w:sz w:val="20"/>
                <w:szCs w:val="20"/>
                <w:color w:val="auto"/>
              </w:rPr>
            </w:pPr>
            <w:r>
              <w:rPr>
                <w:rFonts w:ascii="Arial" w:cs="Arial" w:eastAsia="Arial" w:hAnsi="Arial"/>
                <w:sz w:val="18"/>
                <w:szCs w:val="18"/>
                <w:color w:val="auto"/>
                <w:w w:val="99"/>
              </w:rPr>
              <w:t>81</w:t>
            </w:r>
          </w:p>
        </w:tc>
        <w:tc>
          <w:tcPr>
            <w:tcW w:w="150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3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736"/>
              <w:spacing w:after="0"/>
              <w:rPr>
                <w:sz w:val="20"/>
                <w:szCs w:val="20"/>
                <w:color w:val="auto"/>
              </w:rPr>
            </w:pPr>
            <w:r>
              <w:rPr>
                <w:rFonts w:ascii="Arial" w:cs="Arial" w:eastAsia="Arial" w:hAnsi="Arial"/>
                <w:sz w:val="18"/>
                <w:szCs w:val="18"/>
                <w:color w:val="auto"/>
                <w:w w:val="99"/>
              </w:rPr>
              <w:t>20</w:t>
            </w:r>
          </w:p>
        </w:tc>
        <w:tc>
          <w:tcPr>
            <w:tcW w:w="1500" w:type="dxa"/>
            <w:vAlign w:val="bottom"/>
          </w:tcPr>
          <w:p>
            <w:pPr>
              <w:jc w:val="center"/>
              <w:ind w:left="18"/>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-762000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Increase (Decrease)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rPr>
              <w:t>vs. Three Months Ended September 30, 2022</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Three Months Ended</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2"/>
                <w:szCs w:val="12"/>
                <w:color w:val="auto"/>
              </w:rPr>
            </w:pPr>
          </w:p>
        </w:tc>
        <w:tc>
          <w:tcPr>
            <w:tcW w:w="128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Load</w:t>
            </w:r>
          </w:p>
        </w:tc>
        <w:tc>
          <w:tcPr>
            <w:tcW w:w="10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Passenger</w:t>
            </w: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12,421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(1.3)pts</w:t>
            </w:r>
          </w:p>
        </w:tc>
        <w:tc>
          <w:tcPr>
            <w:tcW w:w="900" w:type="dxa"/>
            <w:vAlign w:val="bottom"/>
            <w:shd w:val="clear" w:color="auto" w:fill="CCEEFF"/>
          </w:tcPr>
          <w:p>
            <w:pPr>
              <w:jc w:val="center"/>
              <w:ind w:right="82"/>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Passenger revenue remained flat in the third quarter of 2023 from the third quarter of 2022. Continued strength in demand for air travel resulted in a 5.2% increase in RPMs, offset in part by a 4.8% decrease in passenger yield.</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Cargo revenue decreased $86 million, or 30.9%, in the third quarter of 2023 from the third quarter of 2022 primarily due to a 32.6% decrease in cargo yield driven by increased air freight capacity.</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revenue increased $81 million, or 10.4%, in the third quarter of 2023 from the third quarter of 2022, driven primarily by higher revenue associated with our loyalty program. During the three months ended September 30, 2023 and 2022, cash payments from co-branded credit card and other partners were $1.3 billion and $1.0 billion, respectively.</w:t>
      </w:r>
    </w:p>
    <w:p>
      <w:pPr>
        <w:spacing w:after="0" w:line="13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Total operating revenues remained flat in the third quarter of 2023 from the third quarter of 2022. Our TRASM was 18.40 cents in the third quarter of 2023, a 6.3% decrease as compared to 19.63 cents in the third quarter of 2022.</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21" w:lineRule="exact"/>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ind w:left="14"/>
              <w:spacing w:after="0" w:line="12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(16.6)</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17.4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26.9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(13.2)</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4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6"/>
              </w:rPr>
              <w:t>12.5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4"/>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-2339340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-2339340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-2339340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our total operating expenses are as follows:</w:t>
      </w:r>
    </w:p>
    <w:p>
      <w:pPr>
        <w:spacing w:after="0" w:line="1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Aircraft fuel and related taxes decreased $638 million, or 16.6%, in the third quarter of 2023 from the third quarter of 2022 primarily due to a 22.0% decrease in the average price per gallon of aircraft fuel including related taxes to $2.91 in the third quarter of 2023 from $3.73 in the third quarter of 2022, offset in part by a 6.9% increase in gallons of fuel consumed due to increased capacity.</w:t>
      </w:r>
    </w:p>
    <w:p>
      <w:pPr>
        <w:spacing w:after="0" w:line="1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Salaries, wages and benefits increased $590 million, or 17.4%, in the third quarter of 2023 from the third quarter of 2022 primarily driven by higher wage rates associated with the ratification of a new collective bargaining agreement with our mainline pilots. This increase includes additional compensation for the period from January 2023 through April 2023 to reflect the higher mainline pilot wage rates effective as of January 1, 2023.</w:t>
      </w:r>
    </w:p>
    <w:p>
      <w:pPr>
        <w:spacing w:after="0" w:line="13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Maintenance, materials and repairs increased $185 million, or 26.9%, in the third quarter of 2023 from the third quarter of 2022 primarily due to increased costs for engine overhauls and airframe heavy checks driven by higher volume, cost of materials and flight hours.</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Other rent and landing fees increased $35 million, or 5.0%, in the third quarter of 2023 from the third quarter of 2022 primarily due to rate increases at certain airports, incremental engine leases and higher landing fees.</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Selling expenses decreased $65 million, or 13.2%, in the third quarter of 2023 from the third quarter of 2022 primarily due to a decrease in commissions expense.</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expenses increased $169 million, or 12.5%, in the third quarter of 2023 from the third quarter of 2022 primarily driven by the increase in flight operations, including increased costs for aircraft food and catering, ground handling, crew travel and airport lounge operations, as well as certain general and administrative expenses.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6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20" w:type="dxa"/>
            <w:vAlign w:val="bottom"/>
            <w:gridSpan w:val="3"/>
          </w:tcPr>
          <w:p>
            <w:pPr>
              <w:jc w:val="right"/>
              <w:ind w:right="856"/>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r>
      <w:tr>
        <w:trPr>
          <w:trHeight w:val="230"/>
        </w:trPr>
        <w:tc>
          <w:tcPr>
            <w:tcW w:w="77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76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7" w:lineRule="exact"/>
        <w:rPr>
          <w:sz w:val="20"/>
          <w:szCs w:val="20"/>
          <w:color w:val="auto"/>
        </w:rPr>
      </w:pPr>
    </w:p>
    <w:p>
      <w:pPr>
        <w:ind w:left="340" w:hanging="332"/>
        <w:spacing w:after="0" w:line="226"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our mainline pilots, including a one-time payment of $754 million as well as adjustments to other benefit-related items of $229 million.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14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5240" w:type="dxa"/>
            <w:vAlign w:val="bottom"/>
          </w:tcPr>
          <w:p>
            <w:pPr>
              <w:spacing w:after="0"/>
              <w:rPr>
                <w:sz w:val="10"/>
                <w:szCs w:val="10"/>
                <w:color w:val="auto"/>
              </w:rPr>
            </w:pPr>
          </w:p>
        </w:tc>
        <w:tc>
          <w:tcPr>
            <w:tcW w:w="31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7"/>
              <w:spacing w:after="0" w:line="121"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480" w:type="dxa"/>
            <w:vAlign w:val="bottom"/>
          </w:tcPr>
          <w:p>
            <w:pPr>
              <w:jc w:val="right"/>
              <w:ind w:right="478"/>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-762000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Interest income increased $98 million in the third quarter of 2023 from the third quarter of 2022 primarily as a result of higher returns on our short-term investments. Interest expense, net increased $38 million, or 7.8%, in the third quarter of 2023 from the third quarter of 2022 primarily due to higher interest rates on our variable-rate debt instruments, offset in part by debt repayments.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third quarter of 2023, other nonoperating expense, net primarily included $101 million of net special charges principally associated with mark-to-market net unrealized losses associated with certain equity investments and debt extinguishments, offset in part by $16 million of non-service related pension and other postretirement benefit plan income.</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third quarter of 2022, other nonoperating income, net primarily included $103 million of non-service related pension and other postretirement benefit plan income and $57 million of net special credits for mark-to-market net unrealized gains associated with certain equity investments.</w:t>
      </w:r>
    </w:p>
    <w:p>
      <w:pPr>
        <w:spacing w:after="0" w:line="130"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The decrease in non-service related pension and other postretirement benefit plan income in the third quarter of 2023 as compared to the third quarter of 2022 is principally due to an increase in interest cost for the pension and other postretirement benefit obligations driven by higher discount rates and a decrease in expected return on pension plan assets from a reduction in plan assets.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6" w:lineRule="exact"/>
        <w:rPr>
          <w:sz w:val="20"/>
          <w:szCs w:val="20"/>
          <w:color w:val="auto"/>
        </w:rPr>
      </w:pPr>
    </w:p>
    <w:p>
      <w:pPr>
        <w:jc w:val="both"/>
        <w:ind w:right="20" w:firstLine="243"/>
        <w:spacing w:after="0" w:line="275" w:lineRule="auto"/>
        <w:rPr>
          <w:sz w:val="20"/>
          <w:szCs w:val="20"/>
          <w:color w:val="auto"/>
        </w:rPr>
      </w:pPr>
      <w:r>
        <w:rPr>
          <w:rFonts w:ascii="Arial" w:cs="Arial" w:eastAsia="Arial" w:hAnsi="Arial"/>
          <w:sz w:val="18"/>
          <w:szCs w:val="18"/>
          <w:color w:val="auto"/>
        </w:rPr>
        <w:t>In the third quarter of 2023, we recorded an income tax benefit of $145 million. Substantially all of our income or loss before income taxes is attributable to the United States.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296"/>
              <w:spacing w:after="0" w:line="121" w:lineRule="exact"/>
              <w:rPr>
                <w:sz w:val="20"/>
                <w:szCs w:val="20"/>
                <w:color w:val="auto"/>
              </w:rPr>
            </w:pPr>
            <w:r>
              <w:rPr>
                <w:rFonts w:ascii="Arial" w:cs="Arial" w:eastAsia="Arial" w:hAnsi="Arial"/>
                <w:sz w:val="14"/>
                <w:szCs w:val="14"/>
                <w:b w:val="1"/>
                <w:bCs w:val="1"/>
                <w:color w:val="auto"/>
              </w:rPr>
              <w:t>Increase</w:t>
            </w:r>
          </w:p>
        </w:tc>
        <w:tc>
          <w:tcPr>
            <w:tcW w:w="1500" w:type="dxa"/>
            <w:vAlign w:val="bottom"/>
          </w:tcPr>
          <w:p>
            <w:pPr>
              <w:jc w:val="center"/>
              <w:ind w:left="38"/>
              <w:spacing w:after="0" w:line="12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50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500" w:type="dxa"/>
            <w:vAlign w:val="bottom"/>
          </w:tcPr>
          <w:p>
            <w:pPr>
              <w:jc w:val="right"/>
              <w:ind w:right="378"/>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50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w:t>
            </w:r>
          </w:p>
        </w:tc>
        <w:tc>
          <w:tcPr>
            <w:tcW w:w="1500" w:type="dxa"/>
            <w:vAlign w:val="bottom"/>
          </w:tcPr>
          <w:p>
            <w:pPr>
              <w:jc w:val="right"/>
              <w:ind w:right="438"/>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-762635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-762635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-762635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rPr>
              <w:t>Increase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vs. Nine Months Ended September 30, 2022</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Nine Months Ended</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ASMs</w:t>
            </w:r>
          </w:p>
        </w:tc>
        <w:tc>
          <w:tcPr>
            <w:tcW w:w="100" w:type="dxa"/>
            <w:vAlign w:val="bottom"/>
            <w:vMerge w:val="restart"/>
          </w:tcPr>
          <w:p>
            <w:pPr>
              <w:spacing w:after="0"/>
              <w:rPr>
                <w:sz w:val="12"/>
                <w:szCs w:val="12"/>
                <w:color w:val="auto"/>
              </w:rPr>
            </w:pPr>
          </w:p>
        </w:tc>
        <w:tc>
          <w:tcPr>
            <w:tcW w:w="11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Load</w:t>
            </w:r>
          </w:p>
        </w:tc>
        <w:tc>
          <w:tcPr>
            <w:tcW w:w="11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Passenger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36,502</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1.0pts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Passenger revenue increased $4.1 billion, or 12.5%, in the first nine months of 2023 from the first nine months of 2022 primarily due to continued strength in demand for air travel, resulting in an 8.3% increase in RPMs, a 3.9% increase in passenger yield and an 83.5% load factor in the first nine months of 2023.</w:t>
      </w:r>
    </w:p>
    <w:p>
      <w:pPr>
        <w:spacing w:after="0" w:line="130"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Cargo revenue decreased $357 million, or 36.8%, in the first nine months of 2023 from the first nine months of 2022 primarily due to a 28.6% decrease in cargo yield and an 11.6% decrease in cargo ton miles driven by lower demand and increased air freight capacity.</w:t>
      </w:r>
    </w:p>
    <w:p>
      <w:pPr>
        <w:spacing w:after="0" w:line="12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Other operating revenue increased $236 million, or 10.0%, in the first nine months of 2023 from the first nine months of 2022, driven primarily by higher revenue associated with our loyalty program. During the nine months ended September 30, 2023 and 2022, cash payments from co-branded credit card and other partners were $4.0 billion and $3.4 billion, respectively.</w:t>
      </w:r>
    </w:p>
    <w:p>
      <w:pPr>
        <w:spacing w:after="0" w:line="1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Total operating revenues in the first nine months of 2023 increased $3.9 billion, or 11.0%, from the first nine months of 2022, driven primarily by the increase in passenger revenue as described above. Our TRASM increased 3.7% to 19.10 cents in the first nine months of 2023 from 18.42 cents in the first nine months of 2022.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3"/>
              <w:spacing w:after="0" w:line="121" w:lineRule="exact"/>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ind w:left="14"/>
              <w:spacing w:after="0" w:line="12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(12.3)</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1,118</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11.4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w w:val="96"/>
              </w:rPr>
              <w:t>22.6</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480" w:type="dxa"/>
            <w:vAlign w:val="bottom"/>
          </w:tcPr>
          <w:p>
            <w:pPr>
              <w:jc w:val="center"/>
              <w:ind w:lef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4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6"/>
              </w:rPr>
              <w:t>11.1</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4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-1782445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our total operating expenses are as follows:</w:t>
      </w:r>
    </w:p>
    <w:p>
      <w:pPr>
        <w:spacing w:after="0" w:line="171"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Aircraft fuel and related taxes decreased $1.3 billion, or 12.3%, in the first nine months of 2023 from the first nine months of 2022 primarily due to a 17.5% decrease in the average price per gallon of aircraft fuel including related taxes to $ 2.93 in the first nine months of 2023 from $3.55 in the first nine months of 2022, offset in part by a 6.3% increase in gallons of fuel consumed due to increased capacity.</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Salaries, wages and benefits increased $ 1.1 billion, or 11.4%, in the first nine months of 2023 from the first nine months of 2022 primarily driven by higher wage rates associated with the ratification of a new collective bargaining agreement with our mainline pilots and higher profit sharing program accruals as a result of increased profitability.</w:t>
      </w:r>
    </w:p>
    <w:p>
      <w:pPr>
        <w:spacing w:after="0" w:line="13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Regional expenses increased $165 million, or 5.0%, in the first nine months of 2023 from the first nine months of 2022 primarily due to pay rate increases at our wholly-owned regional carriers effective in the second and third quarters of 2022.</w:t>
      </w:r>
    </w:p>
    <w:p>
      <w:pPr>
        <w:spacing w:after="0" w:line="120" w:lineRule="exact"/>
        <w:rPr>
          <w:sz w:val="20"/>
          <w:szCs w:val="20"/>
          <w:color w:val="auto"/>
        </w:rPr>
      </w:pPr>
    </w:p>
    <w:p>
      <w:pPr>
        <w:jc w:val="both"/>
        <w:ind w:right="20" w:firstLine="243"/>
        <w:spacing w:after="0" w:line="275" w:lineRule="auto"/>
        <w:rPr>
          <w:sz w:val="20"/>
          <w:szCs w:val="20"/>
          <w:color w:val="auto"/>
        </w:rPr>
      </w:pPr>
      <w:r>
        <w:rPr>
          <w:rFonts w:ascii="Arial" w:cs="Arial" w:eastAsia="Arial" w:hAnsi="Arial"/>
          <w:sz w:val="18"/>
          <w:szCs w:val="18"/>
          <w:color w:val="auto"/>
        </w:rPr>
        <w:t>Maintenance, materials and repairs increased $440 million, or 22.6%, in the first nine months of 2023 from the first nine months of 2022 primarily due to increased costs for engine overhauls and airframe heavy checks driven by higher volume, flight hours and cost of materials.</w:t>
      </w:r>
    </w:p>
    <w:p>
      <w:pPr>
        <w:spacing w:after="0" w:line="120" w:lineRule="exact"/>
        <w:rPr>
          <w:sz w:val="20"/>
          <w:szCs w:val="20"/>
          <w:color w:val="auto"/>
        </w:rPr>
      </w:pPr>
    </w:p>
    <w:p>
      <w:pPr>
        <w:jc w:val="both"/>
        <w:ind w:right="20" w:firstLine="243"/>
        <w:spacing w:after="0" w:line="275" w:lineRule="auto"/>
        <w:rPr>
          <w:sz w:val="20"/>
          <w:szCs w:val="20"/>
          <w:color w:val="auto"/>
        </w:rPr>
      </w:pPr>
      <w:r>
        <w:rPr>
          <w:rFonts w:ascii="Arial" w:cs="Arial" w:eastAsia="Arial" w:hAnsi="Arial"/>
          <w:sz w:val="18"/>
          <w:szCs w:val="18"/>
          <w:color w:val="auto"/>
        </w:rPr>
        <w:t>Other rent and landing fees increased $133 million, or 6.4%, in the first nine months of 2023 from the first nine months of 2022 primarily due to rate increases at certain airports, incremental engine leases and higher landing fees.</w:t>
      </w:r>
    </w:p>
    <w:p>
      <w:pPr>
        <w:spacing w:after="0" w:line="12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Selling expenses increased $26 million, or 1.9%, in the first nine months of 2023 from the first nine months of 2022 primarily due to higher credit card fees driven by the overall increase in passenger revenues, offset in part by a decrease in commissions expense.</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expenses increased $450 million, or 11.1%, in the first nine months of 2023 from the first nine months of 2022 primarily driven by the increase in flight operations, including increased costs for aircraft food and catering, crew travel, airport lounge operations and ground handling, as well as certain general and administrative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0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r>
      <w:tr>
        <w:trPr>
          <w:trHeight w:val="196"/>
        </w:trPr>
        <w:tc>
          <w:tcPr>
            <w:tcW w:w="7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r>
      <w:tr>
        <w:trPr>
          <w:trHeight w:val="231"/>
        </w:trPr>
        <w:tc>
          <w:tcPr>
            <w:tcW w:w="76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Severance expenses</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Operating special items, net</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7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-1353820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2769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37" w:lineRule="exact"/>
        <w:rPr>
          <w:sz w:val="20"/>
          <w:szCs w:val="20"/>
          <w:color w:val="auto"/>
        </w:rPr>
      </w:pPr>
    </w:p>
    <w:p>
      <w:pPr>
        <w:ind w:left="340" w:hanging="332"/>
        <w:spacing w:after="0" w:line="226"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our mainline pilots, including a one-time payment of $754 million as well as adjustments to other benefit-related items of $229 million.</w:t>
      </w:r>
    </w:p>
    <w:p>
      <w:pPr>
        <w:spacing w:after="0" w:line="150" w:lineRule="exact"/>
        <w:rPr>
          <w:rFonts w:ascii="Arial" w:cs="Arial" w:eastAsia="Arial" w:hAnsi="Arial"/>
          <w:sz w:val="23"/>
          <w:szCs w:val="23"/>
          <w:color w:val="auto"/>
          <w:vertAlign w:val="superscript"/>
        </w:rPr>
      </w:pPr>
    </w:p>
    <w:p>
      <w:pPr>
        <w:jc w:val="both"/>
        <w:ind w:left="340" w:hanging="332"/>
        <w:spacing w:after="0" w:line="233"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Fleet impairment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5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37"/>
              <w:spacing w:after="0" w:line="121"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5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9"/>
              </w:rPr>
              <w:t>349</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left="577"/>
              <w:spacing w:after="0"/>
              <w:rPr>
                <w:sz w:val="20"/>
                <w:szCs w:val="20"/>
                <w:color w:val="auto"/>
              </w:rPr>
            </w:pPr>
            <w:r>
              <w:rPr>
                <w:rFonts w:ascii="Arial" w:cs="Arial" w:eastAsia="Arial" w:hAnsi="Arial"/>
                <w:sz w:val="18"/>
                <w:szCs w:val="18"/>
                <w:color w:val="auto"/>
                <w:w w:val="99"/>
              </w:rPr>
              <w:t>(196)</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w w:val="96"/>
              </w:rPr>
              <w:t>13.7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9"/>
              </w:rPr>
              <w:t>(393)</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99"/>
              </w:rPr>
              <w:t>(240)</w:t>
            </w:r>
          </w:p>
        </w:tc>
        <w:tc>
          <w:tcPr>
            <w:tcW w:w="1480" w:type="dxa"/>
            <w:vAlign w:val="bottom"/>
          </w:tcPr>
          <w:p>
            <w:pPr>
              <w:jc w:val="center"/>
              <w:ind w:left="18"/>
              <w:spacing w:after="0"/>
              <w:rPr>
                <w:sz w:val="20"/>
                <w:szCs w:val="20"/>
                <w:color w:val="auto"/>
              </w:rPr>
            </w:pPr>
            <w:r>
              <w:rPr>
                <w:rFonts w:ascii="Arial" w:cs="Arial" w:eastAsia="Arial" w:hAnsi="Arial"/>
                <w:sz w:val="18"/>
                <w:szCs w:val="18"/>
                <w:color w:val="auto"/>
                <w:w w:val="96"/>
              </w:rPr>
              <w:t>22.8</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-762000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Interest income increased $349 million in the first nine months of 2023 from the first nine months of 2022 primarily as a result of higher returns on our short-term investments. Interest expense, net increased $196 million, or 13.7%, in the first nine months of 2023 from the first nine months of 2022 primarily due to higher interest rates on our variable-rate debt instruments, offset in part by debt repayments.</w:t>
      </w:r>
    </w:p>
    <w:p>
      <w:pPr>
        <w:spacing w:after="0" w:line="1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 the first nine months of 2023, other nonoperating expense, net primarily included $146 million of net special charges principally associated with debt refinancings and extinguishments and mark-to-market net unrealized losses associated with certain equity investments, offset in part by $32 million of non-service related pension and other postretirement benefit plan income.</w:t>
      </w:r>
    </w:p>
    <w:p>
      <w:pPr>
        <w:spacing w:after="0" w:line="1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 the first nine months of 2022, other nonoperating income, net primarily included $ 315 million of non-service related pension and other postretirement benefit plan income, offset in part by $34 million of net special charges principally for mark-to-market net unrealized losses associated with certain equity investments.</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nine months of 2023 as compared to the first nine months of 2022 is principally due to an increase in interest cost for the pension and other postretirement benefit obligations driven by higher discount rates and a decrease in expected return on pension plan assets from a reduction in plan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6"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In the first nine months of 2023, we recorded an income tax provision of $286 million. Substantially all of our income or loss before income taxes is attributable to the United States.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center"/>
              <w:ind w:right="156"/>
              <w:spacing w:after="0" w:line="121" w:lineRule="exact"/>
              <w:rPr>
                <w:sz w:val="20"/>
                <w:szCs w:val="20"/>
                <w:color w:val="auto"/>
              </w:rPr>
            </w:pPr>
            <w:r>
              <w:rPr>
                <w:rFonts w:ascii="Arial" w:cs="Arial" w:eastAsia="Arial" w:hAnsi="Arial"/>
                <w:sz w:val="14"/>
                <w:szCs w:val="14"/>
                <w:b w:val="1"/>
                <w:bCs w:val="1"/>
                <w:color w:val="auto"/>
              </w:rPr>
              <w:t>Increase</w:t>
            </w:r>
          </w:p>
        </w:tc>
        <w:tc>
          <w:tcPr>
            <w:tcW w:w="1540" w:type="dxa"/>
            <w:vAlign w:val="bottom"/>
          </w:tcPr>
          <w:p>
            <w:pPr>
              <w:jc w:val="center"/>
              <w:spacing w:after="0" w:line="12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736"/>
              <w:spacing w:after="0"/>
              <w:rPr>
                <w:sz w:val="20"/>
                <w:szCs w:val="20"/>
                <w:color w:val="auto"/>
              </w:rPr>
            </w:pPr>
            <w:r>
              <w:rPr>
                <w:rFonts w:ascii="Arial" w:cs="Arial" w:eastAsia="Arial" w:hAnsi="Arial"/>
                <w:sz w:val="18"/>
                <w:szCs w:val="18"/>
                <w:color w:val="auto"/>
                <w:w w:val="99"/>
              </w:rPr>
              <w:t>25</w:t>
            </w:r>
          </w:p>
        </w:tc>
        <w:tc>
          <w:tcPr>
            <w:tcW w:w="154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center"/>
              <w:ind w:left="736"/>
              <w:spacing w:after="0"/>
              <w:rPr>
                <w:sz w:val="20"/>
                <w:szCs w:val="20"/>
                <w:color w:val="auto"/>
              </w:rPr>
            </w:pPr>
            <w:r>
              <w:rPr>
                <w:rFonts w:ascii="Arial" w:cs="Arial" w:eastAsia="Arial" w:hAnsi="Arial"/>
                <w:sz w:val="18"/>
                <w:szCs w:val="18"/>
                <w:color w:val="auto"/>
                <w:w w:val="99"/>
              </w:rPr>
              <w:t>(86)</w:t>
            </w:r>
          </w:p>
        </w:tc>
        <w:tc>
          <w:tcPr>
            <w:tcW w:w="1540" w:type="dxa"/>
            <w:vAlign w:val="bottom"/>
          </w:tcPr>
          <w:p>
            <w:pPr>
              <w:jc w:val="center"/>
              <w:ind w:left="18"/>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36"/>
              <w:spacing w:after="0"/>
              <w:rPr>
                <w:sz w:val="20"/>
                <w:szCs w:val="20"/>
                <w:color w:val="auto"/>
              </w:rPr>
            </w:pPr>
            <w:r>
              <w:rPr>
                <w:rFonts w:ascii="Arial" w:cs="Arial" w:eastAsia="Arial" w:hAnsi="Arial"/>
                <w:sz w:val="18"/>
                <w:szCs w:val="18"/>
                <w:color w:val="auto"/>
                <w:w w:val="99"/>
              </w:rPr>
              <w:t>81</w:t>
            </w:r>
          </w:p>
        </w:tc>
        <w:tc>
          <w:tcPr>
            <w:tcW w:w="1540" w:type="dxa"/>
            <w:vAlign w:val="bottom"/>
            <w:shd w:val="clear" w:color="auto" w:fill="CCEEFF"/>
          </w:tcPr>
          <w:p>
            <w:pPr>
              <w:jc w:val="center"/>
              <w:ind w:left="18"/>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736"/>
              <w:spacing w:after="0"/>
              <w:rPr>
                <w:sz w:val="20"/>
                <w:szCs w:val="20"/>
                <w:color w:val="auto"/>
              </w:rPr>
            </w:pPr>
            <w:r>
              <w:rPr>
                <w:rFonts w:ascii="Arial" w:cs="Arial" w:eastAsia="Arial" w:hAnsi="Arial"/>
                <w:sz w:val="18"/>
                <w:szCs w:val="18"/>
                <w:color w:val="auto"/>
                <w:w w:val="99"/>
              </w:rPr>
              <w:t>20</w:t>
            </w:r>
          </w:p>
        </w:tc>
        <w:tc>
          <w:tcPr>
            <w:tcW w:w="1540" w:type="dxa"/>
            <w:vAlign w:val="bottom"/>
          </w:tcPr>
          <w:p>
            <w:pPr>
              <w:jc w:val="center"/>
              <w:ind w:left="18"/>
              <w:spacing w:after="0"/>
              <w:rPr>
                <w:sz w:val="20"/>
                <w:szCs w:val="20"/>
                <w:color w:val="auto"/>
              </w:rPr>
            </w:pPr>
            <w:r>
              <w:rPr>
                <w:rFonts w:ascii="Arial" w:cs="Arial" w:eastAsia="Arial" w:hAnsi="Arial"/>
                <w:sz w:val="18"/>
                <w:szCs w:val="18"/>
                <w:color w:val="auto"/>
                <w:w w:val="95"/>
              </w:rPr>
              <w:t>0.1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-762635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-762635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-762635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Passenger revenue remained flat in the third quarter of 2023 from the third quarter of 2022. Continued strength in demand for air travel resulted in an increase in RPMs, offset in part by a decrease in passenger yield.</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Cargo revenue decreased $ 86 million, or 30.9%, in the third quarter of 2023 from the third quarter of 2022 primarily due to a decrease in cargo yield driven by increased air freight capacity.</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revenue increased $81 million, or 10.3%, in the third quarter of 2023 from the third quarter of 2022, driven primarily by higher revenue associated with American’s loyalty program. During the three months ended September 30, 2023 and 2022, cash payments from co-branded credit card and other partners were $1.3 billion and $1.0 billion, respectively.</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5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ind w:right="333"/>
              <w:spacing w:after="0" w:line="122" w:lineRule="exact"/>
              <w:rPr>
                <w:sz w:val="20"/>
                <w:szCs w:val="20"/>
                <w:color w:val="auto"/>
              </w:rPr>
            </w:pPr>
            <w:r>
              <w:rPr>
                <w:rFonts w:ascii="Arial" w:cs="Arial" w:eastAsia="Arial" w:hAnsi="Arial"/>
                <w:sz w:val="14"/>
                <w:szCs w:val="14"/>
                <w:b w:val="1"/>
                <w:bCs w:val="1"/>
                <w:color w:val="auto"/>
              </w:rPr>
              <w:t>Increase</w:t>
            </w:r>
          </w:p>
        </w:tc>
        <w:tc>
          <w:tcPr>
            <w:tcW w:w="1540" w:type="dxa"/>
            <w:vAlign w:val="bottom"/>
          </w:tcPr>
          <w:p>
            <w:pPr>
              <w:jc w:val="center"/>
              <w:ind w:left="34"/>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7"/>
              </w:rPr>
              <w:t>(2.0)</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5.0</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7"/>
              </w:rPr>
              <w:t>(0.8)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54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54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5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9.2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-1782445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-1782445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Aircraft fuel and related taxes decreased $638 million, or 16.6%, in the third quarter of 2023 from the third quarter of 2022 primarily due to a 22.0% decrease in the average price per gallon of aircraft fuel including related taxes to $2.91 in the third quarter of 2023 from $3.73 in the third quarter of 2022, offset in part by a 6.9% increase in gallons of fuel consumed due to increased capacity.</w:t>
      </w:r>
    </w:p>
    <w:p>
      <w:pPr>
        <w:sectPr>
          <w:pgSz w:w="11900" w:h="16838" w:orient="portrait"/>
          <w:cols w:equalWidth="0" w:num="1">
            <w:col w:w="11240"/>
          </w:cols>
          <w:pgMar w:left="320" w:top="118"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Salaries, wages and benefits increased $590 million, or 17.4%, in the third quarter of 2023 from the third quarter of 2022 primarily driven by higher wage rates associated with the ratification of a new collective bargaining agreement with American’s mainline pilots. This increase includes additional compensation for the period from January 2023 through April 2023 to reflect the higher mainline pilot wage rates effective as of January 1, 2023.</w:t>
      </w:r>
    </w:p>
    <w:p>
      <w:pPr>
        <w:spacing w:after="0" w:line="136"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Maintenance, materials and repairs increased $185 million, or 26.9%, in the third quarter of 2023 from the third quarter of 2022 primarily due to increased costs for engine overhauls and airframe heavy checks driven by higher volume, cost of materials and flight hours.</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Other rent and landing fees increased $35 million, or 5.0%, in the third quarter of 2023 from the third quarter of 2022 primarily due to rate increases at certain airports, incremental engine leases and higher landing fees.</w:t>
      </w:r>
    </w:p>
    <w:p>
      <w:pPr>
        <w:spacing w:after="0" w:line="12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Selling expenses decreased $65 million, or 13.2%, in the third quarter of 2023 from the third quarter of 2022 primarily due to a decrease in commissions expense.</w:t>
      </w:r>
    </w:p>
    <w:p>
      <w:pPr>
        <w:spacing w:after="0" w:line="12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Other operating expenses increased $170 million, or 12.5%, in the third quarter of 2023 from the third quarter of 2022 primarily driven by the increase in flight operations, including increased costs for aircraft food and catering, ground handling, crew travel and airport lounge operations, as well as certain general and administrative expenses.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20" w:type="dxa"/>
            <w:vAlign w:val="bottom"/>
            <w:gridSpan w:val="3"/>
          </w:tcPr>
          <w:p>
            <w:pPr>
              <w:ind w:left="18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7"/>
                <w:szCs w:val="17"/>
                <w:color w:val="auto"/>
              </w:rPr>
            </w:pPr>
          </w:p>
        </w:tc>
      </w:tr>
      <w:tr>
        <w:trPr>
          <w:trHeight w:val="231"/>
        </w:trPr>
        <w:tc>
          <w:tcPr>
            <w:tcW w:w="776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Litigation reserve adjustments</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(34)</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
        </w:trPr>
        <w:tc>
          <w:tcPr>
            <w:tcW w:w="2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42"/>
        </w:trPr>
        <w:tc>
          <w:tcPr>
            <w:tcW w:w="2080" w:type="dxa"/>
            <w:vAlign w:val="bottom"/>
            <w:tcBorders>
              <w:bottom w:val="single" w:sz="8" w:color="auto"/>
            </w:tcBorders>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r>
    </w:tbl>
    <w:p>
      <w:pPr>
        <w:spacing w:after="0" w:line="68" w:lineRule="exact"/>
        <w:rPr>
          <w:sz w:val="20"/>
          <w:szCs w:val="20"/>
          <w:color w:val="auto"/>
        </w:rPr>
      </w:pPr>
    </w:p>
    <w:p>
      <w:pPr>
        <w:jc w:val="both"/>
        <w:ind w:left="340" w:hanging="332"/>
        <w:spacing w:after="0" w:line="233"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American’s mainline pilots, including a one-time payment of $754 million as well as adjustments to other benefit-related items of $229 million.</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14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5220" w:type="dxa"/>
            <w:vAlign w:val="bottom"/>
          </w:tcPr>
          <w:p>
            <w:pPr>
              <w:spacing w:after="0"/>
              <w:rPr>
                <w:sz w:val="10"/>
                <w:szCs w:val="10"/>
                <w:color w:val="auto"/>
              </w:rPr>
            </w:pPr>
          </w:p>
        </w:tc>
        <w:tc>
          <w:tcPr>
            <w:tcW w:w="31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97"/>
              <w:spacing w:after="0" w:line="121" w:lineRule="exact"/>
              <w:rPr>
                <w:sz w:val="20"/>
                <w:szCs w:val="20"/>
                <w:color w:val="auto"/>
              </w:rPr>
            </w:pPr>
            <w:r>
              <w:rPr>
                <w:rFonts w:ascii="Arial" w:cs="Arial" w:eastAsia="Arial" w:hAnsi="Arial"/>
                <w:sz w:val="13"/>
                <w:szCs w:val="13"/>
                <w:b w:val="1"/>
                <w:bCs w:val="1"/>
                <w:color w:val="auto"/>
              </w:rPr>
              <w:t>Increase</w:t>
            </w:r>
          </w:p>
        </w:tc>
        <w:tc>
          <w:tcPr>
            <w:tcW w:w="1500" w:type="dxa"/>
            <w:vAlign w:val="bottom"/>
          </w:tcPr>
          <w:p>
            <w:pPr>
              <w:jc w:val="center"/>
              <w:ind w:left="38"/>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52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500" w:type="dxa"/>
            <w:vAlign w:val="bottom"/>
          </w:tcPr>
          <w:p>
            <w:pPr>
              <w:jc w:val="center"/>
              <w:ind w:left="18"/>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500" w:type="dxa"/>
            <w:vAlign w:val="bottom"/>
          </w:tcPr>
          <w:p>
            <w:pPr>
              <w:jc w:val="center"/>
              <w:ind w:left="18"/>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-788035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-788035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-788035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Interest income increased $186 million in the third quarter of 2023 from the third quarter of 2022 primarily as a result of higher returns on American’s short-term investments and related party receivables from AAG. Interest expense, net increased $73 million, or 15.3%, in the third quarter of 2023 from the third quarter of 2022 primarily due to higher interest rates on American’s variable-rate debt instruments and related party payables from AAG’s wholly-owned subsidiaries, offset in part by debt repayments.</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third quarter of 2023, other nonoperating expense, net primarily included $101 million of net special charges principally associated with mark-to-market net unrealized losses associated with certain equity investments and debt extinguishments, offset in part by $15 million of non-service related pension and other postretirement benefit plan income.</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third quarter of 2022, other nonoperating income, net primarily included $103 million of non-service related pension and other postretirement benefit plan income and $57 million of net special credits for mark-to-market net unrealized gains associated with certain equity investments.</w:t>
      </w:r>
    </w:p>
    <w:p>
      <w:pPr>
        <w:sectPr>
          <w:pgSz w:w="11900" w:h="16838" w:orient="portrait"/>
          <w:cols w:equalWidth="0" w:num="1">
            <w:col w:w="11240"/>
          </w:cols>
          <w:pgMar w:left="320" w:top="118"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The decrease in non-service related pension and other postretirement benefit plan income in the third quarter of 2023 as compared to the third quarter of 2022 is principally due to an increase in interest cost for the pension and other postretirement benefit obligations driven by higher discount rates and a decrease in expected return on pension plan assets from a reduction in plan assets.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In the third quarter of 2023, American recorded an income tax benefit of $107 million. Substantially all of American’s income or loss before income taxes is attributable to the United States.</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4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6"/>
              <w:spacing w:after="0" w:line="121" w:lineRule="exact"/>
              <w:rPr>
                <w:sz w:val="20"/>
                <w:szCs w:val="20"/>
                <w:color w:val="auto"/>
              </w:rPr>
            </w:pPr>
            <w:r>
              <w:rPr>
                <w:rFonts w:ascii="Arial" w:cs="Arial" w:eastAsia="Arial" w:hAnsi="Arial"/>
                <w:sz w:val="14"/>
                <w:szCs w:val="14"/>
                <w:b w:val="1"/>
                <w:bCs w:val="1"/>
                <w:color w:val="auto"/>
              </w:rPr>
              <w:t>Increase</w:t>
            </w:r>
          </w:p>
        </w:tc>
        <w:tc>
          <w:tcPr>
            <w:tcW w:w="1480" w:type="dxa"/>
            <w:vAlign w:val="bottom"/>
          </w:tcPr>
          <w:p>
            <w:pPr>
              <w:jc w:val="center"/>
              <w:ind w:left="18"/>
              <w:spacing w:after="0" w:line="12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48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480" w:type="dxa"/>
            <w:vAlign w:val="bottom"/>
          </w:tcPr>
          <w:p>
            <w:pPr>
              <w:jc w:val="right"/>
              <w:ind w:right="378"/>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8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-762635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-762635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-762635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Passenger revenue increased $4.1 billion, or 12.5%, in the first nine months of 2023 from the first nine months of 2022 primarily due to continued strength in demand for air travel, resulting in an increase in RPMs, passenger yield and load factor in the first nine months of 2023.</w:t>
      </w:r>
    </w:p>
    <w:p>
      <w:pPr>
        <w:spacing w:after="0" w:line="12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Cargo revenue decreased $357 million, or 36.8%, in the first nine months of 2023 from the first nine months of 2022 primarily due to decreases in cargo yield and cargo ton miles driven by lower demand and increased air freight capacity.</w:t>
      </w:r>
    </w:p>
    <w:p>
      <w:pPr>
        <w:spacing w:after="0" w:line="120" w:lineRule="exact"/>
        <w:rPr>
          <w:sz w:val="20"/>
          <w:szCs w:val="20"/>
          <w:color w:val="auto"/>
        </w:rPr>
      </w:pPr>
    </w:p>
    <w:p>
      <w:pPr>
        <w:jc w:val="both"/>
        <w:ind w:right="20" w:firstLine="202"/>
        <w:spacing w:after="0" w:line="263" w:lineRule="auto"/>
        <w:rPr>
          <w:sz w:val="20"/>
          <w:szCs w:val="20"/>
          <w:color w:val="auto"/>
        </w:rPr>
      </w:pPr>
      <w:r>
        <w:rPr>
          <w:rFonts w:ascii="Arial" w:cs="Arial" w:eastAsia="Arial" w:hAnsi="Arial"/>
          <w:sz w:val="18"/>
          <w:szCs w:val="18"/>
          <w:color w:val="auto"/>
        </w:rPr>
        <w:t>Other operating revenue increased $238 million, or 10.0%, in the first nine months of 2023 from the first nine months of 2022, driven primarily by higher revenue associated with American’s loyalty program. During the nine months ended September 30, 2023 and 2022, cash payments from co-branded credit card and other partners were $4.0 billion and $3.4 billion, respectively.</w:t>
      </w:r>
    </w:p>
    <w:p>
      <w:pPr>
        <w:spacing w:after="0" w:line="13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Total operating revenues in the first nine months of 2023 increased $3.9 billion, or 11.0%, from the first nine months of 2022, driven primarily by the increase in passenger revenue as described above.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52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ind w:right="333"/>
              <w:spacing w:after="0" w:line="121" w:lineRule="exact"/>
              <w:rPr>
                <w:sz w:val="20"/>
                <w:szCs w:val="20"/>
                <w:color w:val="auto"/>
              </w:rPr>
            </w:pPr>
            <w:r>
              <w:rPr>
                <w:rFonts w:ascii="Arial" w:cs="Arial" w:eastAsia="Arial" w:hAnsi="Arial"/>
                <w:sz w:val="14"/>
                <w:szCs w:val="14"/>
                <w:b w:val="1"/>
                <w:bCs w:val="1"/>
                <w:color w:val="auto"/>
              </w:rPr>
              <w:t>Increase</w:t>
            </w:r>
          </w:p>
        </w:tc>
        <w:tc>
          <w:tcPr>
            <w:tcW w:w="1540" w:type="dxa"/>
            <w:vAlign w:val="bottom"/>
          </w:tcPr>
          <w:p>
            <w:pPr>
              <w:jc w:val="center"/>
              <w:ind w:left="34"/>
              <w:spacing w:after="0" w:line="12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1,117</w:t>
            </w:r>
          </w:p>
        </w:tc>
        <w:tc>
          <w:tcPr>
            <w:tcW w:w="1540" w:type="dxa"/>
            <w:vAlign w:val="bottom"/>
          </w:tcPr>
          <w:p>
            <w:pPr>
              <w:jc w:val="center"/>
              <w:ind w:left="34"/>
              <w:spacing w:after="0"/>
              <w:rPr>
                <w:sz w:val="20"/>
                <w:szCs w:val="20"/>
                <w:color w:val="auto"/>
              </w:rPr>
            </w:pPr>
            <w:r>
              <w:rPr>
                <w:rFonts w:ascii="Arial" w:cs="Arial" w:eastAsia="Arial" w:hAnsi="Arial"/>
                <w:sz w:val="18"/>
                <w:szCs w:val="18"/>
                <w:color w:val="auto"/>
                <w:w w:val="96"/>
              </w:rPr>
              <w:t>11.4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5.8</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6.4</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5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540" w:type="dxa"/>
            <w:vAlign w:val="bottom"/>
          </w:tcPr>
          <w:p>
            <w:pPr>
              <w:jc w:val="center"/>
              <w:ind w:left="14"/>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54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6"/>
              </w:rPr>
              <w:t>11.1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54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5.1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-1782445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-1782445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Aircraft fuel and related taxes decreased $1.3 billion, or 12.3%, in the first nine months of 2023 from the first nine months of 2022 primarily due to a 17.5% decrease in the average price per gallon of aircraft fuel including related taxes to $ 2.93 in the first nine months of 2023 from $3.55 in the first nine months of 2022, offset in part by a 6.3% increase in gallons of fuel consumed due to increased capacity.</w:t>
      </w:r>
    </w:p>
    <w:p>
      <w:pPr>
        <w:spacing w:after="0" w:line="130" w:lineRule="exact"/>
        <w:rPr>
          <w:sz w:val="20"/>
          <w:szCs w:val="20"/>
          <w:color w:val="auto"/>
        </w:rPr>
      </w:pPr>
    </w:p>
    <w:p>
      <w:pPr>
        <w:jc w:val="both"/>
        <w:ind w:right="20" w:firstLine="202"/>
        <w:spacing w:after="0" w:line="263" w:lineRule="auto"/>
        <w:rPr>
          <w:sz w:val="20"/>
          <w:szCs w:val="20"/>
          <w:color w:val="auto"/>
        </w:rPr>
      </w:pPr>
      <w:r>
        <w:rPr>
          <w:rFonts w:ascii="Arial" w:cs="Arial" w:eastAsia="Arial" w:hAnsi="Arial"/>
          <w:sz w:val="18"/>
          <w:szCs w:val="18"/>
          <w:color w:val="auto"/>
        </w:rPr>
        <w:t>Salaries, wages and benefits increased $1.1 billion, or 11.4%, in the first nine months of 2023 from the first nine months of 2022 primarily driven by higher wage rates associated with the ratification of a new collective bargaining agreement with American’s mainline pilots and higher profit sharing program accruals as a result of increased profitability.</w:t>
      </w:r>
    </w:p>
    <w:p>
      <w:pPr>
        <w:spacing w:after="0" w:line="13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Regional expenses increased $189 million, or 5.8%, in the first nine months of 2023 from the first nine months of 2022 primarily due to pay rate increases at American’s regional carriers effective in the second and third quarters of 2022.</w:t>
      </w:r>
    </w:p>
    <w:p>
      <w:pPr>
        <w:spacing w:after="0" w:line="120" w:lineRule="exact"/>
        <w:rPr>
          <w:sz w:val="20"/>
          <w:szCs w:val="20"/>
          <w:color w:val="auto"/>
        </w:rPr>
      </w:pPr>
    </w:p>
    <w:p>
      <w:pPr>
        <w:jc w:val="both"/>
        <w:ind w:right="20" w:firstLine="202"/>
        <w:spacing w:after="0" w:line="275" w:lineRule="auto"/>
        <w:rPr>
          <w:sz w:val="20"/>
          <w:szCs w:val="20"/>
          <w:color w:val="auto"/>
        </w:rPr>
      </w:pPr>
      <w:r>
        <w:rPr>
          <w:rFonts w:ascii="Arial" w:cs="Arial" w:eastAsia="Arial" w:hAnsi="Arial"/>
          <w:sz w:val="18"/>
          <w:szCs w:val="18"/>
          <w:color w:val="auto"/>
        </w:rPr>
        <w:t>Maintenance, materials and repairs increased $440 million, or 22.6%, in the first nine months of 2023 from the first nine months of 2022 primarily due to increased costs for engine overhauls and airframe heavy checks driven by higher volume, flight hours and cost of materials.</w:t>
      </w:r>
    </w:p>
    <w:p>
      <w:pPr>
        <w:spacing w:after="0" w:line="120" w:lineRule="exact"/>
        <w:rPr>
          <w:sz w:val="20"/>
          <w:szCs w:val="20"/>
          <w:color w:val="auto"/>
        </w:rPr>
      </w:pPr>
    </w:p>
    <w:p>
      <w:pPr>
        <w:jc w:val="both"/>
        <w:ind w:right="20" w:firstLine="202"/>
        <w:spacing w:after="0" w:line="275" w:lineRule="auto"/>
        <w:rPr>
          <w:sz w:val="20"/>
          <w:szCs w:val="20"/>
          <w:color w:val="auto"/>
        </w:rPr>
      </w:pPr>
      <w:r>
        <w:rPr>
          <w:rFonts w:ascii="Arial" w:cs="Arial" w:eastAsia="Arial" w:hAnsi="Arial"/>
          <w:sz w:val="18"/>
          <w:szCs w:val="18"/>
          <w:color w:val="auto"/>
        </w:rPr>
        <w:t>Other rent and landing fees increased $133 million, or 6.4%, in the first nine months of 2023 from the first nine months of 2022 primarily due to rate increases at certain airports, incremental engine leases and higher landing fees.</w:t>
      </w:r>
    </w:p>
    <w:p>
      <w:pPr>
        <w:spacing w:after="0" w:line="120" w:lineRule="exact"/>
        <w:rPr>
          <w:sz w:val="20"/>
          <w:szCs w:val="20"/>
          <w:color w:val="auto"/>
        </w:rPr>
      </w:pPr>
    </w:p>
    <w:p>
      <w:pPr>
        <w:jc w:val="both"/>
        <w:ind w:firstLine="202"/>
        <w:spacing w:after="0" w:line="275" w:lineRule="auto"/>
        <w:rPr>
          <w:sz w:val="20"/>
          <w:szCs w:val="20"/>
          <w:color w:val="auto"/>
        </w:rPr>
      </w:pPr>
      <w:r>
        <w:rPr>
          <w:rFonts w:ascii="Arial" w:cs="Arial" w:eastAsia="Arial" w:hAnsi="Arial"/>
          <w:sz w:val="18"/>
          <w:szCs w:val="18"/>
          <w:color w:val="auto"/>
        </w:rPr>
        <w:t>Selling expenses increased $26 million, or 1.9%, in the first nine months of 2023 from the first nine months of 2022 primarily due to higher credit card fees driven by the overall increase in passenger revenues, offset in part by a decrease in commissions expense.</w:t>
      </w:r>
    </w:p>
    <w:p>
      <w:pPr>
        <w:spacing w:after="0" w:line="12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Other operating expenses increased $449 million, or 11.1%, in the first nine months of 2023 from the first nine months of 2022 primarily driven by the increase in flight operations, including increased costs for aircraft food and catering, crew travel, airport lounge operations and ground handling, as well as certain general and administrative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r>
      <w:tr>
        <w:trPr>
          <w:trHeight w:val="231"/>
        </w:trPr>
        <w:tc>
          <w:tcPr>
            <w:tcW w:w="760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Severance expenses</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(2)</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Litigation reserve adjustments</w:t>
            </w:r>
          </w:p>
        </w:tc>
        <w:tc>
          <w:tcPr>
            <w:tcW w:w="12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600" w:type="dxa"/>
            <w:vAlign w:val="bottom"/>
            <w:gridSpan w:val="2"/>
          </w:tcPr>
          <w:p>
            <w:pPr>
              <w:ind w:left="14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2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42"/>
        </w:trPr>
        <w:tc>
          <w:tcPr>
            <w:tcW w:w="2080" w:type="dxa"/>
            <w:vAlign w:val="bottom"/>
            <w:tcBorders>
              <w:bottom w:val="single" w:sz="8" w:color="auto"/>
            </w:tcBorders>
          </w:tcPr>
          <w:p>
            <w:pPr>
              <w:spacing w:after="0"/>
              <w:rPr>
                <w:sz w:val="12"/>
                <w:szCs w:val="12"/>
                <w:color w:val="auto"/>
              </w:rPr>
            </w:pPr>
          </w:p>
        </w:tc>
        <w:tc>
          <w:tcPr>
            <w:tcW w:w="5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-1156970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8" w:lineRule="exact"/>
        <w:rPr>
          <w:sz w:val="20"/>
          <w:szCs w:val="20"/>
          <w:color w:val="auto"/>
        </w:rPr>
      </w:pPr>
    </w:p>
    <w:p>
      <w:pPr>
        <w:jc w:val="both"/>
        <w:ind w:left="340" w:hanging="332"/>
        <w:spacing w:after="0" w:line="233"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American’s mainline pilots, including a one-time payment of $754 million as well as adjustments to other benefit-related items of $229 million.</w:t>
      </w:r>
    </w:p>
    <w:p>
      <w:pPr>
        <w:spacing w:after="0" w:line="151" w:lineRule="exact"/>
        <w:rPr>
          <w:rFonts w:ascii="Arial" w:cs="Arial" w:eastAsia="Arial" w:hAnsi="Arial"/>
          <w:sz w:val="23"/>
          <w:szCs w:val="23"/>
          <w:color w:val="auto"/>
          <w:vertAlign w:val="superscript"/>
        </w:rPr>
      </w:pPr>
    </w:p>
    <w:p>
      <w:pPr>
        <w:jc w:val="both"/>
        <w:ind w:left="340" w:hanging="332"/>
        <w:spacing w:after="0" w:line="233"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Fleet impairment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5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right"/>
              <w:ind w:right="317"/>
              <w:spacing w:after="0" w:line="121"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5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6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80" w:type="dxa"/>
            <w:vAlign w:val="bottom"/>
          </w:tcPr>
          <w:p>
            <w:pPr>
              <w:jc w:val="right"/>
              <w:ind w:right="478"/>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-762000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-762000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4" w:lineRule="exact"/>
        <w:rPr>
          <w:sz w:val="20"/>
          <w:szCs w:val="20"/>
          <w:color w:val="auto"/>
        </w:rPr>
      </w:pPr>
    </w:p>
    <w:p>
      <w:pPr>
        <w:jc w:val="both"/>
        <w:ind w:firstLine="202"/>
        <w:spacing w:after="0" w:line="258" w:lineRule="auto"/>
        <w:rPr>
          <w:sz w:val="20"/>
          <w:szCs w:val="20"/>
          <w:color w:val="auto"/>
        </w:rPr>
      </w:pPr>
      <w:r>
        <w:rPr>
          <w:rFonts w:ascii="Arial" w:cs="Arial" w:eastAsia="Arial" w:hAnsi="Arial"/>
          <w:sz w:val="18"/>
          <w:szCs w:val="18"/>
          <w:color w:val="auto"/>
        </w:rPr>
        <w:t>Interest income increased $648 million in the first nine months of 2023 from the first nine months of 2022 primarily as a result of higher returns on American’s short-term investments and related party receivables from AAG. Interest expense, net increased $326 million, or 24.2%, in the first nine months of 2023 from the first nine months of 2022 primarily due to higher interest rates on American’s variable-rate debt instruments and related party payables from AAG’s wholly-owned subsidiaries, offset in part by debt repayments.</w:t>
      </w:r>
    </w:p>
    <w:p>
      <w:pPr>
        <w:spacing w:after="0" w:line="136"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 the first nine months of 2023, other nonoperating expense, net primarily included $146 million of net special charges principally associated with debt refinancings and extinguishments and mark-to-market net unrealized losses associated with certain equity investments, offset in part by $31 million of non-service related pension and other postretirement benefit plan income.</w:t>
      </w:r>
    </w:p>
    <w:p>
      <w:pPr>
        <w:spacing w:after="0" w:line="130" w:lineRule="exact"/>
        <w:rPr>
          <w:sz w:val="20"/>
          <w:szCs w:val="20"/>
          <w:color w:val="auto"/>
        </w:rPr>
      </w:pPr>
    </w:p>
    <w:p>
      <w:pPr>
        <w:jc w:val="both"/>
        <w:ind w:firstLine="202"/>
        <w:spacing w:after="0" w:line="263" w:lineRule="auto"/>
        <w:rPr>
          <w:sz w:val="20"/>
          <w:szCs w:val="20"/>
          <w:color w:val="auto"/>
        </w:rPr>
      </w:pPr>
      <w:r>
        <w:rPr>
          <w:rFonts w:ascii="Arial" w:cs="Arial" w:eastAsia="Arial" w:hAnsi="Arial"/>
          <w:sz w:val="18"/>
          <w:szCs w:val="18"/>
          <w:color w:val="auto"/>
        </w:rPr>
        <w:t>In the first nine months of 2022, other nonoperating income, net primarily included $ 314 million of non-service related pension and other postretirement benefit plan income, offset in part by $32 million of net special charges principally for mark-to-market net unrealized losses associated with certain equity investments.</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decrease in non-service related pension and other postretirement benefit plan income in the first nine months of 2023 as compared to the first nine months of 2022 is principally due to an increase in interest cost for the pension and other postretirement benefit obligations driven by higher discount rates and a decrease in expected return on pension plan assets from a reduction in plan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right="20" w:firstLine="202"/>
        <w:spacing w:after="0" w:line="275" w:lineRule="auto"/>
        <w:rPr>
          <w:sz w:val="20"/>
          <w:szCs w:val="20"/>
          <w:color w:val="auto"/>
        </w:rPr>
      </w:pPr>
      <w:r>
        <w:rPr>
          <w:rFonts w:ascii="Arial" w:cs="Arial" w:eastAsia="Arial" w:hAnsi="Arial"/>
          <w:sz w:val="18"/>
          <w:szCs w:val="18"/>
          <w:color w:val="auto"/>
        </w:rPr>
        <w:t>In the first nine months of 2023, American recorded an income tax provision of $375 million. Substantially all of American’s income or loss before income taxes is attributable to the United States.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September 30, 2023, AAG had $13.5 billion in total available liquidity and $925 million in restricted cash and short-term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196"/>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7"/>
                <w:szCs w:val="17"/>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2022</w:t>
            </w: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8,523</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w:t>
            </w:r>
          </w:p>
        </w:tc>
      </w:tr>
      <w:tr>
        <w:trPr>
          <w:trHeight w:val="21"/>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0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As of the most recent applicable measurement dates, we were in compliance with each of the foregoing LTV, collateral coverage and peak debt service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5.50% senior secured notes due 2026, 5.75% senior secured notes due 2029 and AAdvantage Term Loan Facility (collectively, the AAdvantage Financing) contains a peak debt service coverage ratio, pursuant to which failure to comply with a certain threshold may result in early repayment, in whole or in part, of the AAdvantage Financing.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9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net cash provided by operating activities was $ 5.2 billion and $2.3 billion for the first nine months of 2023 and 2022, respectively, a $2.8 billion period-over-period increase due to a return to profitability and net increases in working capital. As a result of the ratification of a new collective bargaining agreement with our mainline pilots, as of September 30, 2023, we recorded accruals for additional compensation for the 2023 period prior to contract ratification to reflect the higher wage rates effective as of January 1, 2023, a one-time payment, as well as adjustments to other benefit-related items. The one-time payment and the additional compensation was principally paid in October 2023, with remaining payments expected to be paid in the first quarter of 2024.</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$2.7 billion and $916 million for the first nine months of 2023 and 2022, respectively.</w:t>
      </w:r>
    </w:p>
    <w:p>
      <w:pPr>
        <w:spacing w:after="0" w:line="17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principal investing activities in the first nine months of 2023 included $1.8 billion of capital expenditures, which primarily related to the purchase of 11 Boeing 737 MAX aircraft, six Embraer 175 aircraft, three used Bombardier CRJ 900 aircraft, two Airbus A321neo aircraft and 22 spare engines. Additionally, we had $1.5 billion in net purchases of short-term investments. These cash outflows were offset in part by $219 million of proceeds from sale-leaseback transactions and sale of property and equipment.</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principal investing activities in the first nine months of 2022 included $1.9 billion of capital expenditures, which primarily related to the purchase of 17 Airbus A321neo aircraft and 12 spare engines. We also purchased $205 million of equity investments, principally related to our investment in GOL Linhas Aéreas Inteligentes S.A. (GOL).</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financing activities was $2.4 billion and $1.3 billion for the first nine months of 2023 and 2022, respectively.</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principal financing activities in the first nine months of 2023 included $2.3 billion in net repayments of debt and finance lease obligations primarily due to scheduled debt repayments. We refinanced approximately $1.8 billion in aggregate principal amount of term loans outstanding under the 2013 Term Loan Facility by extending the maturity of $1.0 billion in term loans under the 2013 Term Loan Facility and issuing $750 million in aggregate principal amount of the 7.25% Senior Secured Notes. In addition, we borrowed $663 million in connection with the financing of certain aircraft and repurchased $552 million of secured and unsecured notes in the open market.</w:t>
      </w:r>
    </w:p>
    <w:p>
      <w:pPr>
        <w:spacing w:after="0" w:line="13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principal financing activities in the first nine months of 2022 included $2.0 billion in repayments of debt and finance lease obligations, consisting of $1.7 billion in scheduled debt repayments including the repayment of $401 million in connection with the maturity of our 5.000% unsecured notes, and the repurchase of $349 million of unsecured notes in the open market. These cash outflows were offset in part by $699 million of long-term debt proceeds from the issuance of equipment notes related to enhanced equipment trust certificates (EETCs).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9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net cash provided by operating activities was $5.1 billion and $1.5 billion for the first nine months of 2023 and 2022, respectively, a $3.6 billion period-over-period increase due to a return to profitability and net increases in working capital. As a result of the ratification of a new collective bargaining agreement with American’s mainline pilots, as of September 30, 2023, American recorded accruals for additional compensation for the 2023 period prior to contract ratification to reflect the higher wage rates effective as of January 1, 2023, a one-time payment, as well as adjustments to other benefit-related items. The one-time payment and the additional compensation was principally paid in October 2023, with remaining payments expected to be paid in the first quarter of 2024.</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$2.6 billion and $874 million for the first nine months of 2023 and 2022,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American’s principal investing activities in the first nine months of 2023 included $1.7 billion of capital expenditures, which primarily related to the purchase of 11 Boeing 737 MAX aircraft, six Embraer 175 aircraft, three used Bombardier CRJ 900 aircraft, two Airbus A321neo aircraft and 22 spare engines. Additionally, American had $1.5 billion in net purchases of short-term investments. These cash outflows were offset in part by $219 million of proceeds from sale-leaseback transactions and sale of property and equipment.</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American’s principal investing activities in the first nine months of 2022 included $1.8 billion of capital expenditures, which primarily related to the purchase of 17 Airbus A321neo aircraft and 12 spare engines. American also purchased $205 million of equity investments, principally related to its investment in GOL.</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financing activities was $2.4 billion and $570 million for the first nine months of 2023 and 2022, respectively.</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principal financing activities in the first nine months of 2023 included $2.3 billion in net repayments of debt and finance lease obligations primarily due to scheduled debt repayments. American refinanced approximately $1.8 billion in aggregate principal amount of term loans outstanding under the 2013 Term Loan Facility by extending the maturity of $ 1.0 billion in term loans under the 2013 Term Loan Facility and issuing $750 million in aggregate principal amount of the 7.25% Senior Secured Notes. In addition, American borrowed $663 million in connection with the financing of certain aircraft and repurchased $539 million of secured notes in the open market.</w:t>
      </w:r>
    </w:p>
    <w:p>
      <w:pPr>
        <w:spacing w:after="0" w:line="13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American’s principal financing activities in the first nine months of 2022 included $1.3 billion in repayments of debt and finance lease obligations, offset in part by $699 million of long-term debt proceeds from the issuance of equipment notes related to EETCs.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0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As of September 30, 2023, AAG had $33.3 billion in long-term debt, including current maturities of $3.6 billion. As of September 30, 2023, American had $28.0 billion in long-term debt, including current maturities of $3.6 billion. All material changes in our significant indebtedness since our 2022 Form 10-K are discussed in Note 5 to AAG’s Condensed Consolidated Financial Statements in Part I, Item 1A and Note 4 to American’s Condensed Consolidated Financial Statements in Part I, Item 1B.</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September 30, 2023, we had definitive purchase agreements for the acquisition of the following new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2028 and</w:t>
            </w: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2023</w:t>
            </w: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Thereafter</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27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4"/>
          </w:tcPr>
          <w:p>
            <w:pPr>
              <w:spacing w:after="0"/>
              <w:rPr>
                <w:sz w:val="20"/>
                <w:szCs w:val="20"/>
                <w:color w:val="auto"/>
              </w:rPr>
            </w:pPr>
            <w:r>
              <w:rPr>
                <w:rFonts w:ascii="Arial" w:cs="Arial" w:eastAsia="Arial" w:hAnsi="Arial"/>
                <w:sz w:val="18"/>
                <w:szCs w:val="18"/>
                <w:color w:val="auto"/>
              </w:rPr>
              <w:t>A320neo Family</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2720" w:type="dxa"/>
            <w:vAlign w:val="bottom"/>
            <w:tcBorders>
              <w:bottom w:val="single" w:sz="8" w:color="CCEEFF"/>
            </w:tcBorders>
            <w:gridSpan w:val="2"/>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4"/>
          </w:tcPr>
          <w:p>
            <w:pPr>
              <w:spacing w:after="0"/>
              <w:rPr>
                <w:sz w:val="20"/>
                <w:szCs w:val="20"/>
                <w:color w:val="auto"/>
              </w:rPr>
            </w:pPr>
            <w:r>
              <w:rPr>
                <w:rFonts w:ascii="Arial" w:cs="Arial" w:eastAsia="Arial" w:hAnsi="Arial"/>
                <w:sz w:val="18"/>
                <w:szCs w:val="18"/>
                <w:color w:val="auto"/>
              </w:rPr>
              <w:t>737 MAX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787 Family </w:t>
            </w:r>
            <w:r>
              <w:rPr>
                <w:rFonts w:ascii="Arial" w:cs="Arial" w:eastAsia="Arial" w:hAnsi="Arial"/>
                <w:sz w:val="23"/>
                <w:szCs w:val="23"/>
                <w:color w:val="auto"/>
                <w:vertAlign w:val="superscript"/>
              </w:rPr>
              <w:t>(2)</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Embraer</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175 </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5"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 xml:space="preserve">Delivery schedule represents our best estimate as of the date of this report as described in footnote (d)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Actual delivery dates are subject to change, which could be material, based on various potential factors including production delays by the manufacturer and regulatory concerns.</w:t>
      </w:r>
    </w:p>
    <w:p>
      <w:pPr>
        <w:spacing w:after="0" w:line="151" w:lineRule="exact"/>
        <w:rPr>
          <w:rFonts w:ascii="Arial" w:cs="Arial" w:eastAsia="Arial" w:hAnsi="Arial"/>
          <w:sz w:val="23"/>
          <w:szCs w:val="23"/>
          <w:color w:val="auto"/>
          <w:vertAlign w:val="superscript"/>
        </w:rPr>
      </w:pPr>
    </w:p>
    <w:p>
      <w:pPr>
        <w:jc w:val="both"/>
        <w:ind w:left="340" w:hanging="332"/>
        <w:spacing w:after="0" w:line="233"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 xml:space="preserve">In August 2023, we restructured the delivery stream of the Boeing 787-9 aircraft we have on order through the end of this decade, shifting certain of these deliveries to later years. The table above and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reflect this revised schedule.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hanging="332"/>
        <w:spacing w:after="0" w:line="226"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 xml:space="preserve">In October 2023, we entered into a purchase agreement with Embraer to purchase an additional four aircraft. The table above and the </w:t>
      </w: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table below reflect this agreement.</w:t>
      </w:r>
    </w:p>
    <w:p>
      <w:pPr>
        <w:spacing w:after="0" w:line="15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 xml:space="preserve">In addition, we have committed to purchase ten used Airbus A321neo aircraft which are scheduled to be delivered through January 2024 and four used Bombardier CRJ 900 aircraft which are scheduled to be delivered in the fourth quarter of 2023. We also have agreements for 50 spare engines to be delivered in the fourth quarter of 2023 and beyond.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reflects these commitments.</w:t>
      </w:r>
    </w:p>
    <w:p>
      <w:pPr>
        <w:spacing w:after="0" w:line="1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currently have financing commitments in place for all Boeing 737 MAX Family aircraft on order and scheduled to be delivered in the remainder of 2023. Our ability to draw on the financing commitments we have in place is subject to (1) the satisfaction of various terms and conditions including, in some cases, on our acquisition of the aircraft by a certain date and (2) the performance by the relevant financing counterparty of its obligations thereunder. We do not have financing commitments in place for any aircraft scheduled to be delivered in 2024 and beyond, except for five Boeing 787 Family aircraft and four Boeing 737 MAX Family aircraft scheduled to be delivered in 2024.</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2022 Form 10-K.</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Labor Contracts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August 21, 2023, a new four-year collective bargaining agreement was ratified between American and the Allied Pilots Association.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new agreement will significantly increase the cost of providing compensation and benefits to our mainline pilots.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September 30, 2023 (in millions). The table does not include commitments that are contingent on events or other factors that are uncertain or unknown at this time and is subject to other conventions as set forth in the applicable accompanying footnotes.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Remainder</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6"/>
              </w:rPr>
              <w:t>2027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2028 and</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2023</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80,542</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7" w:lineRule="exact"/>
        <w:rPr>
          <w:sz w:val="20"/>
          <w:szCs w:val="20"/>
          <w:color w:val="auto"/>
        </w:rPr>
      </w:pPr>
    </w:p>
    <w:p>
      <w:pPr>
        <w:jc w:val="both"/>
        <w:ind w:left="340" w:hanging="332"/>
        <w:spacing w:after="0" w:line="233"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$347 million and $15 million of unamortized debt discount, premium and issuance costs as of September 30, 2023 for American and AAG Parent, respectively. For additional information, see Note 5 and Note 4 to AAG’s and American’s Condensed Consolidated Financial Statements in Part I, Items 1A and 1B, respectively.</w:t>
      </w:r>
    </w:p>
    <w:p>
      <w:pPr>
        <w:spacing w:after="0" w:line="11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September 30, 2023.</w:t>
      </w:r>
    </w:p>
    <w:p>
      <w:pPr>
        <w:spacing w:after="0" w:line="149" w:lineRule="exact"/>
        <w:rPr>
          <w:rFonts w:ascii="Arial" w:cs="Arial" w:eastAsia="Arial" w:hAnsi="Arial"/>
          <w:sz w:val="23"/>
          <w:szCs w:val="23"/>
          <w:color w:val="auto"/>
          <w:vertAlign w:val="superscript"/>
        </w:rPr>
      </w:pPr>
    </w:p>
    <w:p>
      <w:pPr>
        <w:ind w:left="340" w:hanging="332"/>
        <w:spacing w:after="0" w:line="226" w:lineRule="auto"/>
        <w:tabs>
          <w:tab w:leader="none" w:pos="32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$8.0 billion of future principal payments and $1.1 billion of future interest payments as of September 30, 2023, related to EETCs associated with mortgage financings of certain aircraft and spare engines.</w:t>
      </w:r>
    </w:p>
    <w:p>
      <w:pPr>
        <w:spacing w:after="0" w:line="144" w:lineRule="exact"/>
        <w:rPr>
          <w:rFonts w:ascii="Arial" w:cs="Arial" w:eastAsia="Arial" w:hAnsi="Arial"/>
          <w:sz w:val="23"/>
          <w:szCs w:val="23"/>
          <w:color w:val="auto"/>
          <w:vertAlign w:val="superscript"/>
        </w:rPr>
      </w:pPr>
    </w:p>
    <w:p>
      <w:pPr>
        <w:jc w:val="both"/>
        <w:ind w:left="340" w:hanging="332"/>
        <w:spacing w:after="0" w:line="245" w:lineRule="auto"/>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above for additional information about the firm commitment aircraft delivery schedule, in particular the footnote to the table thereunder as to potential changes to such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 Additionally, the amounts in the table exclude five Boeing 787-9 aircraft scheduled to be delivered in 2024, for which we have obtained committed lease financing. This financing is reflected in the operating lease commitments line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340" w:hanging="332"/>
        <w:spacing w:after="0" w:line="237"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spacing w:after="0" w:line="151" w:lineRule="exact"/>
        <w:rPr>
          <w:rFonts w:ascii="Arial" w:cs="Arial" w:eastAsia="Arial" w:hAnsi="Arial"/>
          <w:sz w:val="23"/>
          <w:szCs w:val="23"/>
          <w:color w:val="auto"/>
          <w:vertAlign w:val="superscript"/>
        </w:rPr>
      </w:pPr>
    </w:p>
    <w:p>
      <w:pPr>
        <w:jc w:val="both"/>
        <w:ind w:left="340" w:hanging="332"/>
        <w:spacing w:after="0" w:line="233" w:lineRule="auto"/>
        <w:tabs>
          <w:tab w:leader="none" w:pos="329"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based on actuarially determined estimates as of December 31, 2022 and is based on estimated payments through 2032. During the first nine months of 2023, we made required contributions of $68 million to our defined benefit pension plans.</w:t>
      </w:r>
    </w:p>
    <w:p>
      <w:pPr>
        <w:spacing w:after="0" w:line="151" w:lineRule="exact"/>
        <w:rPr>
          <w:rFonts w:ascii="Arial" w:cs="Arial" w:eastAsia="Arial" w:hAnsi="Arial"/>
          <w:sz w:val="23"/>
          <w:szCs w:val="23"/>
          <w:color w:val="auto"/>
          <w:vertAlign w:val="superscript"/>
        </w:rPr>
      </w:pPr>
    </w:p>
    <w:p>
      <w:pPr>
        <w:jc w:val="both"/>
        <w:ind w:left="340" w:hanging="332"/>
        <w:spacing w:after="0" w:line="233" w:lineRule="auto"/>
        <w:tabs>
          <w:tab w:leader="none" w:pos="33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information technology support and construction projects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0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(such as occurred during the COVID-19 pandemic),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5 and Note 4 to AAG’s and American’s Condensed Consolidated Financial Statements in Part I, Items 1A and 1B, respectively.</w:t>
      </w:r>
    </w:p>
    <w:p>
      <w:pPr>
        <w:spacing w:after="0" w:line="14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2022 Form 10-K.</w:t>
      </w:r>
    </w:p>
    <w:p>
      <w:pPr>
        <w:spacing w:after="0" w:line="191" w:lineRule="exact"/>
        <w:rPr>
          <w:sz w:val="20"/>
          <w:szCs w:val="20"/>
          <w:color w:val="auto"/>
        </w:rPr>
      </w:pPr>
    </w:p>
    <w:p>
      <w:pPr>
        <w:ind w:right="4240"/>
        <w:spacing w:after="0" w:line="350"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jc w:val="both"/>
        <w:ind w:right="20" w:firstLine="243"/>
        <w:spacing w:after="0" w:line="275"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2022 Form 10-K except as updated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September 30, 2023,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2023 forecasted fuel consumption, we estimate that a one cent per gallon increase in the price of aircraft fuel would increase our 2023 annual fuel expense by approximately $40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British pound sterling, Canadian dollar and various Latin American currencies (primarily the Brazilian real). We do not currently have a foreign currency hedge program.</w:t>
      </w:r>
    </w:p>
    <w:p>
      <w:pPr>
        <w:spacing w:after="0" w:line="1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September 30, 2023 variable-rate debt and short-term investments balances, annual interest expense on variable rate debt would increase by approximately $90 million and annual interest income on short-term investments would increase by approximately $110 million.</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anticipation of the phase-out of the London Interbank Offered Rate (LIBOR) as a reference rate in June 2023, the U.S. Federal Reserve, in conjunction with the Alternative Reference Rates Committee, has chosen the Secured Overnight Financing Rate (SOFR), and specifically Term SOFR, as the recommended risk-free reference rate for the U.S. (calculated based on repurchase agreements backed by Treasury securities). Prior to the discontinuation of LIBOR, we amended substantially all of our LIBOR-based financing arrangements to transition them to successor rates, primarily Term SOFR. We cannot predict the extent to which Term SOFR will gain widespread acceptance as a replacement for LIBOR, the consequences of the replacement of LIBOR on financial markets generally or on our business, financial condition or results of operations specifically, and our transition to successor rates could cause the amount of interest payable on our long-term debt to be different or higher than expected.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September 30, 2023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September 30, 2023 at the reasonable assurance level.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For the quarter ended September 30, 2023, there have been no changes in AAG’s or American’s internal control over financial reporting that have materially affected, or are reasonably likely to materially affect, AAG’s and American’s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September 30, 2023.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See Note 12 to each of AAG and American’s Condensed Consolidated Financial Statements in Part I, Item 1A and Part I, Item 1B, respectively, for information on legal proceedings.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For example, the COVID-19 pandemic and associated decline in economic activity and increase in unemployment levels had a severe and prolonged effect on the global economy generally and, in turn, resulted in a prolonged period of depressed demand for air travel. In addition, a rapid economic expansion following the height of the COVID-19 pandemic resulted in significant inflationary pressures and volatility in certain currencies, which have increased our costs for aircraft fuel, wages and benefits and other goods and services we require to operate our business, as well as increasing the interest expense on our variable-rate indebtedness.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0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September 30, 2023, our planned aggregate expenditures for aircraft purchase commitments and certain engines on a consolidated basis for the remainder of 2023 through 2027 would be approximately $11.2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the additional liquidity transactions completed in response to the impact of the COVID-19 pandemic; our non-investment grade credit rating; volatile or otherwise unfavorable market conditions; and the availability of assets to use as collateral for loans or other indebtedness, which has been reduced significantly as a result of certain financing transactions we have undertaken since the beginning of 2020 and may be further reduced. If we are unable to arrange any such required financing at customary advance rates and on terms and conditions acceptable to us, we may need to use cash from operations or cash on hand to purchase aircraft and engines or fund our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Furthermore, we hold significant balances of cash and short-term investments, including as necessary to conduct our day-to-day operations, some of which are held in deposit accounts at commercial banks in excess of the government-provided deposit insurance.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significant amounts of indebtedness and other financial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38"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75"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spacing w:after="0" w:line="119" w:lineRule="exact"/>
        <w:rPr>
          <w:rFonts w:ascii="Arial" w:cs="Arial" w:eastAsia="Arial" w:hAnsi="Arial"/>
          <w:sz w:val="18"/>
          <w:szCs w:val="18"/>
          <w:color w:val="auto"/>
        </w:rPr>
      </w:pPr>
    </w:p>
    <w:p>
      <w:pPr>
        <w:ind w:left="1300" w:hanging="644"/>
        <w:spacing w:after="0" w:line="275"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119" w:lineRule="exact"/>
        <w:rPr>
          <w:rFonts w:ascii="Arial" w:cs="Arial" w:eastAsia="Arial" w:hAnsi="Arial"/>
          <w:sz w:val="18"/>
          <w:szCs w:val="18"/>
          <w:color w:val="auto"/>
        </w:rPr>
      </w:pPr>
    </w:p>
    <w:p>
      <w:pPr>
        <w:ind w:left="1300" w:hanging="644"/>
        <w:spacing w:after="0" w:line="275"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19"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29" w:lineRule="exact"/>
        <w:rPr>
          <w:rFonts w:ascii="Arial" w:cs="Arial" w:eastAsia="Arial" w:hAnsi="Arial"/>
          <w:sz w:val="18"/>
          <w:szCs w:val="18"/>
          <w:color w:val="auto"/>
        </w:rPr>
      </w:pPr>
    </w:p>
    <w:p>
      <w:pPr>
        <w:ind w:left="1300" w:hanging="644"/>
        <w:spacing w:after="0" w:line="275"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bear interest at floating rates, subjecting us to volatility in interest expenses as interest rates fluctuate;</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 collateral coverage ratios and peak debt service coverage ratios; and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right="20" w:hanging="656"/>
        <w:spacing w:after="0" w:line="275" w:lineRule="auto"/>
        <w:tabs>
          <w:tab w:leader="none" w:pos="19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19" w:lineRule="exact"/>
        <w:rPr>
          <w:rFonts w:ascii="Arial" w:cs="Arial" w:eastAsia="Arial" w:hAnsi="Arial"/>
          <w:sz w:val="18"/>
          <w:szCs w:val="18"/>
          <w:color w:val="auto"/>
        </w:rPr>
      </w:pPr>
    </w:p>
    <w:p>
      <w:pPr>
        <w:ind w:left="1940" w:hanging="636"/>
        <w:spacing w:after="0"/>
        <w:tabs>
          <w:tab w:leader="none" w:pos="19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other indebtedness.</w:t>
      </w:r>
    </w:p>
    <w:p>
      <w:pPr>
        <w:spacing w:after="0" w:line="17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during the COVID-19 pandemic we were required to obtain a significant amount of additional financing from a variety of sources and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Moreover, as a result of the financing activities we undertook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should we seek additional liquidity in the future.</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obligations discussed above, including those imposed as a result of any additional financings we may be required to undertake, could also impact our ability to obtain additional financing, if needed, and our flexibility in the conduct of our business, and could materially adversely affect our liquidity, results of operations and financial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Further, a substantial amount of our long-term indebtedness bears interest at floating interest rates, which tend to fluctuate based on general short-term interest rates, rates set by the U.S. Federal Reserve and other central banks, the supply of and demand for credit in Treasury repurchase or other markets and general economic conditions. We have not hedged our interest rate exposure with respect to our floating rate debt. Accordingly, our interest expense for any particular period will fluctuate based on the relevant benchmark rate and other variable interest rates. In 2022 and continuing into 2023, in response to rising inflation which coincided with a rapid rebound of economic activity as governments lifted restrictions and economies reopened following the COVID-19 pandemic, central banks around the world— including the U.S. Federal Reserve, the European Central Bank and the Bank of England—commenced a cycle of raising interest rates, which has consequently increased the interest we pay on our floating-rate indebtedness. To the extent the interest rates applicable to our floating rate debt remain elevated or continue to increase, our interest expense will increase, in which event we may have difficulties making interest payments and funding our other fixed costs, and our available cash flow for general corporate requirements may be adversely affected.</w:t>
      </w:r>
    </w:p>
    <w:p>
      <w:pPr>
        <w:spacing w:after="0" w:line="14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anticipation of the phase-out of LIBOR as a reference rate in June 2023, the U.S. Federal Reserve, in conjunction with the Alternative Reference Rates Committee, has chosen SOFR, and specifically Term SOFR, as the recommended risk-free reference rate for the U.S. (calculated based on repurchase agreements backed by Treasury securities). Prior to the discontinuation of LIBOR, we amended substantially all of our LIBOR-based financing arrangements to transition them to successor rates, primarily Term SOFR. We cannot predict the extent to which Term SOFR will gain widespread acceptance as a replacement for LIBOR, the consequences of the replacement of LIBOR on financial markets generally or on our business, financial condition or results of operations specifically, and our transition to successor rates could cause the amount of interest payable on our long-term debt to be different or higher than expected.</w:t>
      </w:r>
    </w:p>
    <w:p>
      <w:pPr>
        <w:spacing w:after="0" w:line="212" w:lineRule="exact"/>
        <w:rPr>
          <w:sz w:val="20"/>
          <w:szCs w:val="20"/>
          <w:color w:val="auto"/>
        </w:rPr>
      </w:pPr>
    </w:p>
    <w:p>
      <w:pPr>
        <w:ind w:left="260" w:right="20"/>
        <w:spacing w:after="0" w:line="301"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pension funding obligations are significant. The amount of our pension funding obligations will depend on the performance of investments held in trust by the pension plans, interest rates for determining liabilities and actuarial experience. We also have significant obligations for retiree medical and other postretirement benefits.</w:t>
      </w:r>
    </w:p>
    <w:p>
      <w:pPr>
        <w:spacing w:after="0" w:line="13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 IAM Pension fund were to terminate, or if the IAM Pension Fund were to undergo a mass withdrawal, we could be subject to liability as imposed by law.</w:t>
      </w:r>
    </w:p>
    <w:p>
      <w:pPr>
        <w:spacing w:after="0" w:line="218" w:lineRule="exact"/>
        <w:rPr>
          <w:sz w:val="20"/>
          <w:szCs w:val="20"/>
          <w:color w:val="auto"/>
        </w:rPr>
      </w:pPr>
    </w:p>
    <w:p>
      <w:pPr>
        <w:ind w:left="260" w:right="20"/>
        <w:spacing w:after="0" w:line="301"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up to and including 100% of relevant advanced ticket sales, would materially reduce our liquidity. Likewise, other of our commercial agreements contain provisions that allow counterparties to impose less-favorable terms, including the acceleration of amounts due, in the event of material adverse changes in our financial condition. For example, we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maintain certain letters of credit as well as insurance- and surety-related agreements under which counterparties may require collateral, including cash collateral.</w:t>
      </w:r>
    </w:p>
    <w:p>
      <w:pPr>
        <w:spacing w:after="0" w:line="191" w:lineRule="exact"/>
        <w:rPr>
          <w:sz w:val="20"/>
          <w:szCs w:val="20"/>
          <w:color w:val="auto"/>
        </w:rPr>
      </w:pPr>
    </w:p>
    <w:p>
      <w:pPr>
        <w:ind w:left="260" w:right="20"/>
        <w:spacing w:after="0" w:line="301"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and develop additional qualified personnel could adversely affect our business.</w:t>
      </w:r>
    </w:p>
    <w:p>
      <w:pPr>
        <w:spacing w:after="0" w:line="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Retaining and recruiting people with the appropriate skills is particularly challenging as the economy in general, and the airline industry in particular, continue to recover from the COVID-19 pandemic, resulting in competition for the human resources necessary to operate our business successfully. We may not be successful in attracting, developing or retaining key personnel or other highly qualified personnel. In addition, competition for skilled personnel has intensified and may continue to intensify if overall industry capacity continues to increase and/or we were to incur attrition at levels higher than we have historically. Any inability to attract, develop and retain significant numbers of qualified management and other personnel would have a material adverse effect on our business, results of operations and financial condition.</w:t>
      </w:r>
    </w:p>
    <w:p>
      <w:pPr>
        <w:spacing w:after="0" w:line="209"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7"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20" w:lineRule="exact"/>
        <w:rPr>
          <w:sz w:val="20"/>
          <w:szCs w:val="20"/>
          <w:color w:val="auto"/>
        </w:rPr>
      </w:pPr>
    </w:p>
    <w:p>
      <w:pPr>
        <w:ind w:left="1300" w:right="20" w:hanging="644"/>
        <w:spacing w:after="0" w:line="275"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and higher interest rates;</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wars, terrorist attacks and political instability;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75"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such as occurred during the COVID-19 pandemic; and</w:t>
      </w:r>
    </w:p>
    <w:p>
      <w:pPr>
        <w:spacing w:after="0" w:line="171" w:lineRule="exact"/>
        <w:rPr>
          <w:rFonts w:ascii="Arial" w:cs="Arial" w:eastAsia="Arial" w:hAnsi="Arial"/>
          <w:sz w:val="18"/>
          <w:szCs w:val="18"/>
          <w:color w:val="auto"/>
        </w:rPr>
      </w:pPr>
    </w:p>
    <w:p>
      <w:pPr>
        <w:ind w:left="1300" w:hanging="644"/>
        <w:spacing w:after="0" w:line="275"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2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COVID-19 pandemic, along with the measures governments and private organizations worldwide implemented in an attempt to contain its spread, resulted in significant volatility in demand for air travel, which adversely affected our business, operations and financial condition to an unprecedented extent and for a prolonged period. Measures implemented during the COVID-19 pandemic—such as travel restrictions, including testing regimes, “stay at home” and quarantine orders, limitations on public gatherings, cancellation of public events and many others—initially resulted in a precipitous decline in demand for both domestic and international business and leisure travel. In response to this material deterioration in demand, we took a number of aggressive actions to ameliorate the impacts to our business, operations and financial condition. While cases have declined globally and governments have loosened or lifted COVID-related travel restrictions, the potential for a resurgence of COVID-19, including the emergence and spread of any new variants, and its after effects remain uncertain, and there can be no assurance that any mitigating actions we take in response will be sufficient to avert a deterioration in our business, financial condition and results of operations. Additionally, the COVID-19 pandemic necessitated changes in business practices which may persist. For example, businesses and other travelers may continue to forego air travel in favor of remote or flexible working policies and communication alternatives such as videoconferencing. In addition, businesses may seek to reduce travel costs by requiring the purchase of less expensive tickets, thereby potentially impacting our average revenue per available seat mile.</w:t>
      </w:r>
    </w:p>
    <w:p>
      <w:pPr>
        <w:spacing w:after="0" w:line="14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In addition to the effects of the COVID-19 pandemic, an outbreak of another contagious disease—such as has occurred in the past with the Ebola virus, Middle East Respiratory Syndrome, Severe Acute Respiratory Syndrome, H1N1 influenza virus, avian flu, Zika virus or any other similar illness—if it were to become associated with air travel or persist</w:t>
      </w:r>
    </w:p>
    <w:p>
      <w:pPr>
        <w:sectPr>
          <w:pgSz w:w="11900" w:h="16838" w:orient="portrait"/>
          <w:cols w:equalWidth="0" w:num="1">
            <w:col w:w="11240"/>
          </w:cols>
          <w:pgMar w:left="320" w:top="118"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07"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and hire and retain a sufficient number of employees may adversely affect our operations and financial performance.</w:t>
      </w:r>
    </w:p>
    <w:p>
      <w:pPr>
        <w:spacing w:after="0" w:line="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As of December 31, 2022, approximately 87% of our employees were represented for collective bargaining purposes by labor unions, and 48% were covered by CBAs that are currently amendable or that will become amendable within one year. For the dates that the CBAs with our major work groups become amendable under the RLA, see </w:t>
      </w:r>
      <w:r>
        <w:rPr>
          <w:rFonts w:ascii="Arial" w:cs="Arial" w:eastAsia="Arial" w:hAnsi="Arial"/>
          <w:sz w:val="18"/>
          <w:szCs w:val="18"/>
          <w:i w:val="1"/>
          <w:iCs w:val="1"/>
          <w:color w:val="auto"/>
        </w:rPr>
        <w:t xml:space="preserve">“Labor Relations” </w:t>
      </w:r>
      <w:r>
        <w:rPr>
          <w:rFonts w:ascii="Arial" w:cs="Arial" w:eastAsia="Arial" w:hAnsi="Arial"/>
          <w:sz w:val="18"/>
          <w:szCs w:val="18"/>
          <w:color w:val="auto"/>
        </w:rPr>
        <w:t>under Part I, Item 1. Business – “</w:t>
      </w:r>
      <w:r>
        <w:rPr>
          <w:rFonts w:ascii="Arial" w:cs="Arial" w:eastAsia="Arial" w:hAnsi="Arial"/>
          <w:sz w:val="18"/>
          <w:szCs w:val="18"/>
          <w:i w:val="1"/>
          <w:iCs w:val="1"/>
          <w:color w:val="auto"/>
        </w:rPr>
        <w:t xml:space="preserve">Sustainability – Our People” </w:t>
      </w:r>
      <w:r>
        <w:rPr>
          <w:rFonts w:ascii="Arial" w:cs="Arial" w:eastAsia="Arial" w:hAnsi="Arial"/>
          <w:sz w:val="18"/>
          <w:szCs w:val="18"/>
          <w:color w:val="auto"/>
        </w:rPr>
        <w:t>in our 2022 Form 10-K.</w:t>
      </w:r>
    </w:p>
    <w:p>
      <w:pPr>
        <w:spacing w:after="0" w:line="14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under Part I, Item 1. Business – “</w:t>
      </w:r>
      <w:r>
        <w:rPr>
          <w:rFonts w:ascii="Arial" w:cs="Arial" w:eastAsia="Arial" w:hAnsi="Arial"/>
          <w:sz w:val="18"/>
          <w:szCs w:val="18"/>
          <w:i w:val="1"/>
          <w:iCs w:val="1"/>
          <w:color w:val="auto"/>
        </w:rPr>
        <w:t>Sustainability – Our People”</w:t>
      </w:r>
      <w:r>
        <w:rPr>
          <w:rFonts w:ascii="Arial" w:cs="Arial" w:eastAsia="Arial" w:hAnsi="Arial"/>
          <w:sz w:val="18"/>
          <w:szCs w:val="18"/>
          <w:color w:val="auto"/>
        </w:rPr>
        <w:t xml:space="preserve"> in our 2022 Form 10-K.</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Currently, we believe our labor costs are generally competitive relative to the other large network carriers. However, personnel shortages, in particular for pilots, and general wage inflation stand to impact our labor costs moving forward. In July 2023 we reached a tentative agreement with the union representing our mainline pilots, which was subsequently ratified by the pilots in August 2023. The new agreement, which became effective in the third quarter of 2023, includes significant increases in pilot pay and benefits, in line with agreements recently concluded by our large network competitors with their pilots’ unions. We remain in negotiations for several other new labor agreements, and anticipate that any new contracts we agree to with our labor groups will include material increases in salaries and other benefits, which will significantly increase our labor expense.</w:t>
      </w:r>
    </w:p>
    <w:p>
      <w:pPr>
        <w:spacing w:after="0" w:line="212"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and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in particular pilots and mechanics, and other risk factors, such as an out-of-court or bankruptcy restructuring of any of our regional operators. Several of these third -party regional operators provide significant regional capacity that we would be unable to replace in a short period of time should that operator fail to perform its obligations to us. Disruptions to capital markets, shortages of pilots, mechanics and other skilled personnel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attempt to restore capacity in line with increased demand for air travel following the height of the COVID-19 pandemic, these third-party operators have experienced difficulties in recruiting and retaining sufficient personnel to operate significantly increased schedules, and have in some instances been required to offer significant increases in pay and other benefits to recruit and retain pilots and other personnel. Periods of volatility in travel demand have the potential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46"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fueling, catering,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are also facing challenges retaining and recruiting people with the appropriate skills to meet our requirements as the economy in general, and the airline industry in particular, continue to recover from the COVID-19 pandemic. The COVID-19 pandemic also caused significant disruption in global supply chains and staffing shortages, which have affected and may continue to affect the availability and timely delivery and fulfillment of many goods, including certain of those that we purchase directly or which are required by third parties to perform contracted services for us. We rely on the operation of complex supply chains and a large number of third parties for the procurement and fulfillment of parts, components, consumable or disposable goods and other products and services essential to our business. Following a faster than expected return of demand for air travel as COVID-19 cases declined worldwide and governments lifted travel restrictions, suppliers and many of the airports we serve experienced acute shortages of personnel, resulting in increased delays, cancellations and, in certain cases, restrictions on passenger numbers or the number of flights to or from certain airports.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4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Moreover, an outbreak and spread of an infectious disease could adversely impact consumer perceptions of the health and safety of travel, and in particular airline travel, such as occurred during the COVID-19 pandemic. Actual or perceived risk of infection on our flights could have a material adverse effect on the public’s perception of us and may harm our reputation and business. We have in the past, and may in the future be required to take extensive measures to reassure our team members and the traveling public of the safety of air travel, and we could incur significant costs implementing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safety, hygiene-related or other actions to limit the actual or perceived threat of infection among our employees and passengers. However, we cannot assure that any actions we might take in response to an infectious disease outbreak will be sufficient to restore the confidence of consumers in the safety of air travel. In addition, as a result of mask mandates and other mitigating measures that airports and carriers were required by law to implement to limit the spread of COVID-19, we experienced an increase in the incidence of aggressive customer behavior and physical confrontation on our flights, certain of which resulted in injuries to our personnel. While the rate of these incidents has declined following the lifting of mask mandates and other COVID-19 measures, if our employees feel unsafe or believe that we are not doing enough to prevent and prosecute such incidents, we could experience higher rates of employee absence or attrition and we may suffer reputational harm which could make it more difficult to attract and retain employees, and which could in turn negatively affect our business, financial condition and results of operations.</w:t>
      </w:r>
    </w:p>
    <w:p>
      <w:pPr>
        <w:spacing w:after="0" w:line="213"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at risk of adverse publicity stemming from any public incident involving our company, our people or our brand, particularly given the ease with which individuals can now capture and rapidly disseminate information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7"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 we offer, such as Premium Economy service and Basic Economy service, enhancements to our AAdvantage loyalty program, charging separately for services that had previously been included within the price of a ticket, changes to our practices and contracts with providers of distribution systems to provide additional content flexibility, commercial practices related to ticket distribution channels,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assuming this policy remains in 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 or increased fees might result in adverse brand perceptions, reputational harm or regulatory scrutiny,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3"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30"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spacing w:after="0" w:line="207" w:lineRule="exact"/>
        <w:rPr>
          <w:sz w:val="20"/>
          <w:szCs w:val="20"/>
          <w:color w:val="auto"/>
        </w:rPr>
      </w:pPr>
    </w:p>
    <w:p>
      <w:pPr>
        <w:ind w:left="260" w:right="20"/>
        <w:spacing w:after="0" w:line="301"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12 to each of AAG and American’s Condensed Consolidated Financial Statements in Part I, Item 1A and Part I, Item 1B, respectively.</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NOLs and other carryforwards may be limited.</w:t>
      </w:r>
    </w:p>
    <w:p>
      <w:pPr>
        <w:spacing w:after="0" w:line="10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As of December 31, 2022, we had approximately $16.2 billion of gross federal NOLs and $4.3 billion of other carryforwards available to reduce future federal taxable income, of which $5.9 billion will expire beginning in 2025 if unused and $14.6 billion can be carried forward indefinitely. We also had approximately $6.0 billion of NOL carryforwards to reduce future state taxable income at December 31, 2022, which will expire in taxable years 2022 through 2042 if unused. Our NOL carryforwards are subject to adjustment on audit by the Internal Revenue Service and the respective state taxing authorities. Additionally, due to the impact of the COVID-19 pandemic and other economic factors, certain of the NOL carryforwards may expire before we can generate sufficient taxable income to use them.</w:t>
      </w:r>
    </w:p>
    <w:p>
      <w:pPr>
        <w:spacing w:after="0" w:line="138"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There can be no assurance that an additional valuation allowance on our net deferred tax assets will not be required should our financial performance be negatively impacted in the future. Such valuation allowance could be material.</w:t>
      </w:r>
    </w:p>
    <w:p>
      <w:pPr>
        <w:spacing w:after="0" w:line="13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Inc. (US Airways Group) experienced an ownership change in connection with the merger of US Airways Group and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$4.4 billion of unlimited NOLs still remaining at December 31, 2022)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Coronavirus Aid, Relief, and Economic Security Act (CARES Act), the warrants (and common stock issuable upon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exercise thereof) we issued to the U.S. Department of Treasury (Treasury) did not and will not result in an “ownership change” for purposes of Section 382. This exception does not apply for companies issuing warrants, stock options, common or preferred stock or other equity pursuant to the payroll support program established under the CARES Act (PSP1), the payroll support program established under the Subtitle A of Title IV of Division N of the Consolidated Appropriations Act, 2021 (PSP Extension Law) (PSP2) and the payroll support program established under the American Rescue Plan Act of 2021 (ARP)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Notwithstanding the foregoing, an ownership change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benefits preservation plan (the Tax Benefits Preservation Plan) in order to preserve our ability to use our NOLs and certain other tax attributes to reduce potential future income tax obligations. The Tax Benefits Preservation Plan was subsequently ratified by our stockholders at the 2022 Annual Meeting of Stockholders of AAG. The Tax Benefits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Benefits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U.S. tax legislation may adversely affect our financial condition, results of operations and cash flows.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August 16, 2022, the Inflation Reduction Act (the IRA) was signed into law in the U.S. Among other changes, the IRA introduced a corporate minimum tax on certain corporations with average adjusted financial statement income over a three-tax year period in excess of $1.0 billion and an excise tax on certain stock repurchases by certain covered corporations for taxable years beginning after December 31, 2022. The corporate minimum tax and any excise tax imposed on any repurchases of AAG common stock made after December 31, 2022 may adversely affect our financial condition in the future. The U.S. government may enact additional significant changes to the taxation of business entities including, among others, an increase in the corporate income tax rate, significant changes to the taxation of income derived from international operations, and an addition of further limitations on the deductibility of business interest. We are currently unable to predict whether such additional changes will occur. If such changes are enacted or implemented, we are currently unable to predict the ultimate impact on our business and therefore there can be no assurance our business will not be adversely affected.</w:t>
      </w:r>
    </w:p>
    <w:p>
      <w:pPr>
        <w:spacing w:after="0" w:line="213"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3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uncertain. Such impairment charges could have a material adverse effect on our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greater financial or other resources and/or lower cost structures than ours, as well as other forms of transportation, such as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occurred recently during the COVID-19 pandemic), as airlines under financial stress, or in bankruptcy, may institute pricing or fee structures intended to attract more customers to achieve near-term survival at the expense of long-term viability.</w:t>
      </w:r>
    </w:p>
    <w:p>
      <w:pPr>
        <w:spacing w:after="0" w:line="1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Many of these carriers, including several that have recently commenced operations,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in particular with the planned introduction of long-range narrowbody aircraft in coming years. The actions of existing or future low-cost carriers, including those described above, could have a material adverse effect on our operations and financial performance.</w:t>
      </w:r>
    </w:p>
    <w:p>
      <w:pPr>
        <w:spacing w:after="0" w:line="14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Asia).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COVID-19 pandemic or other health emergencies and the speed with which demand for travel to these regions returns.</w:t>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and prolonged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 which may result in increases in our costs, disruptions to our operations, limits on our operating flexibility, reductions in the demand for air travel, and competitive disadvantages.”</w:t>
      </w:r>
    </w:p>
    <w:p>
      <w:pPr>
        <w:spacing w:after="0" w:line="1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38" w:lineRule="exact"/>
        <w:rPr>
          <w:sz w:val="20"/>
          <w:szCs w:val="20"/>
          <w:color w:val="auto"/>
        </w:rPr>
      </w:pPr>
    </w:p>
    <w:p>
      <w:pPr>
        <w:jc w:val="both"/>
        <w:ind w:right="20" w:firstLine="243"/>
        <w:spacing w:after="0" w:line="258"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United States Department of Transportation (DOT) and was reviewed by the European Commission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and April 2022, the CMA adopted interim measures that effectively extend the EC commitments until March 2026 in light of the uncertainty and other impacts resulting from the COVID-19 pandemic. The CMA restarted its investigation in September 2023 after the pause related to the COVID-19 pandemic and plans to complete the investigation before the scheduled expiration of the interim measures in March 2026. The foregoing arrangements are important aspects of our international network and we are dependent on the performance and continued cooperation of the other airlines party to those arrangements.</w:t>
      </w:r>
    </w:p>
    <w:p>
      <w:pPr>
        <w:spacing w:after="0" w:line="14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had a marketing relationship, the Northeast Alliance arrangement (NEA), with JetBlue Airways Corporation (JetBlue) that included an alliance agreement with reciprocal codesharing on certain domestic and international routes from New York (John F. Kennedy International Airport (JFK), LaGuardia Airport (LGA), and Newark Liberty International Airport) and Boston Logan International Airport, and provided for reciprocal loyalty program benefits. On September 21, 2021, the United States Department of Justice, joined by Attorneys General from six states and the District of Columbia, filed an antitrust complaint against American and JetBlue in the U.S. District Court for the District of Massachusetts alleging that American and JetBlue violated U.S. antitrust law in connection with the NEA. On May 19, 2023, the U.S. District Court for the District of Massachusetts issued an order permanently enjoining American and JetBlue from continuing and further implementing the NEA. In June 2023, JetBlue delivered a notice of termination of the NEA, effective July 29, 2023, and the carriers have commenced wind-down activities to accommodate mutual customers. Following written submissions by the parties and a hearing on July 26, 2023, the U.S. District Court for the District of Massachusetts entered a Final Judgment and Order Entering Permanent Injunction on July 28, 2023. American filed a notice of appeal to the U.S. Court of Appeals for the First Circuit on September 25, 2023. Separately, in December 2022, two putative class action lawsuits were filed in the U.S. District Court for the Eastern District of New York also alleging that the NEA violated U.S. antitrust laws. In February 2023, private party plaintiffs filed two additional putative class action antitrust complaints against American and JetBlue in the U.S. District Court for the District of Massachusetts and the U.S. District Court for the Eastern District of New York, respectively. All cases have since been consolidated in the U.S. District Court for the Eastern District of New York. We believe these complaints are without merit and are defending against them vigorously. Defendants filed a motion to dismiss on September 21, 2023.</w:t>
      </w:r>
    </w:p>
    <w:p>
      <w:pPr>
        <w:spacing w:after="0" w:line="14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13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Other mergers and other forms of airline partnerships, including antitrust immunity grants, may take place and may not involve us as a participant.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antitrust immunity grants, their route networks will grow, and that growth will result in greater overlap with our network, which in turn could decrease our overall market share and revenues. Such combination or collaboration is not limited to the U.S., but could include further transactions among international carriers in Europe and elsewhere that result in broader networks offered by rival airlines.</w:t>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 covenants that impose restrictions on certain amendments or changes to certain of our AAdvantage program agreements provided as collateral under the AAdvantage Financing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spacing w:after="0" w:line="13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We may also be impacted by competition regulations affecting certain of our major commercial partners, including our co-branded credit card partners. For example, there has been bipartisan legislation proposed in Congress called the Credit Card Competition Act designed to increase credit card transaction routing options for merchants which, if enacted, could result in a reduction of the fees levied on credit card transactions. If this legislation were enacted, it could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fundamentally alter the profitability of our agreements with co-branded credit card partners and the benefits we provide to our consumers through the co-branded credit cards issued by these partners.</w:t>
      </w:r>
    </w:p>
    <w:p>
      <w:pPr>
        <w:spacing w:after="0" w:line="191"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The commercial relationships that we have with other companies, including any related equity investments, may not produce the returns or results we expect.</w:t>
      </w:r>
    </w:p>
    <w:p>
      <w:pPr>
        <w:spacing w:after="0" w:line="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 joint business and codeshare relationships, and, in certain instances, including China Southern Airlines Company Limited, GOL Linhas Aéreas Inteligentes S.A. and JetSMART Holdings Limited, by making an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as a result of the COVID-19 pandemic and subsequent economic recovery, the industry experienced significant volatility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If any carriers with which we partner or in which we hold an equity stake were to cease trading or be declared insolvent, we could lose the value of any such investment or experience significant operational disruption. These events could have a material adverse effect on our business, results of operations and financial condition.</w:t>
      </w:r>
    </w:p>
    <w:p>
      <w:pPr>
        <w:spacing w:after="0" w:line="15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201"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7"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$0.37 per gallon to a high of approximately $4.40 per gallon during the period from January 1, 2020 to September 30, 2023.</w:t>
      </w:r>
    </w:p>
    <w:p>
      <w:pPr>
        <w:spacing w:after="0" w:line="1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changes in production levels of individual nations or associations of oil-producing states,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Any of these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2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September 30, 2023,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sustainable aviation fuel (SAF) in our fleet. Currently, industrial production of SAF is small in scale and inadequate to meet growing industry demand, and while additional production capacity is expected to come online in coming years, we anticipate that competition for SAF among industry participants will remain intense. As a result, we may need to pay a significant premium for SAF above the price we would pay for conventional jet fuel. To secure future SAF supply, we have entered into multiple agreements for the purchase of future SAF production, and continue to engage with producers regarding potential future SAF purchases, which may include investments to support these producers. Certain existing or potential future agreements pertain to SAF production from facilities that are planned but not yet operational,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218" w:lineRule="exact"/>
        <w:rPr>
          <w:sz w:val="20"/>
          <w:szCs w:val="20"/>
          <w:color w:val="auto"/>
        </w:rPr>
      </w:pPr>
    </w:p>
    <w:p>
      <w:pPr>
        <w:ind w:left="260" w:right="20"/>
        <w:spacing w:after="0" w:line="301"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Federal Aviation Administration (FAA), the Transportation Security Administration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3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was not lifted in the United States until November 2020), or otherwise caused substantial disruption and resulted in material costs to us and lost revenues. The recent telecom industry roll-out of 5G technology, and concerns regarding its possible interference with aircraft navigation systems, also resulted in regulatory uncertainty and the potential for operational impacts, including possible suspension of service to certain airports or the operation of certain aircraft. See “</w:t>
      </w:r>
      <w:r>
        <w:rPr>
          <w:rFonts w:ascii="Arial" w:cs="Arial" w:eastAsia="Arial" w:hAnsi="Arial"/>
          <w:sz w:val="18"/>
          <w:szCs w:val="18"/>
          <w:i w:val="1"/>
          <w:iCs w:val="1"/>
          <w:color w:val="auto"/>
        </w:rPr>
        <w:t>We rely heavily on technology and automated systems to operate our business, and any failure of these technologies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systems could harm our business, results of operations and financial condition.” </w:t>
      </w:r>
      <w:r>
        <w:rPr>
          <w:rFonts w:ascii="Arial" w:cs="Arial" w:eastAsia="Arial" w:hAnsi="Arial"/>
          <w:sz w:val="18"/>
          <w:szCs w:val="18"/>
          <w:color w:val="auto"/>
        </w:rPr>
        <w:t>The FAA also exercises comprehensive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over nearly all technical aspects of our operations. Our failure to comply with such requirements has in the past and may in the future result in fines and other enforcement actions by the FAA or other regulators. The FAA recently issued a final rule implementing flight attendant duty and rest periods, which will impact our scheduling flexibility. In the future, any new regulatory requirements, particularly requirements that limit our ability to operate or price our products, could have a material adverse effect on us and the industry.</w:t>
      </w:r>
    </w:p>
    <w:p>
      <w:pPr>
        <w:spacing w:after="0" w:line="14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2018, Congress passed a five-year funding authorization for the FAA which was scheduled to expire on September 30, 2023, but was recently extended to December 31, 2023. The legislative process to renew this authorization (the FAA Authorization Renewal) could impact us, and commercial aviation more generally, in numerous ways. As part of the FAA Authorization Renewal, Congress could seek to impose new rules or regulations concerning, among other things, customer service, aviation safety, labor requirements, investments in FAA staffing and resources, improvements to the ATC system and managing new entrants in the U.S. national airspace system, as well as new or increased fees or taxes intended to fund these policies. Any new or enhanced requirements resulting from the FAA Authorization Renewal have the potential to increase our costs or impact our operation. Congressional action on the FAA Authorization Renewal has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already begun and Congress has indicated that their goal is to pass the bill in advance of the newly set expiration of December 31, 2023. If Congress fails to pass the FAA Authorization Renewal, we expect passage of an additional extension of the current law to prevent a lapse in authorities.</w:t>
      </w:r>
    </w:p>
    <w:p>
      <w:pPr>
        <w:spacing w:after="0" w:line="13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many aspects of our customer’s journey, including at the time of ticket purchase, at the airport, and onboard the aircraft. DOT requires multiple disclosures of airline fares, taxes and baggage fees and is further changing these requirements to increase the number of disclosures and the time at which they must be disclosed. DOT also recently issued a proposed rule mandating refunds in certain circumstances, such as a global pandemic. DOT has also proposed rules requiring disclosure of certain ancillary fees by air carriers and travel agents. Finally, DOT will be proposing and implementing a number of new disability regulations that will impact us, including rules for accessible lavatories on single-aisle aircraft, wheelchair damage and prompt wheelchair assistance.</w:t>
      </w:r>
    </w:p>
    <w:p>
      <w:pPr>
        <w:spacing w:after="0" w:line="141"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3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These initiatives include increasingly stringent laws to protect the environment, wage/hour requirements, mandatory paid sick or family leave, and healthcare mandates. These laws could affect our relationship with our workforce and the vendors that serve our airline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For example, we are currently involved in legal proceedings brought by flight attendants and certain other work groups in California concerning alleged violations of the state’s labor code including, among other things, violations of certain meal and rest break laws, and an adverse determination in any of these cases could adversely impact our operational flexibility and result in the imposition of damages and fines, which could potentially be significant.</w:t>
      </w:r>
    </w:p>
    <w:p>
      <w:pPr>
        <w:spacing w:after="0" w:line="142" w:lineRule="exact"/>
        <w:rPr>
          <w:sz w:val="20"/>
          <w:szCs w:val="20"/>
          <w:color w:val="auto"/>
        </w:rPr>
      </w:pPr>
    </w:p>
    <w:p>
      <w:pPr>
        <w:jc w:val="both"/>
        <w:ind w:right="20" w:firstLine="243"/>
        <w:spacing w:after="0" w:line="275"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20" w:lineRule="exact"/>
        <w:rPr>
          <w:sz w:val="20"/>
          <w:szCs w:val="20"/>
          <w:color w:val="auto"/>
        </w:rPr>
      </w:pPr>
    </w:p>
    <w:p>
      <w:pPr>
        <w:ind w:left="1300" w:hanging="644"/>
        <w:spacing w:after="0" w:line="275"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19" w:lineRule="exact"/>
        <w:rPr>
          <w:rFonts w:ascii="Arial" w:cs="Arial" w:eastAsia="Arial" w:hAnsi="Arial"/>
          <w:sz w:val="18"/>
          <w:szCs w:val="18"/>
          <w:color w:val="auto"/>
        </w:rPr>
      </w:pPr>
    </w:p>
    <w:p>
      <w:pPr>
        <w:jc w:val="both"/>
        <w:ind w:left="1300" w:right="20" w:hanging="644"/>
        <w:spacing w:after="0" w:line="263"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 (including our arrangements with JetBlue);</w:t>
      </w:r>
    </w:p>
    <w:p>
      <w:pPr>
        <w:spacing w:after="0" w:line="129" w:lineRule="exact"/>
        <w:rPr>
          <w:rFonts w:ascii="Arial" w:cs="Arial" w:eastAsia="Arial" w:hAnsi="Arial"/>
          <w:sz w:val="18"/>
          <w:szCs w:val="18"/>
          <w:color w:val="auto"/>
        </w:rPr>
      </w:pPr>
    </w:p>
    <w:p>
      <w:pPr>
        <w:ind w:left="1300" w:hanging="644"/>
        <w:spacing w:after="0" w:line="275"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hanging="644"/>
        <w:spacing w:after="0" w:line="275"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jc w:val="both"/>
        <w:ind w:left="1300" w:hanging="644"/>
        <w:spacing w:after="0" w:line="258"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in response to outbreaks of illness, such as occurred during the COVID-19 pandemic, including the imposition of preflight testing regimes or vaccination confirmation requirements which have in the past and may in the future have the effect of reducing demand for air travel in the markets where such requirements are imposed.</w:t>
      </w:r>
    </w:p>
    <w:p>
      <w:pPr>
        <w:spacing w:after="0" w:line="13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and past system disruptions have resulted in large-scale flight cancellations and delays. We experienced this challenge in January 2023 when an outage in the ATC Notice to Air Missions system led to a nationwide ground-stop for nearly two hours, resulting in significant operational disruption throughout the day.</w:t>
      </w:r>
    </w:p>
    <w:p>
      <w:pPr>
        <w:spacing w:after="0" w:line="14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3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more than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adversely impact us and could result in impairments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3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May 1, 2021 the EU and United Kingdom entered into a new trade and cooperation agreement (the EU-UK Trade and Cooperation Agreement) to govern certain aspects of their relationship following Brexit.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governmental regulation of our operations, including the inability to obtain or retain needed route authorities and/or slots, and new or evolved policies related to consumer protections. In particular, the COVID-19 pandemic severely impacted the demand for international travel for a prolonged period, and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While many countries have largely eliminated their pandemic restrictions, or are in the process of doing so, we can provide no assurance as to when demand for international travel will return to pre-COVID-19 pandemic levels, if at all, or whether certain international destinations we previously served will be economical in the future.</w:t>
      </w:r>
    </w:p>
    <w:p>
      <w:pPr>
        <w:spacing w:after="0" w:line="14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varying registration requirements and ongoing reporting obligations in the countries where we operate. Our permission to continue doing business in these countries may depend on our ability to timely fulfil or remedy any noncompliance with these and other governmental requirements. We may also be subject to the risk that relevant government agencies will be delayed in granting or renewing required approvals, including as a result of shutdowns (such as occurred in certain jurisdictions during the COVID-19 pandemic), cybersecurity incidents or other events. Any lapse, revocation, suspension or delay in approval of our authority to do business in a given jurisdiction may prevent us from serving certain destinations and could adversely impact our business, financial condition and results of operations.</w:t>
      </w:r>
    </w:p>
    <w:p>
      <w:pPr>
        <w:spacing w:after="0" w:line="1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w:t>
      </w:r>
    </w:p>
    <w:p>
      <w:pPr>
        <w:spacing w:after="0" w:line="14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where we do not have as strong a presence. This could materially adversely affect our business, results of operations and financial condition.</w:t>
      </w:r>
    </w:p>
    <w:p>
      <w:pPr>
        <w:spacing w:after="0" w:line="14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Brexit has also led to legal and regulatory uncertainty such as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such as the transatlantic joint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Any of these effects, and others we cannot anticipate, could materially adversely affect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3"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We cannot forecast what new security requirements may be imposed in the future, or their impact on our business. In addition, avoiding areas of armed conflict or locations inaccessible to us due to geopolitical factors can impact our operations and financial results. For instance, airspace closures or restrictions may require us to alter flight paths, thereby increasing the distance, duration and amount of fuel required to operate certain international flights, in particular relative to competitors not subject to these airspace restrictions.</w:t>
      </w:r>
    </w:p>
    <w:p>
      <w:pPr>
        <w:spacing w:after="0" w:line="157" w:lineRule="exact"/>
        <w:rPr>
          <w:sz w:val="20"/>
          <w:szCs w:val="20"/>
          <w:color w:val="auto"/>
        </w:rPr>
      </w:pPr>
    </w:p>
    <w:p>
      <w:pPr>
        <w:ind w:left="260"/>
        <w:spacing w:after="0" w:line="300"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changing consumer preferences and the potential increased impacts of severe weather events on our operations and infrastructure.</w:t>
      </w:r>
    </w:p>
    <w:p>
      <w:pPr>
        <w:jc w:val="both"/>
        <w:ind w:firstLine="243"/>
        <w:spacing w:after="0" w:line="231"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greenhouse gas (GHG) emissions, including carbon dioxide (CO</w:t>
      </w:r>
      <w:r>
        <w:rPr>
          <w:rFonts w:ascii="Arial" w:cs="Arial" w:eastAsia="Arial" w:hAnsi="Arial"/>
          <w:sz w:val="23"/>
          <w:szCs w:val="23"/>
          <w:color w:val="auto"/>
          <w:vertAlign w:val="subscript"/>
        </w:rPr>
        <w:t>2</w:t>
      </w:r>
      <w:r>
        <w:rPr>
          <w:rFonts w:ascii="Arial" w:cs="Arial" w:eastAsia="Arial" w:hAnsi="Arial"/>
          <w:sz w:val="18"/>
          <w:szCs w:val="18"/>
          <w:color w:val="auto"/>
        </w:rPr>
        <w:t>) emissions. In particular, the International Civil Aviation Organization (ICAO) has adopted rules, including those pertaining to the Carbon Offsetting and Reduction Scheme for International Aviation (CORSIA), which will require us to mitigate the growth 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associated with a significant majority of our international flights. For more information on CORSIA,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Item 1. Business – “</w:t>
      </w:r>
      <w:r>
        <w:rPr>
          <w:rFonts w:ascii="Arial" w:cs="Arial" w:eastAsia="Arial" w:hAnsi="Arial"/>
          <w:sz w:val="18"/>
          <w:szCs w:val="18"/>
          <w:i w:val="1"/>
          <w:iCs w:val="1"/>
          <w:color w:val="auto"/>
        </w:rPr>
        <w:t>Domestic and Global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Regulatory Landscape – Environmental Matters” </w:t>
      </w:r>
      <w:r>
        <w:rPr>
          <w:rFonts w:ascii="Arial" w:cs="Arial" w:eastAsia="Arial" w:hAnsi="Arial"/>
          <w:sz w:val="18"/>
          <w:szCs w:val="18"/>
          <w:color w:val="auto"/>
        </w:rPr>
        <w:t>in our 2022 Form 10-K.</w:t>
      </w:r>
    </w:p>
    <w:p>
      <w:pPr>
        <w:spacing w:after="0" w:line="15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due to continued volatility in demand for international air travel in the recovery from the COVID-19 pandemic and because there is significant uncertainty with respect to the future supply and price of eligible carbon offset credits and lower-carbon aircraft fuels. In addition, our future CORSIA obligations are uncertain because those obligations are based on the growth in emissions of the global aviation sector and our individual airline emissions will not be incorporated into our CORSIA obligations until 2033.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CORSIA is a global market-based measure that offers a harmonized way to reduce emissions from international aviation. In the event CORSIA does not come into force as expected or is terminated for whatever reason, we and other airlines could become subject to an unpredictable and inconsistent array of national or regional emissions restrictions, creating a patchwork of complex regulatory requirements that could lead to increased expense related to the emissions of our flights.</w:t>
      </w:r>
    </w:p>
    <w:p>
      <w:pPr>
        <w:spacing w:after="0" w:line="1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Concerns over climate change are likely to result in continued attempts by governments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January 2021, the U.S. Environmental Protection Agency (EPA) adopted GHG emission standards for new aircraft engines, which are aligned with the 2017 ICAO aircraft engine GHG emission standards. Like the ICAO standards, the final EPA standards for new aircraft engines would not apply retroactively to engines already on in-service aircraft. These final standards have been challenged by several states and environmental groups, and the Biden Administration has issued an executive order requiring a review of these final standards. On November 15, 2021, the EPA announced that it would not rewrite the existing aircraft engine GHG emissions standards but would seek more ambitious new aircraft GHG emission standards within the ICAO process. On June 30, 2023, the U.S. Court of Appeals for the D.C. Circuit ruled that the EPA acted within its authority in establishing the aircraft engine GHG emissions standards, rejecting the challenges by the states and environmental groups.</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EC’s ReFuelEU Aviation initiative (part of its “Fit for 55” program) included a proposal for the creation of a SAF blending mandate for aviation fuel suppliers set at 2% beginning in 2025 and rising to 63% by 2050, among other requirements. The European Parliament and the European Council reached a provisional political agreement in relation to the terms of the ReFuelEU Aviation initiative on April 25, 2023, which was formally adopted by the European Parliament on September 13, 2023. This agreed text modified the EC’s proposal in certain respects while maintaining the general obligation for fuel suppliers to ensure that certain minimum shares of SAF are made available to aircraft operators at EU airports from 2025. Such minimum requirements are 2% in 2025, 6% in 2030, 20% in 2035, 34% in 2040, 42% in 2045 and 70% in 2050. In addition, a specific proportion of the fuel mix (1.2% in 2030, 2% in 2032, 5% in 2035 and progressively reaching 35% in 2050) must comprise synthetic fuels like e-kerosene, and as of 2025, there will be an EU label for the environmental performance of flights, such that airlines may market their flights indicating the expected carbon footprint per passenger. The agreement remains subject to formal approval by the European Council, and the potential effects on our business are uncertain at this time. In light of this development, the UK and other countries have adopted or are considering adoption of a SAF blending mandate similar to that of the EU.</w:t>
      </w:r>
    </w:p>
    <w:p>
      <w:pPr>
        <w:spacing w:after="0" w:line="147"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Climate change-related regulatory activity and developments may adversely affect our business and financial results by requiring us to reduce our emissions before cost-effective emissions reduction technologies are available, for example through requirements to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3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SAF in our fleet. Currently, industrial production of SAF is small in scale and inadequate to meet growing industry demand, and while additional production capacity is expected to come online in coming years, we anticipate that competition for SAF among industry participants will remain intense, especially in light of the minimum requirements for the usage of SAF under the ReFuelEU Aviation initiative. As a result, we may need to pay a significant premium for SAF above the price we would pay for conventional jet fuel. To secure future SAF supply, we have entered into multiple agreements for the purchase of future SAF production, and we continue to engage with producers regarding potential future SAF purchases, which may include investments to support these producers. Certain existing or potential future agreements pertain to SAF production from facilities that are planned but not yet operational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147" w:lineRule="exact"/>
        <w:rPr>
          <w:sz w:val="20"/>
          <w:szCs w:val="20"/>
          <w:color w:val="auto"/>
        </w:rPr>
      </w:pPr>
    </w:p>
    <w:p>
      <w:pPr>
        <w:jc w:val="both"/>
        <w:ind w:right="20" w:firstLine="243"/>
        <w:spacing w:after="0" w:line="275" w:lineRule="auto"/>
        <w:rPr>
          <w:sz w:val="20"/>
          <w:szCs w:val="20"/>
          <w:color w:val="auto"/>
        </w:rPr>
      </w:pPr>
      <w:r>
        <w:rPr>
          <w:rFonts w:ascii="Arial" w:cs="Arial" w:eastAsia="Arial" w:hAnsi="Arial"/>
          <w:sz w:val="18"/>
          <w:szCs w:val="18"/>
          <w:color w:val="auto"/>
        </w:rPr>
        <w:t>Growing recognition among consumers of the dangers of climate change may mean some customers choose to fly less frequently or fly on an airline they perceive as operating in a manner that is more sustainable to the climate.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customers may choose to use alternatives to travel, such as virtual meetings and workspaces. Greater development of high-speed rail in markets now served by short-haul flights could provide passengers with lower-carbon alternatives to flying with us. Customers may also elect to travel on flights that emit comparatively fewer carbon emissions, particularly after the adoption of the EU environmental labelling scheme for flights in 2025. Our collateral to secure loans, in the form of aircraft, spare parts and airport slots, could lose value as customer demand shifts and economies move to low-carbon alternatives, which may increase our financing cost.</w:t>
      </w:r>
    </w:p>
    <w:p>
      <w:pPr>
        <w:spacing w:after="0" w:line="1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more frequent or widespread flight cancellations,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sites, although such costs currently are not expected to have a material adverse effect on our business.</w:t>
      </w:r>
    </w:p>
    <w:p>
      <w:pPr>
        <w:spacing w:after="0" w:line="14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Governmental authorities in the U.S. and abroad are increasingly focused on potential contamination resulting from the use of certain chemicals, most notably per- and polyfluoroalkyl, substances (PFAS). Products containing PFAS have been used in manufacturing, industrial, and consumer applications over many decades, including those related to aviation. Among other things, recent changes to federal requirements for firefighting foams containing PFAS, as well as related state regulations affecting their use, will require operational changes. On August 26, 2022, the EPA published for public comment a new rulemaking that would designate two PFAS substances (perfluorooctanoic acid and perfluorooctanesulfonic acid) as hazardous substances under the Comprehensive Environmental Response, Compensation, and Liability Act. This rulemaking would require entities to immediately report current and past releases that meet or exceed the reportable quantity for such substances to EPA’s National Response Center. Depending on the final outcome of this rulemaking and the introduction of any additional state or federal regulations, we may incur costs in connection with reporting obligations and costs related to historic usage of PFAS-containing materials, transitioning away from the usage of PFAS-containing products, disposing of PFAS-containing waste or remediating any residual environmental impacts.</w:t>
      </w:r>
    </w:p>
    <w:p>
      <w:pPr>
        <w:spacing w:after="0" w:line="14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3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as well as setting an annual flight cap from specific cities, as promoted in the Netherlands. We have been able to accommodate local noise restrictions imposed to date, but our operations could be adversely affected if locally-imposed regulations become more restrictive or widespread. The FAA is also currently evaluating possible changes to how aircraft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noise is measured, and the resulting standards that are based on them. Ultimately, these changes could have an impact on, or limit, our operations, or make it more difficult for the FAA to modernize and increase the efficiency of the airspace and airports we utilize.</w:t>
      </w:r>
    </w:p>
    <w:p>
      <w:pPr>
        <w:spacing w:after="0" w:line="191"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requirements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Large numbers of pilots in the industry accepted early retirement during the COVID-19 pandemic or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Further, in the course of the domestic airline industry rapidly restoring capacity during the recovery from the COVID-19 pandemic, the significant training requirements to return large numbers of pilots to active flying have been time consuming and disruptive.</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These and other factors have contributed to a shortage of qualified, entry-level pilots, shortages of experienced pilots trained and ready for duty, and increased compensation costs materially for pilots throughout the industry. The foregoing factors have also led to increased competition from large, mainline carriers attempting to meet their hiring needs and significant further proposed increases in mainline pilot compensation. We believe that this industry-wide pilot shortage will remain a significant problem for airlines in the United States for the foreseeable future. Our regional airline subsidiaries and other regional partners have recently been unable to hire adequate numbers of pilots to meet their needs, resulting in a reduction in the number of flights offered, operational disruptions, increased compensation expense and costs of operations, financial difficulties and other adverse effects, and these circumstances may become more severe in the future and thereby cause a material adverse effect on our business.</w:t>
      </w:r>
    </w:p>
    <w:p>
      <w:pPr>
        <w:spacing w:after="0" w:line="13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part of the 2023 FAA Reauthorization process, Congress has proposed increasing the pilot retirement age from 65 to 67 to help address the pilot shortage. Raising the mandatory retirement age could help to mitigate the pilot shortage at regional airlines and other carriers operating domestically, but it could create potential challenges to mainline carriers operating internationally, as the international standard for pilot retirement is currently 65. We cannot, at this time, predict the effect on our operation if this extension in retirement age is adopted and implemented.</w:t>
      </w:r>
    </w:p>
    <w:p>
      <w:pPr>
        <w:spacing w:after="0" w:line="209"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 Delays in scheduled aircraft deliveries or other loss of anticipated fleet capacity, and failure of new aircraft to perform as expected, may adversely impact our business, results of operations and financial condition.</w:t>
      </w:r>
    </w:p>
    <w:p>
      <w:pPr>
        <w:spacing w:after="0" w:line="2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as of the end of 2022, all of our mainline aircraft were manufactured by either Airbus S.A.S. (Airbus) or The Boeing Company (Boeing) and all of our regional aircraft were manufactured by either Bombardier or Embraer. Further, our supplier base continues to consolidate as evidenced by recent transactions involving Airbus and Bombardier and Mitsubishi and Bombardier, and the cessation of production of certain Bombardier regional aircraft that we and our regional partners currently operate in large numbers. Due to the limited number of suppliers, constraints on production capacity, large order books and long production lead times, manufacturers may face challenges in timely fulfilling our aircraft on order, and we may face competition from other carriers in securing an adequate supply of aircraft in the future. If new aircraft orders are not filled on a timely basis, we could face higher financing and operating costs than planned. The limited number of these suppliers may also result in reduced competition and potentially higher prices than if the supplier base was less concentrated. In addition, we are vulnerable to any problems associated with the performance of these suppliers’ obligation to supply key aircraft, parts and engines, including design defects, mechanical problems, contractual performance by suppliers or adverse perception by the public that would result in customer avoidance of any of our aircraft. If the aircraft we receive do not meet expected performance or quality standards, including with respect to fuel efficiency, safety and reliability, we could also face higher financing and operating costs than planned and our business, results of operations and financial condition could be adversely impacted. We are also subject to the risk that action by the FAA or any other regulatory authority could result in an inability to certify or operate our aircraft, even temporarily. For instance, in March 2019, the FAA ordered the grounding of all Boeing 737 MAX Family aircraft, which remained in place for over a year and was not lifted in the United States until November 2020. More recently, regulatory concerns raised by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FAA forced Boeing to temporarily suspend deliveries of certain 787 aircraft, resulting in significant reductions to our planned long-haul flying.</w:t>
      </w:r>
    </w:p>
    <w:p>
      <w:pPr>
        <w:spacing w:after="0" w:line="12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our business, results of operations and financial condition could be negatively impacted. Our failure to integrate newly purchased aircraft into our fleet as planned might require us to seek extensions of the terms for some leased aircraft or otherwise delay the exit of certain aircraft from our fleet. Such unanticipated extensions or delays, which recently have been relatively commonplace among manufacturers of commercial aircraft, may require us to operate existing aircraft beyond the point at which it is economically optimal to retire them, resulting in increased maintenance costs, or reductions to our schedule, thereby reducing revenues. Repeated or prolonged delays in the production, delivery or induction of our new aircraft could also require us to scale back our growth plans, reduce frequencies or forgo service entirely to certain markets, which could adversely affect our business, financial condition and results of operations.</w:t>
      </w:r>
    </w:p>
    <w:p>
      <w:pPr>
        <w:spacing w:after="0" w:line="213"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and crew scheduling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Furthermore, certain critical aspects of our operation rely on legacy technological systems which may grow more difficult or expensive to support and maintain over time, and such systems may fail to perform as required or become more vulnerable to malfunction or failure over time.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4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On December 23,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If it were determined that 5G signals posed an interference risk to these altimeters or other systems, the FAA indicated in its SAIB that it could restrict flight operations in areas where such interference could occur. On June 17, 2022, the FAA and telecommunications industry reached an agreement to delay the full implementation of 5G deployment near airports until July 1, 2023. The delayed implementation allowed the aviation industry time to retrofit the radio altimeters on aircraft to prevent potential interference from 5G signals. American has completed the retrofit of all impacted mainline aircraft and Embraer regional aircraft. Due to supply chain issues, retrofits of the CRJ regional fleet are expected to be completed in the second half of 2023. However, the 5G performance restrictions on these regional aircraft are limited, and we expect no significant operational impacts to that fleet. With retrofits complete or nearly complete, we now expect operational certainty as it pertains to 5G until 2028, when the current operating agreement between the FAA, Federal Communications Commission and telecommunications industry expires.</w:t>
      </w:r>
    </w:p>
    <w:p>
      <w:pPr>
        <w:spacing w:after="0" w:line="1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technologies and automated systems are not completely protected against events that are beyond our control, including natural disasters, power failures, terrorist attacks, cyber-attacks, data theft, defects, errors, equipment and software failures, computer viruses or telecommunications failures.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01" w:lineRule="exact"/>
        <w:rPr>
          <w:sz w:val="20"/>
          <w:szCs w:val="20"/>
          <w:color w:val="auto"/>
        </w:rPr>
      </w:pPr>
    </w:p>
    <w:p>
      <w:pPr>
        <w:jc w:val="both"/>
        <w:ind w:left="260"/>
        <w:spacing w:after="0" w:line="267" w:lineRule="auto"/>
        <w:rPr>
          <w:sz w:val="20"/>
          <w:szCs w:val="20"/>
          <w:color w:val="auto"/>
        </w:rPr>
      </w:pPr>
      <w:r>
        <w:rPr>
          <w:rFonts w:ascii="Arial" w:cs="Arial" w:eastAsia="Arial" w:hAnsi="Arial"/>
          <w:sz w:val="18"/>
          <w:szCs w:val="18"/>
          <w:b w:val="1"/>
          <w:bCs w:val="1"/>
          <w:i w:val="1"/>
          <w:iCs w:val="1"/>
          <w:color w:val="auto"/>
        </w:rPr>
        <w:t>Evolving cybersecurity and data privacy requirements (in particular, compliance with applicable federal, state and foreign laws relating to handling of personal information about individuals)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3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normal course of our business, we collect, process, use and disclose personal information about individuals and rely on third party service providers to host or otherwise process personal information. Many federal, state and foreign governmental bodies and agencies have adopted, or are considering adopting, laws and regulations that impose limits on the collection, processing, use, disclosure and security of personal information about individuals. In some cases, such laws and regulations can be enforced by private parties in addition to government entities. In addition, privacy advocacy and industry groups may propose new and different self-regulatory standards or guidance that may legally or contractually apply to us and our vendors. These non-uniform laws, regulations, standards and guidance are complex and currently evolving and can be subject to significant change and interpretation, and may be inconsistently applied and enforced from one jurisdiction to another.</w:t>
      </w:r>
    </w:p>
    <w:p>
      <w:pPr>
        <w:spacing w:after="0" w:line="13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However, like any global enterprise operating in today’s digital business environment, we have experienced cybersecurity incidents and data breaches. The threat of cybersecurity incidents continues to increase as the frequency, intensity and sophistication of attacks and intrusions increase around the world. Despite ongoing efforts to maintain and improve the security of digital information, individuals, including employees or contractors, may be able to circumvent the security measures we put in place, and we may be unable to anticipate new techniques used for these attacks and intrusions and implement adequate preventative measures. We and our business partners have been the target of cybersecurity attacks and data breaches in the past and expect that we will continue to be in the future. For example, in March 2021, a sub-set of AAdvantage members as well as members of several other major airline loyalty programs received a notification about a security incident involving a limited amount of loyalty data held by a service provider. As another example, in July 2022, a minor phishing incident resulted in certain employee email accounts being accessed and acquired without authorization that contained personal information about a very limited number of individuals, including travelers (following which we notified the individuals). We react and respond to these cybersecurity attacks in accordance with the applicable legal requirements, our own approved cybersecurity protocols, as well as our commercial partners’ standards, but we cannot ensure that our responses will be sufficient to prevent or mitigate the potential adverse impacts of these incidents, which may be material.</w:t>
      </w:r>
    </w:p>
    <w:p>
      <w:pPr>
        <w:spacing w:after="0" w:line="14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Geopolitical issues continue to increase our cybersecurity risk and potential for cybersecurity incidents, for example, the conflict involving Russia and Ukraine, which has resulted in a heightened risk of cyberattacks against companies like ours that have operations, vendors and/or supply chain providers located in or around the region of conflict or are otherwise related to the conflict.</w:t>
      </w:r>
    </w:p>
    <w:p>
      <w:pPr>
        <w:spacing w:after="0" w:line="13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There has been heightened legislative and regulatory focus on data privacy and cybersecurity in the U.S., the EU, China and elsewhere, particularly with respect to critical infrastructure providers, including those in the transportation sector. As a result, we must comply with a proliferating and fast-evolving set of legal requirements in this area, including substantive data privacy and cybersecurity standards as well as requirements for notifying regulators and affected individuals in the event of a data security incident. In addition,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This regulatory environment is increasingly challenging and may present material obligations and risks to our business, including significantly expanded compliance burdens, costs and enforcement risks.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36"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Significant cybersecurity incidents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attacks; a diminished ability to retain or attract new customers; a deterioration in our relationships with business partners and other third parties; interruptions or failures in our payment related systems;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interruptions or failures in our payment related systems, could result in potentially material negative consequences for us, including loss of critical data, service interruptions and the potential for fines, restrictions and expulsion from card acceptance programs. In addition, we use third-party service providers to help us deliver services to customers. These service providers may store personal information, credit card information and/or other confidential information. Such information may be and has been the target of unauthorized access or subject to security breaches because of third-party action, employee error, malfeasance or otherwise. Any of these could (a) result in the loss of information, litigation, indemnity obligations, expensive and inconsistent cybersecurity incident and data breach notification requirements, damage to our reputation, regulatory scrutiny, and other liability, or (b) have a material adverse effect on our business, financial condition and results of operations.</w:t>
      </w:r>
    </w:p>
    <w:p>
      <w:pPr>
        <w:spacing w:after="0" w:line="15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data is secured, such as how personal data is collected, used for marketing purposes, and shared with third parties, also may require changes to our processes and increase compliance costs. There is also an increased risk to our business in the event of a significant data privacy violation, including additional compliance costs, reputational harm, disruption to the manner in which we provide our services, including the geographies we service, and being subject to complaints and/or regulatory investigations, significant monetary liability, fines, penalties, regulatory enforcement, individual or class action lawsuits, public criticism, loss of customers, loss of goodwill or other additional liabilities, such as claims by industry groups or other third parties. Accordingly, failure to appropriately address data privacy and cybersecurity issues could result in material financial and other liabilities and cause significant reputational harm to our company.</w:t>
      </w:r>
    </w:p>
    <w:p>
      <w:pPr>
        <w:spacing w:after="0" w:line="142"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color w:val="auto"/>
        </w:rPr>
        <w:t>In addition, litigation, claims and enforcement related to privacy, biometrics and other provisions of state privacy laws may involve new interpretations of privacy laws. Compliance with these laws and regulations may be inconsistent from jurisdiction to jurisdiction, increasing the cost of compliance and our risk of liability from litigation. Any litigation, claims or enforcement actions to which we are or become a party could potentially result in substantial monetary damages or fines.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w:t>
      </w:r>
    </w:p>
    <w:p>
      <w:pPr>
        <w:spacing w:after="0" w:line="13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3"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Dallas/Fort Worth International Airport, JFK and Los Angeles International Airport (LAX).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13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 -called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or other operational restrictions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During periods of reduced demand for air travel, such as during the COVID-19 pandemic, we may rely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be made available, whether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they will be granted on the same or similar terms as in past instances, or whether we ultimately could be at risk of losing valuable operating rights. If we are forced to surrender slots or other rights,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3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gates and other facilities are currently inadequate to accommodate all of the service that we would like to provide, or airports such as Dallas Love Field Airport where we have no access to gates at all.</w:t>
      </w:r>
    </w:p>
    <w:p>
      <w:pPr>
        <w:spacing w:after="0" w:line="13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(including as a result of social or environmental activism),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3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0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120"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external events, such as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expectations regarding any future capital deployment program, including share repurchase programs and any future dividend payments that may be declared by our Board of Directors, or any subsequent determination to cease repurchasing stock or paying dividends;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jc w:val="both"/>
        <w:ind w:left="1300" w:hanging="644"/>
        <w:spacing w:after="0" w:line="258"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CARES Act, the PSP Extension Law and the ARP;</w:t>
      </w:r>
    </w:p>
    <w:p>
      <w:pPr>
        <w:spacing w:after="0" w:line="13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jc w:val="both"/>
        <w:ind w:left="1300" w:hanging="644"/>
        <w:spacing w:after="0" w:line="256"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closing price of our common stock on the Nasdaq Global Select Market varied from $11.86 to $20.22 during 2022 and $11.72 to $18.80 during 2023 year-to-date through October 13, 2023. At times, fluctuations in our stock price have been rapid, imposing risks on investors due to the possibility of significant, short-term price volatility. While we believe that in recent years this wide range of trading prices has largely reflected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217"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If we decide to make repurchases of or pay dividends on our common stock, we cannot guarantee that we will continue to do so or that such a capital deployment program will enhance long-term stockholder value.</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connection with the financial assistance provided under PSP1, PSP2 and PSP3, we agreed not to repurchase shares of AAG common stock through September 30, 2022. Following the expiration of these restrictions, if we determine to make any share repurchases in the future, such repurchases may be made through a variety of methods, which may include open market purchases, privately negotiated transactions, block trades or accelerated share repurchase transactions. Our future repurchases of AAG common stock, if any, may be limited, suspended or discontinued at any time at our discretion and without prior notice.</w:t>
      </w:r>
    </w:p>
    <w:p>
      <w:pPr>
        <w:spacing w:after="0" w:line="13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connection with the financial assistance provided under PSP1, PSP2 and PSP3, we also agreed not to pay dividends on AAG common stock through September 30, 2022. Following the expiration of these restrictions, if we determine to make any dividends in the future, such dividends that may be declared and paid from time to time will be subject to market and economic conditions, applicable legal requirements and other relevant factors. The amount and timing of any future dividends, if any, may vary, and the payment of any dividend does not assure that we will pay dividends in the future.</w:t>
      </w:r>
    </w:p>
    <w:p>
      <w:pPr>
        <w:spacing w:after="0" w:line="13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future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Under the recently enacted IRA, we may become subject to an excise tax on the fair market value of AAG common stock repurchased after December 31, 2022, which may adversely affect our financial condition. Although our share repurchase programs are intended to enhance long-term stockholder value, there is no assurance that they will do so.</w:t>
      </w:r>
    </w:p>
    <w:p>
      <w:pPr>
        <w:spacing w:after="0" w:line="213" w:lineRule="exact"/>
        <w:rPr>
          <w:sz w:val="20"/>
          <w:szCs w:val="20"/>
          <w:color w:val="auto"/>
        </w:rPr>
      </w:pPr>
    </w:p>
    <w:p>
      <w:pPr>
        <w:ind w:left="260" w:right="20"/>
        <w:spacing w:after="0" w:line="301" w:lineRule="auto"/>
        <w:rPr>
          <w:sz w:val="20"/>
          <w:szCs w:val="20"/>
          <w:color w:val="auto"/>
        </w:rPr>
      </w:pPr>
      <w:r>
        <w:rPr>
          <w:rFonts w:ascii="Arial" w:cs="Arial" w:eastAsia="Arial" w:hAnsi="Arial"/>
          <w:sz w:val="18"/>
          <w:szCs w:val="18"/>
          <w:b w:val="1"/>
          <w:bCs w:val="1"/>
          <w:i w:val="1"/>
          <w:iCs w:val="1"/>
          <w:color w:val="auto"/>
        </w:rPr>
        <w:t>AAG’s Certificate of Incorporation, Bylaws and Tax Benefit Preservation Plan include provisions that limit voting and acquisition and disposition of our equity interests and specify an exclusive forum for certain stockholder disputes.</w:t>
      </w:r>
    </w:p>
    <w:p>
      <w:pPr>
        <w:spacing w:after="0" w:line="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xml:space="preserve"> in our 2022 Form 10-K and AAG’s Description of the Registrants’ Securities Registered Pursuant to Section 12 of the Securities Exchange Act of 1934, which is filed as Exhibit 4.1 to our 2022 Form 10-K. Further restrictions are set forth in our Tax Benefits Preservation Plan, which was filed as Exhibit 4.1 to AAG’s Current Report on Form 8-K filed on December 22, 2021.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spacing w:after="0" w:line="209" w:lineRule="exact"/>
        <w:rPr>
          <w:sz w:val="20"/>
          <w:szCs w:val="20"/>
          <w:color w:val="auto"/>
        </w:rPr>
      </w:pPr>
    </w:p>
    <w:p>
      <w:pPr>
        <w:ind w:left="260"/>
        <w:spacing w:after="0" w:line="301"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30"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right="20" w:hanging="644"/>
        <w:spacing w:after="0" w:line="275"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19" w:lineRule="exact"/>
        <w:rPr>
          <w:rFonts w:ascii="Arial" w:cs="Arial" w:eastAsia="Arial" w:hAnsi="Arial"/>
          <w:sz w:val="18"/>
          <w:szCs w:val="18"/>
          <w:color w:val="auto"/>
        </w:rPr>
      </w:pPr>
    </w:p>
    <w:p>
      <w:pPr>
        <w:ind w:left="1300" w:right="20" w:hanging="644"/>
        <w:spacing w:after="0" w:line="275"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19"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left="260"/>
        <w:spacing w:after="0" w:line="275"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CARES Act, the PSP Extension Law, the ARP, PSP1, PSP2 and PSP3, could depress the trading price of our common stock and the Convertible Notes.</w:t>
      </w:r>
    </w:p>
    <w:p>
      <w:pPr>
        <w:spacing w:after="0" w:line="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trading price of our common stock and the 6.50% convertible senior notes due 2025 (the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the Convertible Notes could decline substantially.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Securities Trading Plans of Directors and Executive Officers</w:t>
      </w:r>
    </w:p>
    <w:p>
      <w:pPr>
        <w:spacing w:after="0" w:line="9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During the three months ended September 30, 2023, none of our directors or executive officers adopted or terminated any contract, instruction or written plan for the purchase or sale of AAG securities that was intended to satisfy the affirmative defense conditions of Rule 10b5-1(c) or any “non-Rule 10b5-1 trading arrangement.”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200"/>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760" w:right="200" w:hanging="741"/>
        <w:spacing w:after="0" w:line="260"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Supplemental Agreement No. 31, dated as of July 5, 2023, to Purchase Agreement No. 03735 dated as of February 1, 2013, between American Airlines, Inc. and the Boeing Company.*</w:t>
      </w:r>
    </w:p>
    <w:p>
      <w:pPr>
        <w:spacing w:after="0" w:line="11" w:lineRule="exact"/>
        <w:rPr>
          <w:sz w:val="20"/>
          <w:szCs w:val="20"/>
          <w:color w:val="auto"/>
        </w:rPr>
      </w:pPr>
    </w:p>
    <w:p>
      <w:pPr>
        <w:ind w:left="760" w:right="200" w:hanging="741"/>
        <w:spacing w:after="0" w:line="260" w:lineRule="auto"/>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FF"/>
        </w:rPr>
        <w:t>Supplemental Agreement No. 20, dated as of August 31, 2023, to Purchase Agreement No. 3219 dated as of October 15, 2008, by and between American Airlines, Inc. and The Boeing Company.*</w:t>
      </w:r>
    </w:p>
    <w:p>
      <w:pPr>
        <w:spacing w:after="0" w:line="11" w:lineRule="exact"/>
        <w:rPr>
          <w:sz w:val="20"/>
          <w:szCs w:val="20"/>
          <w:color w:val="auto"/>
        </w:rPr>
      </w:pPr>
    </w:p>
    <w:p>
      <w:pPr>
        <w:ind w:left="760" w:right="200" w:hanging="741"/>
        <w:spacing w:after="0" w:line="260"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0000FF"/>
        </w:rPr>
        <w:t>Severance Agreement and Restrictive Covenants Agreement, dated as of September 20, 2023, among American Airlines Group, Inc., American Airlines, Inc. and Robert D. Isom.</w:t>
      </w:r>
    </w:p>
    <w:p>
      <w:pPr>
        <w:spacing w:after="0" w:line="11" w:lineRule="exact"/>
        <w:rPr>
          <w:sz w:val="20"/>
          <w:szCs w:val="20"/>
          <w:color w:val="auto"/>
        </w:rPr>
      </w:pPr>
    </w:p>
    <w:p>
      <w:pPr>
        <w:ind w:left="760" w:right="200" w:hanging="741"/>
        <w:spacing w:after="0" w:line="260" w:lineRule="auto"/>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0000FF"/>
        </w:rPr>
        <w:t>Severance Agreement and Restrictive Covenants Agreement, dated as of September 20, 2023, among American Airlines Group, Inc., American Airlines, Inc. and Stephen L. Johnson.</w:t>
      </w:r>
    </w:p>
    <w:p>
      <w:pPr>
        <w:spacing w:after="0" w:line="11" w:lineRule="exact"/>
        <w:rPr>
          <w:sz w:val="20"/>
          <w:szCs w:val="20"/>
          <w:color w:val="auto"/>
        </w:rPr>
      </w:pPr>
    </w:p>
    <w:p>
      <w:pPr>
        <w:ind w:left="760" w:right="200" w:hanging="741"/>
        <w:spacing w:after="0" w:line="260" w:lineRule="auto"/>
        <w:tabs>
          <w:tab w:leader="none" w:pos="7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u w:val="single" w:color="auto"/>
          <w:color w:val="0000FF"/>
        </w:rPr>
        <w:t>Severance Agreement and Restrictive Covenants Agreement, dated as of September 20, 2023, among American Airlines Group, Inc., American Airlines, Inc. and David G. Seymour.</w:t>
      </w:r>
    </w:p>
    <w:p>
      <w:pPr>
        <w:spacing w:after="0" w:line="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AAG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AAG Chief Financial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u w:val="single" w:color="auto"/>
          <w:color w:val="0000FF"/>
        </w:rPr>
        <w:t>Certification of American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0000FF"/>
        </w:rPr>
        <w:t>Certification of American Chief Financial Officer pursuant to Rule 13a-14(a).</w:t>
      </w:r>
    </w:p>
    <w:p>
      <w:pPr>
        <w:spacing w:after="0" w:line="50" w:lineRule="exact"/>
        <w:rPr>
          <w:sz w:val="20"/>
          <w:szCs w:val="20"/>
          <w:color w:val="auto"/>
        </w:rPr>
      </w:pPr>
    </w:p>
    <w:p>
      <w:pPr>
        <w:ind w:left="760" w:right="200" w:hanging="741"/>
        <w:spacing w:after="0" w:line="260"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AAG Certification pursuant to Rule 13a-14(b) and section 906 of the Sarbanes-Oxley Act of 2002 (subsections (a) and (b) of section 1350, chapter 63 of title 18, United States Code).</w:t>
      </w:r>
    </w:p>
    <w:p>
      <w:pPr>
        <w:spacing w:after="0" w:line="11" w:lineRule="exact"/>
        <w:rPr>
          <w:sz w:val="20"/>
          <w:szCs w:val="20"/>
          <w:color w:val="auto"/>
        </w:rPr>
      </w:pPr>
    </w:p>
    <w:p>
      <w:pPr>
        <w:ind w:left="760" w:right="200" w:hanging="741"/>
        <w:spacing w:after="0" w:line="260"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American Certification pursuant to Rule 13a-14(b) and section 906 of the Sarbanes-Oxley Act of 2002 (subsections (a) and (b) of section 1350, chapter 63 of title 18, United States Code).</w:t>
      </w:r>
    </w:p>
    <w:p>
      <w:pPr>
        <w:spacing w:after="0" w:line="11" w:lineRule="exact"/>
        <w:rPr>
          <w:sz w:val="20"/>
          <w:szCs w:val="20"/>
          <w:color w:val="auto"/>
        </w:rPr>
      </w:pPr>
    </w:p>
    <w:p>
      <w:pPr>
        <w:ind w:left="760" w:right="200" w:hanging="741"/>
        <w:spacing w:after="0" w:line="260" w:lineRule="auto"/>
        <w:tabs>
          <w:tab w:leader="none" w:pos="740" w:val="left"/>
        </w:tabs>
        <w:rPr>
          <w:sz w:val="20"/>
          <w:szCs w:val="20"/>
          <w:color w:val="auto"/>
        </w:rPr>
      </w:pPr>
      <w:r>
        <w:rPr>
          <w:rFonts w:ascii="Arial" w:cs="Arial" w:eastAsia="Arial" w:hAnsi="Arial"/>
          <w:sz w:val="18"/>
          <w:szCs w:val="18"/>
          <w:color w:val="auto"/>
        </w:rPr>
        <w:t>101.1</w:t>
        <w:tab/>
        <w:t>Interactive data files pursuant to Rule 405 of Regulation S-T, formatted in Inline XBRL (eXtensible Business Reporting Language).</w:t>
      </w:r>
    </w:p>
    <w:p>
      <w:pPr>
        <w:spacing w:after="0" w:line="11"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104.1</w:t>
        <w:tab/>
        <w:t>Cover page interactive data file (formatted in Inline XBRL and contained in Exhibit 101.1).</w:t>
      </w:r>
    </w:p>
    <w:p>
      <w:pPr>
        <w:spacing w:after="0" w:line="293" w:lineRule="exact"/>
        <w:rPr>
          <w:sz w:val="20"/>
          <w:szCs w:val="20"/>
          <w:color w:val="auto"/>
        </w:rPr>
      </w:pPr>
    </w:p>
    <w:p>
      <w:pPr>
        <w:ind w:left="5520" w:right="3480" w:hanging="5512"/>
        <w:spacing w:after="0" w:line="854" w:lineRule="auto"/>
        <w:tabs>
          <w:tab w:leader="none" w:pos="1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601(b)(10) of Regulation S-K.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7"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30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October 19,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13970</wp:posOffset>
            </wp:positionV>
            <wp:extent cx="3488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47" w:lineRule="exact"/>
        <w:rPr>
          <w:sz w:val="20"/>
          <w:szCs w:val="20"/>
          <w:color w:val="auto"/>
        </w:rPr>
      </w:pPr>
    </w:p>
    <w:p>
      <w:pPr>
        <w:ind w:firstLine="243"/>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30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October 19,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13970</wp:posOffset>
            </wp:positionV>
            <wp:extent cx="3488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Devon E. May</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18" w:right="339" w:bottom="1440" w:gutter="0" w:footer="0" w:header="0"/>
        </w:sectPr>
      </w:pPr>
    </w:p>
    <w:bookmarkStart w:id="95" w:name="page96"/>
    <w:bookmarkEnd w:id="95"/>
    <w:p>
      <w:pPr>
        <w:ind w:left="10040"/>
        <w:spacing w:after="0"/>
        <w:rPr>
          <w:sz w:val="20"/>
          <w:szCs w:val="20"/>
          <w:color w:val="auto"/>
        </w:rPr>
      </w:pPr>
      <w:r>
        <w:rPr>
          <w:rFonts w:ascii="Arial" w:cs="Arial" w:eastAsia="Arial" w:hAnsi="Arial"/>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40575" cy="283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40" w:lineRule="exact"/>
        <w:rPr>
          <w:sz w:val="20"/>
          <w:szCs w:val="20"/>
          <w:color w:val="auto"/>
        </w:rPr>
      </w:pPr>
    </w:p>
    <w:p>
      <w:pPr>
        <w:ind w:left="40" w:right="80"/>
        <w:spacing w:after="0" w:line="244"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03735</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This SUPPLEMENTAL AGREEMENT No. 31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31</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July _</w:t>
      </w:r>
      <w:r>
        <w:rPr>
          <w:rFonts w:ascii="Arial" w:cs="Arial" w:eastAsia="Arial" w:hAnsi="Arial"/>
          <w:sz w:val="22"/>
          <w:szCs w:val="22"/>
          <w:u w:val="single" w:color="auto"/>
          <w:color w:val="auto"/>
        </w:rPr>
        <w:t>5</w:t>
      </w:r>
      <w:r>
        <w:rPr>
          <w:rFonts w:ascii="Arial" w:cs="Arial" w:eastAsia="Arial" w:hAnsi="Arial"/>
          <w:sz w:val="22"/>
          <w:szCs w:val="22"/>
          <w:color w:val="auto"/>
        </w:rPr>
        <w:t>__, 2023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223" w:lineRule="exact"/>
        <w:rPr>
          <w:sz w:val="20"/>
          <w:szCs w:val="20"/>
          <w:color w:val="auto"/>
        </w:rPr>
      </w:pPr>
    </w:p>
    <w:p>
      <w:pPr>
        <w:jc w:val="both"/>
        <w:ind w:firstLine="264"/>
        <w:spacing w:after="0" w:line="250" w:lineRule="auto"/>
        <w:rPr>
          <w:sz w:val="20"/>
          <w:szCs w:val="20"/>
          <w:color w:val="auto"/>
        </w:rPr>
      </w:pPr>
      <w:r>
        <w:rPr>
          <w:rFonts w:ascii="Arial" w:cs="Arial" w:eastAsia="Arial" w:hAnsi="Arial"/>
          <w:sz w:val="22"/>
          <w:szCs w:val="22"/>
          <w:color w:val="auto"/>
        </w:rPr>
        <w:t>WHEREAS, in [****] to the [****] Aircraft that Customer had previously [****] as set forth in Table 1R12, 1-2, 1-3R6, 1-4R7, and 1-5R1 to the Purchase Agreement, Customer [****], [****] in Attachment A(R12) to Letter Agreement No. AAL-PA-03735-LA-1106651R12 entitled “[****]</w:t>
      </w:r>
      <w:r>
        <w:rPr>
          <w:rFonts w:ascii="Arial" w:cs="Arial" w:eastAsia="Arial" w:hAnsi="Arial"/>
          <w:sz w:val="22"/>
          <w:szCs w:val="22"/>
          <w:u w:val="single" w:color="auto"/>
          <w:color w:val="auto"/>
        </w:rPr>
        <w:t>” (</w:t>
      </w:r>
      <w:r>
        <w:rPr>
          <w:rFonts w:ascii="Arial" w:cs="Arial" w:eastAsia="Arial" w:hAnsi="Arial"/>
          <w:sz w:val="22"/>
          <w:szCs w:val="22"/>
          <w:color w:val="auto"/>
        </w:rPr>
        <w:t xml:space="preserve">[****] </w:t>
      </w:r>
      <w:r>
        <w:rPr>
          <w:rFonts w:ascii="Arial" w:cs="Arial" w:eastAsia="Arial" w:hAnsi="Arial"/>
          <w:sz w:val="22"/>
          <w:szCs w:val="22"/>
          <w:b w:val="1"/>
          <w:bCs w:val="1"/>
          <w:color w:val="auto"/>
        </w:rPr>
        <w:t>Letter Agreement</w:t>
      </w:r>
      <w:r>
        <w:rPr>
          <w:rFonts w:ascii="Arial" w:cs="Arial" w:eastAsia="Arial" w:hAnsi="Arial"/>
          <w:sz w:val="22"/>
          <w:szCs w:val="22"/>
          <w:color w:val="auto"/>
        </w:rPr>
        <w:t>) with [****], pursuant to the terms and conditions of the [****] Letter Agreement;</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349"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PA 03735  SA-31, 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94" w:right="339" w:bottom="1440" w:gutter="0" w:footer="0" w:header="0"/>
        </w:sectPr>
      </w:pPr>
    </w:p>
    <w:bookmarkStart w:id="96" w:name="page97"/>
    <w:bookmarkEnd w:id="96"/>
    <w:p>
      <w:pPr>
        <w:jc w:val="both"/>
        <w:ind w:left="73" w:firstLine="648"/>
        <w:spacing w:after="0" w:line="254"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SA-30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SA-31 in the footer to reflect changes made to the Purchase Agreement by this SA-31. Such new Table of Contents is hereby incorporated into the Purchase Agreement in replacement of its predecessor.</w:t>
      </w:r>
    </w:p>
    <w:p>
      <w:pPr>
        <w:spacing w:after="0" w:line="212" w:lineRule="exact"/>
        <w:rPr>
          <w:sz w:val="20"/>
          <w:szCs w:val="20"/>
          <w:color w:val="auto"/>
        </w:rPr>
      </w:pPr>
    </w:p>
    <w:p>
      <w:pPr>
        <w:ind w:left="713" w:hanging="632"/>
        <w:spacing w:after="0"/>
        <w:tabs>
          <w:tab w:leader="none" w:pos="713"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247" w:lineRule="exact"/>
        <w:rPr>
          <w:sz w:val="20"/>
          <w:szCs w:val="20"/>
          <w:color w:val="auto"/>
        </w:rPr>
      </w:pPr>
    </w:p>
    <w:p>
      <w:pPr>
        <w:jc w:val="both"/>
        <w:ind w:left="73" w:firstLine="648"/>
        <w:spacing w:after="0" w:line="254" w:lineRule="auto"/>
        <w:rPr>
          <w:sz w:val="20"/>
          <w:szCs w:val="20"/>
          <w:color w:val="auto"/>
        </w:rPr>
      </w:pPr>
      <w:r>
        <w:rPr>
          <w:rFonts w:ascii="Arial" w:cs="Arial" w:eastAsia="Arial" w:hAnsi="Arial"/>
          <w:sz w:val="22"/>
          <w:szCs w:val="22"/>
          <w:u w:val="single" w:color="auto"/>
          <w:color w:val="auto"/>
        </w:rPr>
        <w:t>2.1 Table 1-5R1</w:t>
      </w:r>
      <w:r>
        <w:rPr>
          <w:rFonts w:ascii="Arial" w:cs="Arial" w:eastAsia="Arial" w:hAnsi="Arial"/>
          <w:sz w:val="22"/>
          <w:szCs w:val="22"/>
          <w:color w:val="auto"/>
        </w:rPr>
        <w:t>. Table 1-5R1 entitled “</w:t>
      </w:r>
      <w:r>
        <w:rPr>
          <w:rFonts w:ascii="Arial" w:cs="Arial" w:eastAsia="Arial" w:hAnsi="Arial"/>
          <w:sz w:val="22"/>
          <w:szCs w:val="22"/>
          <w:u w:val="single" w:color="auto"/>
          <w:color w:val="auto"/>
        </w:rPr>
        <w:t>[****] 737-8 [****]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is hereby deleted in its entirety and replaced with Table 1-5R2 entitled “ </w:t>
      </w:r>
      <w:r>
        <w:rPr>
          <w:rFonts w:ascii="Arial" w:cs="Arial" w:eastAsia="Arial" w:hAnsi="Arial"/>
          <w:sz w:val="22"/>
          <w:szCs w:val="22"/>
          <w:u w:val="single" w:color="auto"/>
          <w:color w:val="auto"/>
        </w:rPr>
        <w:t>737-8 [****] Aircraft Delivery,</w:t>
      </w:r>
      <w:r>
        <w:rPr>
          <w:rFonts w:ascii="Arial" w:cs="Arial" w:eastAsia="Arial" w:hAnsi="Arial"/>
          <w:sz w:val="22"/>
          <w:szCs w:val="22"/>
          <w:color w:val="auto"/>
        </w:rPr>
        <w:t xml:space="preserve"> </w:t>
      </w:r>
      <w:r>
        <w:rPr>
          <w:rFonts w:ascii="Arial" w:cs="Arial" w:eastAsia="Arial" w:hAnsi="Arial"/>
          <w:sz w:val="22"/>
          <w:szCs w:val="22"/>
          <w:u w:val="single" w:color="auto"/>
          <w:color w:val="auto"/>
        </w:rPr>
        <w:t>Description, Price and Advance Payments</w:t>
      </w:r>
      <w:r>
        <w:rPr>
          <w:rFonts w:ascii="Arial" w:cs="Arial" w:eastAsia="Arial" w:hAnsi="Arial"/>
          <w:sz w:val="22"/>
          <w:szCs w:val="22"/>
          <w:color w:val="auto"/>
        </w:rPr>
        <w:t>” (attached hereto) referencing SA-31 in the footer is hereby incorporated into the Purchase Agreement in replacement of Table 1-5R1. For avoidance of doubt, this Table 1-5R2 [****].</w:t>
      </w:r>
    </w:p>
    <w:p>
      <w:pPr>
        <w:spacing w:after="0" w:line="200" w:lineRule="exact"/>
        <w:rPr>
          <w:sz w:val="20"/>
          <w:szCs w:val="20"/>
          <w:color w:val="auto"/>
        </w:rPr>
      </w:pPr>
    </w:p>
    <w:p>
      <w:pPr>
        <w:spacing w:after="0" w:line="255" w:lineRule="exact"/>
        <w:rPr>
          <w:sz w:val="20"/>
          <w:szCs w:val="20"/>
          <w:color w:val="auto"/>
        </w:rPr>
      </w:pPr>
    </w:p>
    <w:p>
      <w:pPr>
        <w:ind w:left="493" w:hanging="412"/>
        <w:spacing w:after="0"/>
        <w:tabs>
          <w:tab w:leader="none" w:pos="493"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247" w:lineRule="exact"/>
        <w:rPr>
          <w:sz w:val="20"/>
          <w:szCs w:val="20"/>
          <w:color w:val="auto"/>
        </w:rPr>
      </w:pPr>
    </w:p>
    <w:p>
      <w:pPr>
        <w:jc w:val="both"/>
        <w:ind w:left="73" w:firstLine="648"/>
        <w:spacing w:after="0" w:line="254" w:lineRule="auto"/>
        <w:rPr>
          <w:sz w:val="20"/>
          <w:szCs w:val="20"/>
          <w:color w:val="auto"/>
        </w:rPr>
      </w:pPr>
      <w:r>
        <w:rPr>
          <w:rFonts w:ascii="Arial" w:cs="Arial" w:eastAsia="Arial" w:hAnsi="Arial"/>
          <w:sz w:val="22"/>
          <w:szCs w:val="22"/>
          <w:color w:val="auto"/>
        </w:rPr>
        <w:t xml:space="preserve">3.1 Letter Agreement No. AAL-PA-03735-LA-1106651R12 (including Attachment A(R12)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is hereby deleted in its entirety and replaced with Letter Agreement No. AAL-PA-03735-LA-1106651R13 (including Attachment A(R13) (attached hereto)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 referencing SA-31 in the footer. The [****] is hereby incorporated into the Purchase Agreement.</w:t>
      </w:r>
    </w:p>
    <w:p>
      <w:pPr>
        <w:spacing w:after="0" w:line="212" w:lineRule="exact"/>
        <w:rPr>
          <w:sz w:val="20"/>
          <w:szCs w:val="20"/>
          <w:color w:val="auto"/>
        </w:rPr>
      </w:pPr>
    </w:p>
    <w:p>
      <w:pPr>
        <w:jc w:val="both"/>
        <w:ind w:left="73" w:firstLine="648"/>
        <w:spacing w:after="0" w:line="264" w:lineRule="auto"/>
        <w:rPr>
          <w:sz w:val="20"/>
          <w:szCs w:val="20"/>
          <w:color w:val="auto"/>
        </w:rPr>
      </w:pPr>
      <w:r>
        <w:rPr>
          <w:rFonts w:ascii="Arial" w:cs="Arial" w:eastAsia="Arial" w:hAnsi="Arial"/>
          <w:sz w:val="22"/>
          <w:szCs w:val="22"/>
          <w:color w:val="auto"/>
        </w:rPr>
        <w:t>3.2 In addition to the [****], the parties agree [****] to Letter Agreement No. AAL-PA-03735-LA-1106652R2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will be [****], or such [****], to [****].</w:t>
      </w:r>
    </w:p>
    <w:p>
      <w:pPr>
        <w:spacing w:after="0" w:line="172" w:lineRule="exact"/>
        <w:rPr>
          <w:sz w:val="20"/>
          <w:szCs w:val="20"/>
          <w:color w:val="auto"/>
        </w:rPr>
      </w:pPr>
    </w:p>
    <w:p>
      <w:pPr>
        <w:ind w:left="713" w:hanging="713"/>
        <w:spacing w:after="0"/>
        <w:tabs>
          <w:tab w:leader="none" w:pos="713"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p>
    <w:p>
      <w:pPr>
        <w:spacing w:after="0" w:line="125" w:lineRule="exact"/>
        <w:rPr>
          <w:sz w:val="20"/>
          <w:szCs w:val="20"/>
          <w:color w:val="auto"/>
        </w:rPr>
      </w:pPr>
    </w:p>
    <w:p>
      <w:pPr>
        <w:ind w:left="73"/>
        <w:spacing w:after="0"/>
        <w:rPr>
          <w:sz w:val="20"/>
          <w:szCs w:val="20"/>
          <w:color w:val="auto"/>
        </w:rPr>
      </w:pPr>
      <w:r>
        <w:rPr>
          <w:rFonts w:ascii="Arial" w:cs="Arial" w:eastAsia="Arial" w:hAnsi="Arial"/>
          <w:sz w:val="21"/>
          <w:szCs w:val="21"/>
          <w:color w:val="auto"/>
        </w:rPr>
        <w:t>[****] for the [****], [****] ([****]) ([****] specified in Table 1-5R2 to the Purchase Agreement for the [****]) are [****] per</w:t>
      </w:r>
    </w:p>
    <w:p>
      <w:pPr>
        <w:spacing w:after="0" w:line="31" w:lineRule="exact"/>
        <w:rPr>
          <w:sz w:val="20"/>
          <w:szCs w:val="20"/>
          <w:color w:val="auto"/>
        </w:rPr>
      </w:pPr>
    </w:p>
    <w:p>
      <w:pPr>
        <w:ind w:left="73"/>
        <w:spacing w:after="0"/>
        <w:rPr>
          <w:sz w:val="20"/>
          <w:szCs w:val="20"/>
          <w:color w:val="auto"/>
        </w:rPr>
      </w:pPr>
      <w:r>
        <w:rPr>
          <w:rFonts w:ascii="Arial" w:cs="Arial" w:eastAsia="Arial" w:hAnsi="Arial"/>
          <w:sz w:val="22"/>
          <w:szCs w:val="22"/>
          <w:color w:val="auto"/>
        </w:rPr>
        <w:t>[****] of the [****] and as specified in the [****] upon execution of this SA-31.</w:t>
      </w:r>
    </w:p>
    <w:p>
      <w:pPr>
        <w:spacing w:after="0" w:line="200" w:lineRule="exact"/>
        <w:rPr>
          <w:sz w:val="20"/>
          <w:szCs w:val="20"/>
          <w:color w:val="auto"/>
        </w:rPr>
      </w:pPr>
    </w:p>
    <w:p>
      <w:pPr>
        <w:spacing w:after="0" w:line="247" w:lineRule="exact"/>
        <w:rPr>
          <w:sz w:val="20"/>
          <w:szCs w:val="20"/>
          <w:color w:val="auto"/>
        </w:rPr>
      </w:pPr>
    </w:p>
    <w:p>
      <w:pPr>
        <w:ind w:left="713" w:hanging="713"/>
        <w:spacing w:after="0"/>
        <w:tabs>
          <w:tab w:leader="none" w:pos="713"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12" w:lineRule="exact"/>
        <w:rPr>
          <w:sz w:val="20"/>
          <w:szCs w:val="20"/>
          <w:color w:val="auto"/>
        </w:rPr>
      </w:pPr>
    </w:p>
    <w:p>
      <w:pPr>
        <w:jc w:val="both"/>
        <w:ind w:left="73" w:firstLine="648"/>
        <w:spacing w:after="0" w:line="252" w:lineRule="auto"/>
        <w:rPr>
          <w:sz w:val="20"/>
          <w:szCs w:val="20"/>
          <w:color w:val="auto"/>
        </w:rPr>
      </w:pPr>
      <w:r>
        <w:rPr>
          <w:rFonts w:ascii="Arial" w:cs="Arial" w:eastAsia="Arial" w:hAnsi="Arial"/>
          <w:sz w:val="22"/>
          <w:szCs w:val="22"/>
          <w:color w:val="auto"/>
        </w:rPr>
        <w:t>6.1 The Purchase Agreement is amended and supplemented as set forth above by the revised Table Of Contents, Table 1-5R2, and [****]. All other terms and conditions of the Purchase Agreement remain unchanged and are in full force and effect.</w:t>
      </w:r>
    </w:p>
    <w:p>
      <w:pPr>
        <w:spacing w:after="0" w:line="2" w:lineRule="exact"/>
        <w:rPr>
          <w:sz w:val="20"/>
          <w:szCs w:val="20"/>
          <w:color w:val="auto"/>
        </w:rPr>
      </w:pPr>
    </w:p>
    <w:p>
      <w:pPr>
        <w:jc w:val="both"/>
        <w:ind w:left="73" w:firstLine="648"/>
        <w:spacing w:after="0" w:line="249" w:lineRule="auto"/>
        <w:rPr>
          <w:sz w:val="20"/>
          <w:szCs w:val="20"/>
          <w:color w:val="auto"/>
        </w:rPr>
      </w:pPr>
      <w:r>
        <w:rPr>
          <w:rFonts w:ascii="Arial" w:cs="Arial" w:eastAsia="Arial" w:hAnsi="Arial"/>
          <w:sz w:val="22"/>
          <w:szCs w:val="22"/>
          <w:color w:val="auto"/>
        </w:rPr>
        <w:t>6.2 The following references in the Purchase Agreement and any supplemental agreements and associated letter agreements are deemed to refer to “Table 1R12, Table 1-2, Table 1-3R6, Table 1-4R7, and Table 1-5R2”:</w:t>
      </w:r>
    </w:p>
    <w:p>
      <w:pPr>
        <w:spacing w:after="0" w:line="188" w:lineRule="exact"/>
        <w:rPr>
          <w:sz w:val="20"/>
          <w:szCs w:val="20"/>
          <w:color w:val="auto"/>
        </w:rPr>
      </w:pPr>
    </w:p>
    <w:p>
      <w:pPr>
        <w:ind w:left="1373" w:hanging="320"/>
        <w:spacing w:after="0"/>
        <w:tabs>
          <w:tab w:leader="none" w:pos="1373" w:val="left"/>
        </w:tabs>
        <w:numPr>
          <w:ilvl w:val="0"/>
          <w:numId w:val="50"/>
        </w:numPr>
        <w:rPr>
          <w:rFonts w:ascii="Arial" w:cs="Arial" w:eastAsia="Arial" w:hAnsi="Arial"/>
          <w:sz w:val="22"/>
          <w:szCs w:val="22"/>
          <w:color w:val="auto"/>
        </w:rPr>
      </w:pPr>
      <w:r>
        <w:rPr>
          <w:rFonts w:ascii="Arial" w:cs="Arial" w:eastAsia="Arial" w:hAnsi="Arial"/>
          <w:sz w:val="22"/>
          <w:szCs w:val="22"/>
          <w:color w:val="auto"/>
        </w:rPr>
        <w:t>“Table 1” or “Table 1R2” or “Table 1R3”, or “Table1R4 and Table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SA-31, Page 2</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346" w:right="339" w:bottom="1440" w:gutter="0" w:footer="0" w:header="0"/>
        </w:sectPr>
      </w:pPr>
    </w:p>
    <w:bookmarkStart w:id="97" w:name="page98"/>
    <w:bookmarkEnd w:id="97"/>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1R5 and Table 1-2”,</w:t>
      </w:r>
    </w:p>
    <w:p>
      <w:pPr>
        <w:spacing w:after="0" w:line="19"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1R6, Table 1-2, and Table 1-3”,</w:t>
      </w:r>
    </w:p>
    <w:p>
      <w:pPr>
        <w:spacing w:after="0" w:line="6"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1R7, Table 1-2, and Table 1-3R1”,</w:t>
      </w:r>
    </w:p>
    <w:p>
      <w:pPr>
        <w:spacing w:after="0" w:line="14"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1R8, Table 1-2, and Table 1-3R2”,</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1R9, Table 1-2, and Table 1-3R3”,</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1R10, Table 1-2, and Table 1-3R4”,</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1R11, Table 1-2, and Table 1-3R5”,</w:t>
      </w:r>
    </w:p>
    <w:p>
      <w:pPr>
        <w:spacing w:after="0" w:line="6"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and Table 1-3R6”,</w:t>
      </w:r>
    </w:p>
    <w:p>
      <w:pPr>
        <w:spacing w:after="0" w:line="14"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Table 1-3R6, and Table 1-4”,</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Table 1-3R6, and Table 1-4R1”</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Table 1-3R6, and Table 1-4R2”</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Table 1-3R6, and Table 1-4R3”.</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Table 1-3R6, and Table 1-4R4”</w:t>
      </w:r>
    </w:p>
    <w:p>
      <w:pPr>
        <w:spacing w:after="0" w:line="6"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Table 1-3R6, and Table 1-4R5”</w:t>
      </w:r>
    </w:p>
    <w:p>
      <w:pPr>
        <w:spacing w:after="0" w:line="14"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Table 1-3R6, and Table 1-4R6”</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Table 1-3R6, Table 1-4R7, and Table 1-5”</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“Table 1R12, Table 1-2, Table 1-3R6, Table 1-4R7, and Table 1-5R1”</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References in the Purchase Agreement and any supplemental agreements and associated letter agreements to “Table 1R4” or “Table 1R5” (where no corresponding reference to Table 1-2 is made) are deemed to refer to “Table 1R12 and Table 1-3R6”, (including without limitation, and for the avoidance of doubt, the references to Table 1R4 in Section 3 of Supplemental Agreement No. 9 dated April 6, 2018). However, references in the Purchase Agreement to Table 1R5 in Letter Agreement AAL-PA-LA-1106650R4 entitled “[****]” is deemed to only refer to Table 1R12 and the references to Table 1R5 in the Slide Letter Agreement remain references to Table 1R5.</w:t>
      </w:r>
    </w:p>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References in the Purchase Agreement and any supplemental agreements and associated letter agreements to “Table 1R6”, “Table 1R7”, “Table 1R8”, “Table 1R9”, “Table 1R10” or “Table 1R11” (where no corresponding reference to either Table 1-2 or Table 1-3 is made) are deemed to refer to only “Table 1R12”.</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Additionally, for the avoidance of doubt, references in the Purchase Agreement and any supplemental agreements and associated letter agreements to “Table 1-2” (where no corresponding reference to Table 1R4 or Table 1R5 is made) remain references to “Table 1-2”.</w:t>
      </w:r>
    </w:p>
    <w:p>
      <w:pPr>
        <w:spacing w:after="0" w:line="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6.3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SA-31, Page 3</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346" w:right="339" w:bottom="1440" w:gutter="0" w:footer="0" w:header="0"/>
        </w:sectPr>
      </w:pPr>
    </w:p>
    <w:bookmarkStart w:id="98" w:name="page99"/>
    <w:bookmarkEnd w:id="98"/>
    <w:tbl>
      <w:tblPr>
        <w:tblLayout w:type="fixed"/>
        <w:tblInd w:w="10" w:type="dxa"/>
        <w:tblCellMar>
          <w:top w:w="0" w:type="dxa"/>
          <w:left w:w="0" w:type="dxa"/>
          <w:bottom w:w="0" w:type="dxa"/>
          <w:right w:w="0" w:type="dxa"/>
        </w:tblCellMar>
      </w:tblPr>
      <w:tr>
        <w:trPr>
          <w:trHeight w:val="311"/>
        </w:trPr>
        <w:tc>
          <w:tcPr>
            <w:tcW w:w="220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49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268"/>
        </w:trPr>
        <w:tc>
          <w:tcPr>
            <w:tcW w:w="2200" w:type="dxa"/>
            <w:vAlign w:val="bottom"/>
            <w:tcBorders>
              <w:left w:val="single" w:sz="8" w:color="auto"/>
            </w:tcBorders>
            <w:gridSpan w:val="3"/>
          </w:tcPr>
          <w:p>
            <w:pPr>
              <w:ind w:left="40"/>
              <w:spacing w:after="0"/>
              <w:rPr>
                <w:sz w:val="20"/>
                <w:szCs w:val="20"/>
                <w:color w:val="auto"/>
              </w:rPr>
            </w:pPr>
            <w:r>
              <w:rPr>
                <w:rFonts w:ascii="Arial" w:cs="Arial" w:eastAsia="Arial" w:hAnsi="Arial"/>
                <w:sz w:val="22"/>
                <w:szCs w:val="22"/>
                <w:color w:val="auto"/>
              </w:rPr>
              <w:t>Letter   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286"/>
        </w:trPr>
        <w:tc>
          <w:tcPr>
            <w:tcW w:w="40" w:type="dxa"/>
            <w:vAlign w:val="bottom"/>
            <w:tcBorders>
              <w:left w:val="single" w:sz="8" w:color="auto"/>
              <w:bottom w:val="single" w:sz="8" w:color="auto"/>
            </w:tcBorders>
          </w:tcPr>
          <w:p>
            <w:pPr>
              <w:spacing w:after="0"/>
              <w:rPr>
                <w:sz w:val="24"/>
                <w:szCs w:val="24"/>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1106651R12</w:t>
            </w:r>
          </w:p>
        </w:tc>
        <w:tc>
          <w:tcPr>
            <w:tcW w:w="27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1106651R13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SA-31, Page 4</w:t>
      </w:r>
    </w:p>
    <w:p>
      <w:pPr>
        <w:spacing w:after="0" w:line="1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0139"/>
          </w:cols>
          <w:pgMar w:left="320" w:top="1361" w:right="1440" w:bottom="1440" w:gutter="0" w:footer="0" w:header="0"/>
        </w:sectPr>
      </w:pPr>
    </w:p>
    <w:bookmarkStart w:id="99" w:name="page100"/>
    <w:bookmarkEnd w:id="99"/>
    <w:p>
      <w:pPr>
        <w:spacing w:after="0" w:line="257"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5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67945</wp:posOffset>
            </wp:positionV>
            <wp:extent cx="32575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67945</wp:posOffset>
            </wp:positionV>
            <wp:extent cx="3531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67945</wp:posOffset>
            </wp:positionV>
            <wp:extent cx="3531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Sr. Vice President,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74930</wp:posOffset>
            </wp:positionV>
            <wp:extent cx="3531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204" w:lineRule="auto"/>
        <w:rPr>
          <w:sz w:val="20"/>
          <w:szCs w:val="20"/>
          <w:color w:val="auto"/>
        </w:rPr>
      </w:pPr>
      <w:r>
        <w:rPr>
          <w:rFonts w:ascii="Arial" w:cs="Arial" w:eastAsia="Arial" w:hAnsi="Arial"/>
          <w:sz w:val="22"/>
          <w:szCs w:val="22"/>
          <w:color w:val="auto"/>
        </w:rPr>
        <w:t>SA-31</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00" w:name="page101"/>
    <w:bookmarkEnd w:id="100"/>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40" w:type="dxa"/>
            <w:vAlign w:val="bottom"/>
            <w:gridSpan w:val="2"/>
          </w:tcPr>
          <w:p>
            <w:pPr>
              <w:ind w:left="1580"/>
              <w:spacing w:after="0"/>
              <w:rPr>
                <w:sz w:val="20"/>
                <w:szCs w:val="20"/>
                <w:color w:val="auto"/>
              </w:rPr>
            </w:pPr>
            <w:r>
              <w:rPr>
                <w:rFonts w:ascii="Arial" w:cs="Arial" w:eastAsia="Arial" w:hAnsi="Arial"/>
                <w:sz w:val="22"/>
                <w:szCs w:val="22"/>
                <w:b w:val="1"/>
                <w:bCs w:val="1"/>
                <w:color w:val="auto"/>
              </w:rPr>
              <w:t>TABLE OF CONTENTS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96"/>
              </w:rPr>
              <w:t>ARTICLES</w:t>
            </w:r>
          </w:p>
        </w:tc>
        <w:tc>
          <w:tcPr>
            <w:tcW w:w="90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SA</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9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c>
          <w:tcPr>
            <w:tcW w:w="0" w:type="dxa"/>
            <w:vAlign w:val="bottom"/>
          </w:tcPr>
          <w:p>
            <w:pPr>
              <w:spacing w:after="0"/>
              <w:rPr>
                <w:sz w:val="1"/>
                <w:szCs w:val="1"/>
                <w:color w:val="auto"/>
              </w:rPr>
            </w:pPr>
          </w:p>
        </w:tc>
      </w:tr>
      <w:tr>
        <w:trPr>
          <w:trHeight w:val="355"/>
        </w:trPr>
        <w:tc>
          <w:tcPr>
            <w:tcW w:w="1980" w:type="dxa"/>
            <w:vAlign w:val="bottom"/>
            <w:gridSpan w:val="4"/>
          </w:tcPr>
          <w:p>
            <w:pPr>
              <w:ind w:left="280"/>
              <w:spacing w:after="0"/>
              <w:rPr>
                <w:sz w:val="20"/>
                <w:szCs w:val="20"/>
                <w:color w:val="auto"/>
              </w:rPr>
            </w:pPr>
            <w:r>
              <w:rPr>
                <w:rFonts w:ascii="Arial" w:cs="Arial" w:eastAsia="Arial" w:hAnsi="Arial"/>
                <w:sz w:val="22"/>
                <w:szCs w:val="22"/>
                <w:color w:val="auto"/>
              </w:rPr>
              <w:t>Article 1.</w:t>
            </w:r>
          </w:p>
        </w:tc>
        <w:tc>
          <w:tcPr>
            <w:tcW w:w="7960" w:type="dxa"/>
            <w:vAlign w:val="bottom"/>
            <w:gridSpan w:val="4"/>
            <w:vMerge w:val="restart"/>
          </w:tcPr>
          <w:p>
            <w:pPr>
              <w:ind w:left="420"/>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gridSpan w:val="4"/>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80" w:type="dxa"/>
            <w:vAlign w:val="bottom"/>
            <w:gridSpan w:val="4"/>
          </w:tcPr>
          <w:p>
            <w:pPr>
              <w:ind w:left="280"/>
              <w:spacing w:after="0"/>
              <w:rPr>
                <w:sz w:val="20"/>
                <w:szCs w:val="20"/>
                <w:color w:val="auto"/>
              </w:rPr>
            </w:pPr>
            <w:r>
              <w:rPr>
                <w:rFonts w:ascii="Arial" w:cs="Arial" w:eastAsia="Arial" w:hAnsi="Arial"/>
                <w:sz w:val="22"/>
                <w:szCs w:val="22"/>
                <w:color w:val="auto"/>
              </w:rPr>
              <w:t>Article 2.</w:t>
            </w:r>
          </w:p>
        </w:tc>
        <w:tc>
          <w:tcPr>
            <w:tcW w:w="7960" w:type="dxa"/>
            <w:vAlign w:val="bottom"/>
            <w:gridSpan w:val="4"/>
            <w:vMerge w:val="restart"/>
          </w:tcPr>
          <w:p>
            <w:pPr>
              <w:ind w:left="420"/>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gridSpan w:val="4"/>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80" w:type="dxa"/>
            <w:vAlign w:val="bottom"/>
            <w:gridSpan w:val="4"/>
          </w:tcPr>
          <w:p>
            <w:pPr>
              <w:ind w:left="280"/>
              <w:spacing w:after="0"/>
              <w:rPr>
                <w:sz w:val="20"/>
                <w:szCs w:val="20"/>
                <w:color w:val="auto"/>
              </w:rPr>
            </w:pPr>
            <w:r>
              <w:rPr>
                <w:rFonts w:ascii="Arial" w:cs="Arial" w:eastAsia="Arial" w:hAnsi="Arial"/>
                <w:sz w:val="22"/>
                <w:szCs w:val="22"/>
                <w:color w:val="auto"/>
              </w:rPr>
              <w:t>Article 3.</w:t>
            </w:r>
          </w:p>
        </w:tc>
        <w:tc>
          <w:tcPr>
            <w:tcW w:w="7960" w:type="dxa"/>
            <w:vAlign w:val="bottom"/>
            <w:gridSpan w:val="4"/>
            <w:vMerge w:val="restart"/>
          </w:tcPr>
          <w:p>
            <w:pPr>
              <w:ind w:left="420"/>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gridSpan w:val="4"/>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80" w:type="dxa"/>
            <w:vAlign w:val="bottom"/>
            <w:gridSpan w:val="4"/>
          </w:tcPr>
          <w:p>
            <w:pPr>
              <w:ind w:left="280"/>
              <w:spacing w:after="0"/>
              <w:rPr>
                <w:sz w:val="20"/>
                <w:szCs w:val="20"/>
                <w:color w:val="auto"/>
              </w:rPr>
            </w:pPr>
            <w:r>
              <w:rPr>
                <w:rFonts w:ascii="Arial" w:cs="Arial" w:eastAsia="Arial" w:hAnsi="Arial"/>
                <w:sz w:val="22"/>
                <w:szCs w:val="22"/>
                <w:color w:val="auto"/>
              </w:rPr>
              <w:t>Article 4.</w:t>
            </w:r>
          </w:p>
        </w:tc>
        <w:tc>
          <w:tcPr>
            <w:tcW w:w="7960" w:type="dxa"/>
            <w:vAlign w:val="bottom"/>
            <w:gridSpan w:val="4"/>
            <w:vMerge w:val="restart"/>
          </w:tcPr>
          <w:p>
            <w:pPr>
              <w:ind w:left="420"/>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gridSpan w:val="4"/>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80" w:type="dxa"/>
            <w:vAlign w:val="bottom"/>
            <w:gridSpan w:val="4"/>
          </w:tcPr>
          <w:p>
            <w:pPr>
              <w:ind w:left="280"/>
              <w:spacing w:after="0"/>
              <w:rPr>
                <w:sz w:val="20"/>
                <w:szCs w:val="20"/>
                <w:color w:val="auto"/>
              </w:rPr>
            </w:pPr>
            <w:r>
              <w:rPr>
                <w:rFonts w:ascii="Arial" w:cs="Arial" w:eastAsia="Arial" w:hAnsi="Arial"/>
                <w:sz w:val="22"/>
                <w:szCs w:val="22"/>
                <w:color w:val="auto"/>
              </w:rPr>
              <w:t>Article 5.</w:t>
            </w:r>
          </w:p>
        </w:tc>
        <w:tc>
          <w:tcPr>
            <w:tcW w:w="7960" w:type="dxa"/>
            <w:vAlign w:val="bottom"/>
            <w:gridSpan w:val="4"/>
            <w:vMerge w:val="restart"/>
          </w:tcPr>
          <w:p>
            <w:pPr>
              <w:ind w:left="420"/>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gridSpan w:val="4"/>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80" w:type="dxa"/>
            <w:vAlign w:val="bottom"/>
            <w:gridSpan w:val="4"/>
          </w:tcPr>
          <w:p>
            <w:pPr>
              <w:ind w:left="280"/>
              <w:spacing w:after="0"/>
              <w:rPr>
                <w:sz w:val="20"/>
                <w:szCs w:val="20"/>
                <w:color w:val="auto"/>
              </w:rPr>
            </w:pPr>
            <w:r>
              <w:rPr>
                <w:rFonts w:ascii="Arial" w:cs="Arial" w:eastAsia="Arial" w:hAnsi="Arial"/>
                <w:sz w:val="22"/>
                <w:szCs w:val="22"/>
                <w:color w:val="auto"/>
              </w:rPr>
              <w:t>Article 6.</w:t>
            </w:r>
          </w:p>
        </w:tc>
        <w:tc>
          <w:tcPr>
            <w:tcW w:w="7960" w:type="dxa"/>
            <w:vAlign w:val="bottom"/>
            <w:gridSpan w:val="4"/>
            <w:vMerge w:val="restart"/>
          </w:tcPr>
          <w:p>
            <w:pPr>
              <w:ind w:left="420"/>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960" w:type="dxa"/>
            <w:vAlign w:val="bottom"/>
            <w:gridSpan w:val="4"/>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7"/>
        </w:trPr>
        <w:tc>
          <w:tcPr>
            <w:tcW w:w="7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2"/>
              </w:rPr>
              <w:t>TABLE</w:t>
            </w:r>
          </w:p>
        </w:tc>
        <w:tc>
          <w:tcPr>
            <w:tcW w:w="12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980" w:type="dxa"/>
            <w:vAlign w:val="bottom"/>
            <w:gridSpan w:val="4"/>
          </w:tcPr>
          <w:p>
            <w:pPr>
              <w:ind w:left="160"/>
              <w:spacing w:after="0"/>
              <w:rPr>
                <w:sz w:val="20"/>
                <w:szCs w:val="20"/>
                <w:color w:val="auto"/>
              </w:rPr>
            </w:pPr>
            <w:r>
              <w:rPr>
                <w:rFonts w:ascii="Arial" w:cs="Arial" w:eastAsia="Arial" w:hAnsi="Arial"/>
                <w:sz w:val="22"/>
                <w:szCs w:val="22"/>
                <w:color w:val="auto"/>
              </w:rPr>
              <w:t>1R12</w:t>
            </w:r>
          </w:p>
        </w:tc>
        <w:tc>
          <w:tcPr>
            <w:tcW w:w="7960" w:type="dxa"/>
            <w:vAlign w:val="bottom"/>
            <w:gridSpan w:val="4"/>
          </w:tcPr>
          <w:p>
            <w:pPr>
              <w:ind w:left="420"/>
              <w:spacing w:after="0"/>
              <w:rPr>
                <w:sz w:val="20"/>
                <w:szCs w:val="20"/>
                <w:color w:val="auto"/>
              </w:rPr>
            </w:pPr>
            <w:r>
              <w:rPr>
                <w:rFonts w:ascii="Arial" w:cs="Arial" w:eastAsia="Arial" w:hAnsi="Arial"/>
                <w:sz w:val="22"/>
                <w:szCs w:val="22"/>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19</w:t>
            </w:r>
          </w:p>
        </w:tc>
        <w:tc>
          <w:tcPr>
            <w:tcW w:w="0" w:type="dxa"/>
            <w:vAlign w:val="bottom"/>
          </w:tcPr>
          <w:p>
            <w:pPr>
              <w:spacing w:after="0"/>
              <w:rPr>
                <w:sz w:val="1"/>
                <w:szCs w:val="1"/>
                <w:color w:val="auto"/>
              </w:rPr>
            </w:pPr>
          </w:p>
        </w:tc>
      </w:tr>
      <w:tr>
        <w:trPr>
          <w:trHeight w:val="216"/>
        </w:trPr>
        <w:tc>
          <w:tcPr>
            <w:tcW w:w="700" w:type="dxa"/>
            <w:vAlign w:val="bottom"/>
          </w:tcPr>
          <w:p>
            <w:pPr>
              <w:ind w:left="160"/>
              <w:spacing w:after="0" w:line="216" w:lineRule="exact"/>
              <w:rPr>
                <w:sz w:val="20"/>
                <w:szCs w:val="20"/>
                <w:color w:val="auto"/>
              </w:rPr>
            </w:pPr>
            <w:r>
              <w:rPr>
                <w:rFonts w:ascii="Arial" w:cs="Arial" w:eastAsia="Arial" w:hAnsi="Arial"/>
                <w:sz w:val="22"/>
                <w:szCs w:val="22"/>
                <w:color w:val="auto"/>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60" w:type="dxa"/>
            <w:vAlign w:val="bottom"/>
            <w:gridSpan w:val="4"/>
          </w:tcPr>
          <w:p>
            <w:pPr>
              <w:ind w:left="420"/>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16"/>
        </w:trPr>
        <w:tc>
          <w:tcPr>
            <w:tcW w:w="1980" w:type="dxa"/>
            <w:vAlign w:val="bottom"/>
            <w:gridSpan w:val="4"/>
          </w:tcPr>
          <w:p>
            <w:pPr>
              <w:ind w:left="160"/>
              <w:spacing w:after="0" w:line="216" w:lineRule="exact"/>
              <w:rPr>
                <w:sz w:val="20"/>
                <w:szCs w:val="20"/>
                <w:color w:val="auto"/>
              </w:rPr>
            </w:pPr>
            <w:r>
              <w:rPr>
                <w:rFonts w:ascii="Arial" w:cs="Arial" w:eastAsia="Arial" w:hAnsi="Arial"/>
                <w:sz w:val="22"/>
                <w:szCs w:val="22"/>
                <w:color w:val="auto"/>
              </w:rPr>
              <w:t>1-3R6</w:t>
            </w:r>
          </w:p>
        </w:tc>
        <w:tc>
          <w:tcPr>
            <w:tcW w:w="7960" w:type="dxa"/>
            <w:vAlign w:val="bottom"/>
            <w:gridSpan w:val="4"/>
          </w:tcPr>
          <w:p>
            <w:pPr>
              <w:ind w:left="420"/>
              <w:spacing w:after="0" w:line="216" w:lineRule="exact"/>
              <w:rPr>
                <w:sz w:val="20"/>
                <w:szCs w:val="20"/>
                <w:color w:val="auto"/>
              </w:rPr>
            </w:pPr>
            <w:r>
              <w:rPr>
                <w:rFonts w:ascii="Arial" w:cs="Arial" w:eastAsia="Arial" w:hAnsi="Arial"/>
                <w:sz w:val="19"/>
                <w:szCs w:val="19"/>
                <w:color w:val="auto"/>
              </w:rPr>
              <w:t xml:space="preserve">[****] </w:t>
            </w:r>
            <w:r>
              <w:rPr>
                <w:rFonts w:ascii="Arial" w:cs="Arial" w:eastAsia="Arial" w:hAnsi="Arial"/>
                <w:sz w:val="21"/>
                <w:szCs w:val="21"/>
                <w:color w:val="auto"/>
              </w:rPr>
              <w:t>Aircraft Delivery, Description, Price, and Advance Payments</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19</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960" w:type="dxa"/>
            <w:vAlign w:val="bottom"/>
            <w:gridSpan w:val="4"/>
          </w:tcPr>
          <w:p>
            <w:pPr>
              <w:ind w:left="420"/>
              <w:spacing w:after="0" w:line="211" w:lineRule="exact"/>
              <w:rPr>
                <w:sz w:val="20"/>
                <w:szCs w:val="20"/>
                <w:color w:val="auto"/>
              </w:rPr>
            </w:pPr>
            <w:r>
              <w:rPr>
                <w:rFonts w:ascii="Arial" w:cs="Arial" w:eastAsia="Arial" w:hAnsi="Arial"/>
                <w:sz w:val="22"/>
                <w:szCs w:val="22"/>
                <w:color w:val="auto"/>
              </w:rPr>
              <w:t xml:space="preserve">737-8 </w:t>
            </w:r>
            <w:r>
              <w:rPr>
                <w:rFonts w:ascii="Arial" w:cs="Arial" w:eastAsia="Arial" w:hAnsi="Arial"/>
                <w:sz w:val="18"/>
                <w:szCs w:val="18"/>
                <w:color w:val="auto"/>
              </w:rPr>
              <w:t>[****]</w:t>
            </w:r>
            <w:r>
              <w:rPr>
                <w:rFonts w:ascii="Arial" w:cs="Arial" w:eastAsia="Arial" w:hAnsi="Arial"/>
                <w:sz w:val="22"/>
                <w:szCs w:val="22"/>
                <w:color w:val="auto"/>
              </w:rPr>
              <w:t xml:space="preserve"> Aircraft Delivery, Description, Price, and Advance Payments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80" w:type="dxa"/>
            <w:vAlign w:val="bottom"/>
            <w:gridSpan w:val="4"/>
          </w:tcPr>
          <w:p>
            <w:pPr>
              <w:ind w:left="160"/>
              <w:spacing w:after="0" w:line="237" w:lineRule="exact"/>
              <w:rPr>
                <w:sz w:val="20"/>
                <w:szCs w:val="20"/>
                <w:color w:val="auto"/>
              </w:rPr>
            </w:pPr>
            <w:r>
              <w:rPr>
                <w:rFonts w:ascii="Arial" w:cs="Arial" w:eastAsia="Arial" w:hAnsi="Arial"/>
                <w:sz w:val="22"/>
                <w:szCs w:val="22"/>
                <w:color w:val="auto"/>
              </w:rPr>
              <w:t>1-4R7</w:t>
            </w:r>
          </w:p>
        </w:tc>
        <w:tc>
          <w:tcPr>
            <w:tcW w:w="7960" w:type="dxa"/>
            <w:vAlign w:val="bottom"/>
            <w:gridSpan w:val="4"/>
          </w:tcPr>
          <w:p>
            <w:pPr>
              <w:ind w:left="420"/>
              <w:spacing w:after="0" w:line="237" w:lineRule="exact"/>
              <w:rPr>
                <w:sz w:val="20"/>
                <w:szCs w:val="20"/>
                <w:color w:val="auto"/>
              </w:rPr>
            </w:pPr>
            <w:r>
              <w:rPr>
                <w:rFonts w:ascii="Arial" w:cs="Arial" w:eastAsia="Arial" w:hAnsi="Arial"/>
                <w:sz w:val="19"/>
                <w:szCs w:val="19"/>
                <w:b w:val="1"/>
                <w:bCs w:val="1"/>
                <w:color w:val="auto"/>
              </w:rPr>
              <w:t xml:space="preserve">[****] </w:t>
            </w:r>
            <w:r>
              <w:rPr>
                <w:rFonts w:ascii="Arial" w:cs="Arial" w:eastAsia="Arial" w:hAnsi="Arial"/>
                <w:sz w:val="21"/>
                <w:szCs w:val="21"/>
                <w:b w:val="1"/>
                <w:bCs w:val="1"/>
                <w:color w:val="auto"/>
              </w:rPr>
              <w:t>737-8</w:t>
            </w:r>
            <w:r>
              <w:rPr>
                <w:rFonts w:ascii="Arial" w:cs="Arial" w:eastAsia="Arial" w:hAnsi="Arial"/>
                <w:sz w:val="19"/>
                <w:szCs w:val="19"/>
                <w:b w:val="1"/>
                <w:bCs w:val="1"/>
                <w:color w:val="auto"/>
              </w:rPr>
              <w:t xml:space="preserve"> [****] </w:t>
            </w:r>
            <w:r>
              <w:rPr>
                <w:rFonts w:ascii="Arial" w:cs="Arial" w:eastAsia="Arial" w:hAnsi="Arial"/>
                <w:sz w:val="21"/>
                <w:szCs w:val="21"/>
                <w:b w:val="1"/>
                <w:bCs w:val="1"/>
                <w:color w:val="auto"/>
              </w:rPr>
              <w:t>Aircraft Delivery, Description, Price, and Advance</w:t>
            </w:r>
          </w:p>
        </w:tc>
        <w:tc>
          <w:tcPr>
            <w:tcW w:w="960" w:type="dxa"/>
            <w:vAlign w:val="bottom"/>
          </w:tcPr>
          <w:p>
            <w:pPr>
              <w:jc w:val="center"/>
              <w:spacing w:after="0" w:line="237" w:lineRule="exact"/>
              <w:rPr>
                <w:sz w:val="20"/>
                <w:szCs w:val="20"/>
                <w:color w:val="auto"/>
              </w:rPr>
            </w:pPr>
            <w:r>
              <w:rPr>
                <w:rFonts w:ascii="Arial" w:cs="Arial" w:eastAsia="Arial" w:hAnsi="Arial"/>
                <w:sz w:val="22"/>
                <w:szCs w:val="22"/>
                <w:color w:val="auto"/>
                <w:w w:val="97"/>
              </w:rPr>
              <w:t>29</w:t>
            </w:r>
          </w:p>
        </w:tc>
        <w:tc>
          <w:tcPr>
            <w:tcW w:w="0" w:type="dxa"/>
            <w:vAlign w:val="bottom"/>
          </w:tcPr>
          <w:p>
            <w:pPr>
              <w:spacing w:after="0"/>
              <w:rPr>
                <w:sz w:val="1"/>
                <w:szCs w:val="1"/>
                <w:color w:val="auto"/>
              </w:rPr>
            </w:pPr>
          </w:p>
        </w:tc>
      </w:tr>
      <w:tr>
        <w:trPr>
          <w:trHeight w:val="301"/>
        </w:trPr>
        <w:tc>
          <w:tcPr>
            <w:tcW w:w="1980" w:type="dxa"/>
            <w:vAlign w:val="bottom"/>
            <w:gridSpan w:val="4"/>
            <w:vMerge w:val="restart"/>
          </w:tcPr>
          <w:p>
            <w:pPr>
              <w:ind w:left="160"/>
              <w:spacing w:after="0"/>
              <w:rPr>
                <w:sz w:val="20"/>
                <w:szCs w:val="20"/>
                <w:color w:val="auto"/>
              </w:rPr>
            </w:pPr>
            <w:r>
              <w:rPr>
                <w:rFonts w:ascii="Arial" w:cs="Arial" w:eastAsia="Arial" w:hAnsi="Arial"/>
                <w:sz w:val="22"/>
                <w:szCs w:val="22"/>
                <w:b w:val="1"/>
                <w:bCs w:val="1"/>
                <w:color w:val="auto"/>
              </w:rPr>
              <w:t>1-5R2</w:t>
            </w:r>
          </w:p>
        </w:tc>
        <w:tc>
          <w:tcPr>
            <w:tcW w:w="7960" w:type="dxa"/>
            <w:vAlign w:val="bottom"/>
            <w:gridSpan w:val="4"/>
          </w:tcPr>
          <w:p>
            <w:pPr>
              <w:ind w:left="420"/>
              <w:spacing w:after="0"/>
              <w:rPr>
                <w:sz w:val="20"/>
                <w:szCs w:val="20"/>
                <w:color w:val="auto"/>
              </w:rPr>
            </w:pPr>
            <w:r>
              <w:rPr>
                <w:rFonts w:ascii="Arial" w:cs="Arial" w:eastAsia="Arial" w:hAnsi="Arial"/>
                <w:sz w:val="22"/>
                <w:szCs w:val="22"/>
                <w:b w:val="1"/>
                <w:bCs w:val="1"/>
                <w:color w:val="auto"/>
              </w:rPr>
              <w:t>Payments</w:t>
            </w:r>
          </w:p>
        </w:tc>
        <w:tc>
          <w:tcPr>
            <w:tcW w:w="9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7"/>
              </w:rPr>
              <w:t>31</w:t>
            </w:r>
          </w:p>
        </w:tc>
        <w:tc>
          <w:tcPr>
            <w:tcW w:w="0" w:type="dxa"/>
            <w:vAlign w:val="bottom"/>
          </w:tcPr>
          <w:p>
            <w:pPr>
              <w:spacing w:after="0"/>
              <w:rPr>
                <w:sz w:val="1"/>
                <w:szCs w:val="1"/>
                <w:color w:val="auto"/>
              </w:rPr>
            </w:pPr>
          </w:p>
        </w:tc>
      </w:tr>
      <w:tr>
        <w:trPr>
          <w:trHeight w:val="244"/>
        </w:trPr>
        <w:tc>
          <w:tcPr>
            <w:tcW w:w="1980" w:type="dxa"/>
            <w:vAlign w:val="bottom"/>
            <w:gridSpan w:val="4"/>
            <w:vMerge w:val="continue"/>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EXHIBITS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980" w:type="dxa"/>
            <w:vAlign w:val="bottom"/>
            <w:tcBorders>
              <w:top w:val="single" w:sz="8" w:color="auto"/>
            </w:tcBorders>
            <w:gridSpan w:val="2"/>
          </w:tcPr>
          <w:p>
            <w:pPr>
              <w:ind w:left="280"/>
              <w:spacing w:after="0"/>
              <w:rPr>
                <w:sz w:val="20"/>
                <w:szCs w:val="20"/>
                <w:color w:val="auto"/>
              </w:rPr>
            </w:pPr>
            <w:r>
              <w:rPr>
                <w:rFonts w:ascii="Arial" w:cs="Arial" w:eastAsia="Arial" w:hAnsi="Arial"/>
                <w:sz w:val="22"/>
                <w:szCs w:val="22"/>
                <w:color w:val="auto"/>
              </w:rPr>
              <w:t>AR1</w:t>
            </w:r>
          </w:p>
        </w:tc>
        <w:tc>
          <w:tcPr>
            <w:tcW w:w="1000" w:type="dxa"/>
            <w:vAlign w:val="bottom"/>
            <w:gridSpan w:val="2"/>
          </w:tcPr>
          <w:p>
            <w:pPr>
              <w:spacing w:after="0"/>
              <w:rPr>
                <w:sz w:val="24"/>
                <w:szCs w:val="24"/>
                <w:color w:val="auto"/>
              </w:rPr>
            </w:pPr>
          </w:p>
        </w:tc>
        <w:tc>
          <w:tcPr>
            <w:tcW w:w="7960" w:type="dxa"/>
            <w:vAlign w:val="bottom"/>
            <w:gridSpan w:val="4"/>
          </w:tcPr>
          <w:p>
            <w:pPr>
              <w:ind w:left="420"/>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16"/>
        </w:trPr>
        <w:tc>
          <w:tcPr>
            <w:tcW w:w="1980" w:type="dxa"/>
            <w:vAlign w:val="bottom"/>
            <w:gridSpan w:val="4"/>
          </w:tcPr>
          <w:p>
            <w:pPr>
              <w:ind w:left="280"/>
              <w:spacing w:after="0" w:line="216" w:lineRule="exact"/>
              <w:rPr>
                <w:sz w:val="20"/>
                <w:szCs w:val="20"/>
                <w:color w:val="auto"/>
              </w:rPr>
            </w:pPr>
            <w:r>
              <w:rPr>
                <w:rFonts w:ascii="Arial" w:cs="Arial" w:eastAsia="Arial" w:hAnsi="Arial"/>
                <w:sz w:val="22"/>
                <w:szCs w:val="22"/>
                <w:color w:val="auto"/>
              </w:rPr>
              <w:t>A2</w:t>
            </w:r>
          </w:p>
        </w:tc>
        <w:tc>
          <w:tcPr>
            <w:tcW w:w="7960" w:type="dxa"/>
            <w:vAlign w:val="bottom"/>
            <w:gridSpan w:val="4"/>
          </w:tcPr>
          <w:p>
            <w:pPr>
              <w:ind w:left="420"/>
              <w:spacing w:after="0" w:line="216" w:lineRule="exact"/>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c>
          <w:tcPr>
            <w:tcW w:w="0" w:type="dxa"/>
            <w:vAlign w:val="bottom"/>
          </w:tcPr>
          <w:p>
            <w:pPr>
              <w:spacing w:after="0"/>
              <w:rPr>
                <w:sz w:val="1"/>
                <w:szCs w:val="1"/>
                <w:color w:val="auto"/>
              </w:rPr>
            </w:pPr>
          </w:p>
        </w:tc>
      </w:tr>
      <w:tr>
        <w:trPr>
          <w:trHeight w:val="270"/>
        </w:trPr>
        <w:tc>
          <w:tcPr>
            <w:tcW w:w="1980" w:type="dxa"/>
            <w:vAlign w:val="bottom"/>
            <w:gridSpan w:val="4"/>
          </w:tcPr>
          <w:p>
            <w:pPr>
              <w:ind w:left="280"/>
              <w:spacing w:after="0"/>
              <w:rPr>
                <w:sz w:val="20"/>
                <w:szCs w:val="20"/>
                <w:color w:val="auto"/>
              </w:rPr>
            </w:pPr>
            <w:r>
              <w:rPr>
                <w:rFonts w:ascii="Arial" w:cs="Arial" w:eastAsia="Arial" w:hAnsi="Arial"/>
                <w:sz w:val="22"/>
                <w:szCs w:val="22"/>
                <w:color w:val="auto"/>
              </w:rPr>
              <w:t>A3</w:t>
            </w:r>
          </w:p>
        </w:tc>
        <w:tc>
          <w:tcPr>
            <w:tcW w:w="7960" w:type="dxa"/>
            <w:vAlign w:val="bottom"/>
            <w:gridSpan w:val="4"/>
          </w:tcPr>
          <w:p>
            <w:pPr>
              <w:ind w:left="42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21"/>
                <w:szCs w:val="21"/>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29</w:t>
            </w:r>
          </w:p>
        </w:tc>
        <w:tc>
          <w:tcPr>
            <w:tcW w:w="0" w:type="dxa"/>
            <w:vAlign w:val="bottom"/>
          </w:tcPr>
          <w:p>
            <w:pPr>
              <w:spacing w:after="0"/>
              <w:rPr>
                <w:sz w:val="1"/>
                <w:szCs w:val="1"/>
                <w:color w:val="auto"/>
              </w:rPr>
            </w:pPr>
          </w:p>
        </w:tc>
      </w:tr>
      <w:tr>
        <w:trPr>
          <w:trHeight w:val="270"/>
        </w:trPr>
        <w:tc>
          <w:tcPr>
            <w:tcW w:w="1980" w:type="dxa"/>
            <w:vAlign w:val="bottom"/>
            <w:gridSpan w:val="4"/>
          </w:tcPr>
          <w:p>
            <w:pPr>
              <w:ind w:left="280"/>
              <w:spacing w:after="0"/>
              <w:rPr>
                <w:sz w:val="20"/>
                <w:szCs w:val="20"/>
                <w:color w:val="auto"/>
              </w:rPr>
            </w:pPr>
            <w:r>
              <w:rPr>
                <w:rFonts w:ascii="Arial" w:cs="Arial" w:eastAsia="Arial" w:hAnsi="Arial"/>
                <w:sz w:val="22"/>
                <w:szCs w:val="22"/>
                <w:color w:val="auto"/>
              </w:rPr>
              <w:t>B.</w:t>
            </w:r>
          </w:p>
        </w:tc>
        <w:tc>
          <w:tcPr>
            <w:tcW w:w="7960" w:type="dxa"/>
            <w:vAlign w:val="bottom"/>
            <w:gridSpan w:val="4"/>
          </w:tcPr>
          <w:p>
            <w:pPr>
              <w:ind w:left="420"/>
              <w:spacing w:after="0"/>
              <w:rPr>
                <w:sz w:val="20"/>
                <w:szCs w:val="20"/>
                <w:color w:val="auto"/>
              </w:rPr>
            </w:pPr>
            <w:r>
              <w:rPr>
                <w:rFonts w:ascii="Arial" w:cs="Arial" w:eastAsia="Arial" w:hAnsi="Arial"/>
                <w:sz w:val="22"/>
                <w:szCs w:val="22"/>
                <w:color w:val="auto"/>
              </w:rPr>
              <w:t>Aircraft Delivery Requirements and Responsibilities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80" w:type="dxa"/>
            <w:vAlign w:val="bottom"/>
            <w:gridSpan w:val="4"/>
          </w:tcPr>
          <w:p>
            <w:pPr>
              <w:ind w:left="280"/>
              <w:spacing w:after="0"/>
              <w:rPr>
                <w:sz w:val="20"/>
                <w:szCs w:val="20"/>
                <w:color w:val="auto"/>
              </w:rPr>
            </w:pPr>
            <w:r>
              <w:rPr>
                <w:rFonts w:ascii="Arial" w:cs="Arial" w:eastAsia="Arial" w:hAnsi="Arial"/>
                <w:sz w:val="22"/>
                <w:szCs w:val="22"/>
                <w:color w:val="auto"/>
              </w:rPr>
              <w:t>C.</w:t>
            </w:r>
          </w:p>
        </w:tc>
        <w:tc>
          <w:tcPr>
            <w:tcW w:w="7960" w:type="dxa"/>
            <w:vAlign w:val="bottom"/>
            <w:gridSpan w:val="4"/>
          </w:tcPr>
          <w:p>
            <w:pPr>
              <w:ind w:left="420"/>
              <w:spacing w:after="0"/>
              <w:rPr>
                <w:sz w:val="20"/>
                <w:szCs w:val="20"/>
                <w:color w:val="auto"/>
              </w:rPr>
            </w:pPr>
            <w:r>
              <w:rPr>
                <w:rFonts w:ascii="Arial" w:cs="Arial" w:eastAsia="Arial" w:hAnsi="Arial"/>
                <w:sz w:val="22"/>
                <w:szCs w:val="22"/>
                <w:color w:val="auto"/>
              </w:rPr>
              <w:t>Definitions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800" w:type="dxa"/>
            <w:vAlign w:val="bottom"/>
            <w:tcBorders>
              <w:bottom w:val="single" w:sz="8" w:color="auto"/>
            </w:tcBorders>
            <w:gridSpan w:val="6"/>
          </w:tcPr>
          <w:p>
            <w:pPr>
              <w:spacing w:after="0"/>
              <w:rPr>
                <w:sz w:val="20"/>
                <w:szCs w:val="20"/>
                <w:color w:val="auto"/>
              </w:rPr>
            </w:pPr>
            <w:r>
              <w:rPr>
                <w:rFonts w:ascii="Arial" w:cs="Arial" w:eastAsia="Arial" w:hAnsi="Arial"/>
                <w:sz w:val="22"/>
                <w:szCs w:val="22"/>
                <w:b w:val="1"/>
                <w:bCs w:val="1"/>
                <w:color w:val="auto"/>
                <w:w w:val="96"/>
              </w:rPr>
              <w:t>SUPPLEMENTAL EXHIBITS</w:t>
            </w:r>
          </w:p>
        </w:tc>
        <w:tc>
          <w:tcPr>
            <w:tcW w:w="71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980" w:type="dxa"/>
            <w:vAlign w:val="bottom"/>
            <w:gridSpan w:val="4"/>
          </w:tcPr>
          <w:p>
            <w:pPr>
              <w:ind w:left="100"/>
              <w:spacing w:after="0"/>
              <w:rPr>
                <w:sz w:val="20"/>
                <w:szCs w:val="20"/>
                <w:color w:val="auto"/>
              </w:rPr>
            </w:pPr>
            <w:r>
              <w:rPr>
                <w:rFonts w:ascii="Arial" w:cs="Arial" w:eastAsia="Arial" w:hAnsi="Arial"/>
                <w:sz w:val="22"/>
                <w:szCs w:val="22"/>
                <w:color w:val="auto"/>
              </w:rPr>
              <w:t>AE1.</w:t>
            </w:r>
          </w:p>
        </w:tc>
        <w:tc>
          <w:tcPr>
            <w:tcW w:w="2860" w:type="dxa"/>
            <w:vAlign w:val="bottom"/>
            <w:gridSpan w:val="3"/>
          </w:tcPr>
          <w:p>
            <w:pPr>
              <w:ind w:left="420"/>
              <w:spacing w:after="0"/>
              <w:rPr>
                <w:sz w:val="20"/>
                <w:szCs w:val="20"/>
                <w:color w:val="auto"/>
              </w:rPr>
            </w:pPr>
            <w:r>
              <w:rPr>
                <w:rFonts w:ascii="Arial" w:cs="Arial" w:eastAsia="Arial" w:hAnsi="Arial"/>
                <w:sz w:val="19"/>
                <w:szCs w:val="19"/>
                <w:color w:val="auto"/>
              </w:rPr>
              <w:t>[****]</w:t>
            </w:r>
          </w:p>
        </w:tc>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80" w:type="dxa"/>
            <w:vAlign w:val="bottom"/>
            <w:gridSpan w:val="4"/>
          </w:tcPr>
          <w:p>
            <w:pPr>
              <w:ind w:left="100"/>
              <w:spacing w:after="0"/>
              <w:rPr>
                <w:sz w:val="20"/>
                <w:szCs w:val="20"/>
                <w:color w:val="auto"/>
              </w:rPr>
            </w:pPr>
            <w:r>
              <w:rPr>
                <w:rFonts w:ascii="Arial" w:cs="Arial" w:eastAsia="Arial" w:hAnsi="Arial"/>
                <w:sz w:val="22"/>
                <w:szCs w:val="22"/>
                <w:color w:val="auto"/>
              </w:rPr>
              <w:t>BFE1.</w:t>
            </w:r>
          </w:p>
        </w:tc>
        <w:tc>
          <w:tcPr>
            <w:tcW w:w="7960" w:type="dxa"/>
            <w:vAlign w:val="bottom"/>
            <w:gridSpan w:val="4"/>
          </w:tcPr>
          <w:p>
            <w:pPr>
              <w:ind w:left="420"/>
              <w:spacing w:after="0"/>
              <w:rPr>
                <w:sz w:val="20"/>
                <w:szCs w:val="20"/>
                <w:color w:val="auto"/>
              </w:rPr>
            </w:pPr>
            <w:r>
              <w:rPr>
                <w:rFonts w:ascii="Arial" w:cs="Arial" w:eastAsia="Arial" w:hAnsi="Arial"/>
                <w:sz w:val="22"/>
                <w:szCs w:val="22"/>
                <w:color w:val="auto"/>
              </w:rPr>
              <w:t>BFE Variables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80" w:type="dxa"/>
            <w:vAlign w:val="bottom"/>
            <w:gridSpan w:val="4"/>
          </w:tcPr>
          <w:p>
            <w:pPr>
              <w:ind w:left="100"/>
              <w:spacing w:after="0"/>
              <w:rPr>
                <w:sz w:val="20"/>
                <w:szCs w:val="20"/>
                <w:color w:val="auto"/>
              </w:rPr>
            </w:pPr>
            <w:r>
              <w:rPr>
                <w:rFonts w:ascii="Arial" w:cs="Arial" w:eastAsia="Arial" w:hAnsi="Arial"/>
                <w:sz w:val="22"/>
                <w:szCs w:val="22"/>
                <w:color w:val="auto"/>
              </w:rPr>
              <w:t>CS1R1.</w:t>
            </w:r>
          </w:p>
        </w:tc>
        <w:tc>
          <w:tcPr>
            <w:tcW w:w="7960" w:type="dxa"/>
            <w:vAlign w:val="bottom"/>
            <w:gridSpan w:val="4"/>
          </w:tcPr>
          <w:p>
            <w:pPr>
              <w:ind w:left="420"/>
              <w:spacing w:after="0"/>
              <w:rPr>
                <w:sz w:val="20"/>
                <w:szCs w:val="20"/>
                <w:color w:val="auto"/>
              </w:rPr>
            </w:pPr>
            <w:r>
              <w:rPr>
                <w:rFonts w:ascii="Arial" w:cs="Arial" w:eastAsia="Arial" w:hAnsi="Arial"/>
                <w:sz w:val="22"/>
                <w:szCs w:val="22"/>
                <w:color w:val="auto"/>
              </w:rPr>
              <w:t>Customer Support Variables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4</w:t>
            </w:r>
          </w:p>
        </w:tc>
        <w:tc>
          <w:tcPr>
            <w:tcW w:w="0" w:type="dxa"/>
            <w:vAlign w:val="bottom"/>
          </w:tcPr>
          <w:p>
            <w:pPr>
              <w:spacing w:after="0"/>
              <w:rPr>
                <w:sz w:val="1"/>
                <w:szCs w:val="1"/>
                <w:color w:val="auto"/>
              </w:rPr>
            </w:pPr>
          </w:p>
        </w:tc>
      </w:tr>
      <w:tr>
        <w:trPr>
          <w:trHeight w:val="270"/>
        </w:trPr>
        <w:tc>
          <w:tcPr>
            <w:tcW w:w="1980" w:type="dxa"/>
            <w:vAlign w:val="bottom"/>
            <w:gridSpan w:val="4"/>
          </w:tcPr>
          <w:p>
            <w:pPr>
              <w:ind w:left="100"/>
              <w:spacing w:after="0"/>
              <w:rPr>
                <w:sz w:val="20"/>
                <w:szCs w:val="20"/>
                <w:color w:val="auto"/>
              </w:rPr>
            </w:pPr>
            <w:r>
              <w:rPr>
                <w:rFonts w:ascii="Arial" w:cs="Arial" w:eastAsia="Arial" w:hAnsi="Arial"/>
                <w:sz w:val="22"/>
                <w:szCs w:val="22"/>
                <w:color w:val="auto"/>
              </w:rPr>
              <w:t>EE1.</w:t>
            </w:r>
          </w:p>
        </w:tc>
        <w:tc>
          <w:tcPr>
            <w:tcW w:w="2860" w:type="dxa"/>
            <w:vAlign w:val="bottom"/>
            <w:gridSpan w:val="3"/>
          </w:tcPr>
          <w:p>
            <w:pPr>
              <w:ind w:left="420"/>
              <w:spacing w:after="0"/>
              <w:rPr>
                <w:sz w:val="20"/>
                <w:szCs w:val="20"/>
                <w:color w:val="auto"/>
              </w:rPr>
            </w:pPr>
            <w:r>
              <w:rPr>
                <w:rFonts w:ascii="Arial" w:cs="Arial" w:eastAsia="Arial" w:hAnsi="Arial"/>
                <w:sz w:val="19"/>
                <w:szCs w:val="19"/>
                <w:color w:val="auto"/>
              </w:rPr>
              <w:t>[****]</w:t>
            </w: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80" w:type="dxa"/>
            <w:vAlign w:val="bottom"/>
            <w:gridSpan w:val="4"/>
          </w:tcPr>
          <w:p>
            <w:pPr>
              <w:ind w:left="100"/>
              <w:spacing w:after="0"/>
              <w:rPr>
                <w:sz w:val="20"/>
                <w:szCs w:val="20"/>
                <w:color w:val="auto"/>
              </w:rPr>
            </w:pPr>
            <w:r>
              <w:rPr>
                <w:rFonts w:ascii="Arial" w:cs="Arial" w:eastAsia="Arial" w:hAnsi="Arial"/>
                <w:sz w:val="22"/>
                <w:szCs w:val="22"/>
                <w:color w:val="auto"/>
              </w:rPr>
              <w:t>SLP1.</w:t>
            </w:r>
          </w:p>
        </w:tc>
        <w:tc>
          <w:tcPr>
            <w:tcW w:w="2860" w:type="dxa"/>
            <w:vAlign w:val="bottom"/>
            <w:gridSpan w:val="3"/>
          </w:tcPr>
          <w:p>
            <w:pPr>
              <w:ind w:left="420"/>
              <w:spacing w:after="0"/>
              <w:rPr>
                <w:sz w:val="20"/>
                <w:szCs w:val="20"/>
                <w:color w:val="auto"/>
              </w:rPr>
            </w:pPr>
            <w:r>
              <w:rPr>
                <w:rFonts w:ascii="Arial" w:cs="Arial" w:eastAsia="Arial" w:hAnsi="Arial"/>
                <w:sz w:val="19"/>
                <w:szCs w:val="19"/>
                <w:color w:val="auto"/>
              </w:rPr>
              <w:t>[****]</w:t>
            </w: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42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w w:val="97"/>
              </w:rPr>
              <w:t>LETTER AGREEMENTS</w:t>
            </w:r>
          </w:p>
        </w:tc>
        <w:tc>
          <w:tcPr>
            <w:tcW w:w="752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980" w:type="dxa"/>
            <w:vAlign w:val="bottom"/>
            <w:gridSpan w:val="4"/>
          </w:tcPr>
          <w:p>
            <w:pPr>
              <w:spacing w:after="0"/>
              <w:rPr>
                <w:sz w:val="20"/>
                <w:szCs w:val="20"/>
                <w:color w:val="auto"/>
              </w:rPr>
            </w:pPr>
            <w:r>
              <w:rPr>
                <w:rFonts w:ascii="Arial" w:cs="Arial" w:eastAsia="Arial" w:hAnsi="Arial"/>
                <w:sz w:val="22"/>
                <w:szCs w:val="22"/>
                <w:color w:val="auto"/>
              </w:rPr>
              <w:t>LA-1106648R1</w:t>
            </w:r>
          </w:p>
        </w:tc>
        <w:tc>
          <w:tcPr>
            <w:tcW w:w="7960" w:type="dxa"/>
            <w:vAlign w:val="bottom"/>
            <w:gridSpan w:val="4"/>
          </w:tcPr>
          <w:p>
            <w:pPr>
              <w:ind w:left="420"/>
              <w:spacing w:after="0"/>
              <w:rPr>
                <w:sz w:val="20"/>
                <w:szCs w:val="20"/>
                <w:color w:val="auto"/>
              </w:rPr>
            </w:pPr>
            <w:r>
              <w:rPr>
                <w:rFonts w:ascii="Arial" w:cs="Arial" w:eastAsia="Arial" w:hAnsi="Arial"/>
                <w:sz w:val="22"/>
                <w:szCs w:val="22"/>
                <w:color w:val="auto"/>
              </w:rPr>
              <w:t>Special Matters</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70"/>
        </w:trPr>
        <w:tc>
          <w:tcPr>
            <w:tcW w:w="1980" w:type="dxa"/>
            <w:vAlign w:val="bottom"/>
            <w:gridSpan w:val="4"/>
          </w:tcPr>
          <w:p>
            <w:pPr>
              <w:spacing w:after="0"/>
              <w:rPr>
                <w:sz w:val="20"/>
                <w:szCs w:val="20"/>
                <w:color w:val="auto"/>
              </w:rPr>
            </w:pPr>
            <w:r>
              <w:rPr>
                <w:rFonts w:ascii="Arial" w:cs="Arial" w:eastAsia="Arial" w:hAnsi="Arial"/>
                <w:sz w:val="22"/>
                <w:szCs w:val="22"/>
                <w:color w:val="auto"/>
              </w:rPr>
              <w:t>LA-1106649</w:t>
            </w:r>
          </w:p>
        </w:tc>
        <w:tc>
          <w:tcPr>
            <w:tcW w:w="2860" w:type="dxa"/>
            <w:vAlign w:val="bottom"/>
            <w:gridSpan w:val="3"/>
          </w:tcPr>
          <w:p>
            <w:pPr>
              <w:ind w:left="420"/>
              <w:spacing w:after="0"/>
              <w:rPr>
                <w:sz w:val="20"/>
                <w:szCs w:val="20"/>
                <w:color w:val="auto"/>
              </w:rPr>
            </w:pPr>
            <w:r>
              <w:rPr>
                <w:rFonts w:ascii="Arial" w:cs="Arial" w:eastAsia="Arial" w:hAnsi="Arial"/>
                <w:sz w:val="19"/>
                <w:szCs w:val="19"/>
                <w:color w:val="auto"/>
              </w:rPr>
              <w:t>[****]</w:t>
            </w:r>
          </w:p>
        </w:tc>
        <w:tc>
          <w:tcPr>
            <w:tcW w:w="5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980" w:type="dxa"/>
            <w:vAlign w:val="bottom"/>
            <w:gridSpan w:val="4"/>
          </w:tcPr>
          <w:p>
            <w:pPr>
              <w:spacing w:after="0"/>
              <w:rPr>
                <w:sz w:val="20"/>
                <w:szCs w:val="20"/>
                <w:color w:val="auto"/>
              </w:rPr>
            </w:pPr>
            <w:r>
              <w:rPr>
                <w:rFonts w:ascii="Arial" w:cs="Arial" w:eastAsia="Arial" w:hAnsi="Arial"/>
                <w:sz w:val="22"/>
                <w:szCs w:val="22"/>
                <w:color w:val="auto"/>
              </w:rPr>
              <w:t>LA-1106650R7</w:t>
            </w:r>
          </w:p>
        </w:tc>
        <w:tc>
          <w:tcPr>
            <w:tcW w:w="2860" w:type="dxa"/>
            <w:vAlign w:val="bottom"/>
            <w:gridSpan w:val="3"/>
          </w:tcPr>
          <w:p>
            <w:pPr>
              <w:ind w:left="420"/>
              <w:spacing w:after="0"/>
              <w:rPr>
                <w:sz w:val="20"/>
                <w:szCs w:val="20"/>
                <w:color w:val="auto"/>
              </w:rPr>
            </w:pPr>
            <w:r>
              <w:rPr>
                <w:rFonts w:ascii="Arial" w:cs="Arial" w:eastAsia="Arial" w:hAnsi="Arial"/>
                <w:sz w:val="19"/>
                <w:szCs w:val="19"/>
                <w:color w:val="auto"/>
              </w:rPr>
              <w:t>[****]</w:t>
            </w:r>
          </w:p>
        </w:tc>
        <w:tc>
          <w:tcPr>
            <w:tcW w:w="51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29</w:t>
            </w:r>
          </w:p>
        </w:tc>
        <w:tc>
          <w:tcPr>
            <w:tcW w:w="0" w:type="dxa"/>
            <w:vAlign w:val="bottom"/>
          </w:tcPr>
          <w:p>
            <w:pPr>
              <w:spacing w:after="0"/>
              <w:rPr>
                <w:sz w:val="1"/>
                <w:szCs w:val="1"/>
                <w:color w:val="auto"/>
              </w:rPr>
            </w:pPr>
          </w:p>
        </w:tc>
      </w:tr>
      <w:tr>
        <w:trPr>
          <w:trHeight w:val="280"/>
        </w:trPr>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LA-1106651R13</w:t>
            </w:r>
          </w:p>
        </w:tc>
        <w:tc>
          <w:tcPr>
            <w:tcW w:w="2860" w:type="dxa"/>
            <w:vAlign w:val="bottom"/>
            <w:gridSpan w:val="3"/>
          </w:tcPr>
          <w:p>
            <w:pPr>
              <w:ind w:left="420"/>
              <w:spacing w:after="0"/>
              <w:rPr>
                <w:sz w:val="20"/>
                <w:szCs w:val="20"/>
                <w:color w:val="auto"/>
              </w:rPr>
            </w:pPr>
            <w:r>
              <w:rPr>
                <w:rFonts w:ascii="Arial" w:cs="Arial" w:eastAsia="Arial" w:hAnsi="Arial"/>
                <w:sz w:val="19"/>
                <w:szCs w:val="19"/>
                <w:b w:val="1"/>
                <w:bCs w:val="1"/>
                <w:color w:val="auto"/>
              </w:rPr>
              <w:t>[****]</w:t>
            </w:r>
          </w:p>
        </w:tc>
        <w:tc>
          <w:tcPr>
            <w:tcW w:w="5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31</w:t>
            </w:r>
          </w:p>
        </w:tc>
        <w:tc>
          <w:tcPr>
            <w:tcW w:w="0" w:type="dxa"/>
            <w:vAlign w:val="bottom"/>
          </w:tcPr>
          <w:p>
            <w:pPr>
              <w:spacing w:after="0"/>
              <w:rPr>
                <w:sz w:val="1"/>
                <w:szCs w:val="1"/>
                <w:color w:val="auto"/>
              </w:rPr>
            </w:pPr>
          </w:p>
        </w:tc>
      </w:tr>
      <w:tr>
        <w:trPr>
          <w:trHeight w:val="270"/>
        </w:trPr>
        <w:tc>
          <w:tcPr>
            <w:tcW w:w="1980" w:type="dxa"/>
            <w:vAlign w:val="bottom"/>
            <w:gridSpan w:val="4"/>
          </w:tcPr>
          <w:p>
            <w:pPr>
              <w:spacing w:after="0"/>
              <w:rPr>
                <w:sz w:val="20"/>
                <w:szCs w:val="20"/>
                <w:color w:val="auto"/>
              </w:rPr>
            </w:pPr>
            <w:r>
              <w:rPr>
                <w:rFonts w:ascii="Arial" w:cs="Arial" w:eastAsia="Arial" w:hAnsi="Arial"/>
                <w:sz w:val="22"/>
                <w:szCs w:val="22"/>
                <w:color w:val="auto"/>
              </w:rPr>
              <w:t>LA-1106652R2</w:t>
            </w:r>
          </w:p>
        </w:tc>
        <w:tc>
          <w:tcPr>
            <w:tcW w:w="7960" w:type="dxa"/>
            <w:vAlign w:val="bottom"/>
            <w:gridSpan w:val="4"/>
          </w:tcPr>
          <w:p>
            <w:pPr>
              <w:ind w:left="420"/>
              <w:spacing w:after="0"/>
              <w:rPr>
                <w:sz w:val="20"/>
                <w:szCs w:val="20"/>
                <w:color w:val="auto"/>
              </w:rPr>
            </w:pPr>
            <w:r>
              <w:rPr>
                <w:rFonts w:ascii="Arial" w:cs="Arial" w:eastAsia="Arial" w:hAnsi="Arial"/>
                <w:sz w:val="22"/>
                <w:szCs w:val="22"/>
                <w:color w:val="auto"/>
              </w:rPr>
              <w:t>Aircraft Model Substitution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28</w:t>
            </w:r>
          </w:p>
        </w:tc>
        <w:tc>
          <w:tcPr>
            <w:tcW w:w="0" w:type="dxa"/>
            <w:vAlign w:val="bottom"/>
          </w:tcPr>
          <w:p>
            <w:pPr>
              <w:spacing w:after="0"/>
              <w:rPr>
                <w:sz w:val="1"/>
                <w:szCs w:val="1"/>
                <w:color w:val="auto"/>
              </w:rPr>
            </w:pPr>
          </w:p>
        </w:tc>
      </w:tr>
      <w:tr>
        <w:trPr>
          <w:trHeight w:val="270"/>
        </w:trPr>
        <w:tc>
          <w:tcPr>
            <w:tcW w:w="1980" w:type="dxa"/>
            <w:vAlign w:val="bottom"/>
            <w:gridSpan w:val="4"/>
          </w:tcPr>
          <w:p>
            <w:pPr>
              <w:spacing w:after="0"/>
              <w:rPr>
                <w:sz w:val="20"/>
                <w:szCs w:val="20"/>
                <w:color w:val="auto"/>
              </w:rPr>
            </w:pPr>
            <w:r>
              <w:rPr>
                <w:rFonts w:ascii="Arial" w:cs="Arial" w:eastAsia="Arial" w:hAnsi="Arial"/>
                <w:sz w:val="22"/>
                <w:szCs w:val="22"/>
                <w:color w:val="auto"/>
              </w:rPr>
              <w:t>LA-1106654</w:t>
            </w:r>
          </w:p>
        </w:tc>
        <w:tc>
          <w:tcPr>
            <w:tcW w:w="7960" w:type="dxa"/>
            <w:vAlign w:val="bottom"/>
            <w:gridSpan w:val="4"/>
          </w:tcPr>
          <w:p>
            <w:pPr>
              <w:ind w:left="420"/>
              <w:spacing w:after="0"/>
              <w:rPr>
                <w:sz w:val="20"/>
                <w:szCs w:val="20"/>
                <w:color w:val="auto"/>
              </w:rPr>
            </w:pPr>
            <w:r>
              <w:rPr>
                <w:rFonts w:ascii="Arial" w:cs="Arial" w:eastAsia="Arial" w:hAnsi="Arial"/>
                <w:sz w:val="22"/>
                <w:szCs w:val="22"/>
                <w:color w:val="auto"/>
              </w:rPr>
              <w:t>AGTA Terms Revisions for MAX</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80" w:type="dxa"/>
            <w:vAlign w:val="bottom"/>
            <w:gridSpan w:val="4"/>
          </w:tcPr>
          <w:p>
            <w:pPr>
              <w:spacing w:after="0"/>
              <w:rPr>
                <w:sz w:val="20"/>
                <w:szCs w:val="20"/>
                <w:color w:val="auto"/>
              </w:rPr>
            </w:pPr>
            <w:r>
              <w:rPr>
                <w:rFonts w:ascii="Arial" w:cs="Arial" w:eastAsia="Arial" w:hAnsi="Arial"/>
                <w:sz w:val="22"/>
                <w:szCs w:val="22"/>
                <w:color w:val="auto"/>
                <w:strike w:val="1"/>
              </w:rPr>
              <w:t>LA-1106655</w:t>
            </w:r>
          </w:p>
        </w:tc>
        <w:tc>
          <w:tcPr>
            <w:tcW w:w="2860" w:type="dxa"/>
            <w:vAlign w:val="bottom"/>
            <w:gridSpan w:val="3"/>
          </w:tcPr>
          <w:p>
            <w:pPr>
              <w:ind w:left="420"/>
              <w:spacing w:after="0"/>
              <w:rPr>
                <w:sz w:val="20"/>
                <w:szCs w:val="20"/>
                <w:color w:val="auto"/>
              </w:rPr>
            </w:pPr>
            <w:r>
              <w:rPr>
                <w:rFonts w:ascii="Arial" w:cs="Arial" w:eastAsia="Arial" w:hAnsi="Arial"/>
                <w:sz w:val="22"/>
                <w:szCs w:val="22"/>
                <w:color w:val="auto"/>
                <w:strike w:val="1"/>
                <w:w w:val="97"/>
              </w:rPr>
              <w:t>Open Matters – 737 MAX</w:t>
            </w:r>
          </w:p>
        </w:tc>
        <w:tc>
          <w:tcPr>
            <w:tcW w:w="5100" w:type="dxa"/>
            <w:vAlign w:val="bottom"/>
          </w:tcPr>
          <w:p>
            <w:pPr>
              <w:ind w:left="60"/>
              <w:spacing w:after="0"/>
              <w:rPr>
                <w:sz w:val="20"/>
                <w:szCs w:val="20"/>
                <w:color w:val="auto"/>
              </w:rPr>
            </w:pPr>
            <w:r>
              <w:rPr>
                <w:rFonts w:ascii="Arial" w:cs="Arial" w:eastAsia="Arial" w:hAnsi="Arial"/>
                <w:sz w:val="22"/>
                <w:szCs w:val="22"/>
                <w:color w:val="auto"/>
              </w:rPr>
              <w:t>Withdrawn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275"/>
        </w:trPr>
        <w:tc>
          <w:tcPr>
            <w:tcW w:w="1980" w:type="dxa"/>
            <w:vAlign w:val="bottom"/>
            <w:gridSpan w:val="4"/>
          </w:tcPr>
          <w:p>
            <w:pPr>
              <w:spacing w:after="0"/>
              <w:rPr>
                <w:sz w:val="20"/>
                <w:szCs w:val="20"/>
                <w:color w:val="auto"/>
              </w:rPr>
            </w:pPr>
            <w:r>
              <w:rPr>
                <w:rFonts w:ascii="Arial" w:cs="Arial" w:eastAsia="Arial" w:hAnsi="Arial"/>
                <w:sz w:val="22"/>
                <w:szCs w:val="22"/>
                <w:color w:val="auto"/>
              </w:rPr>
              <w:t>LA-1106656R1</w:t>
            </w:r>
          </w:p>
        </w:tc>
        <w:tc>
          <w:tcPr>
            <w:tcW w:w="2860" w:type="dxa"/>
            <w:vAlign w:val="bottom"/>
            <w:gridSpan w:val="3"/>
          </w:tcPr>
          <w:p>
            <w:pPr>
              <w:ind w:left="420"/>
              <w:spacing w:after="0"/>
              <w:rPr>
                <w:sz w:val="20"/>
                <w:szCs w:val="20"/>
                <w:color w:val="auto"/>
              </w:rPr>
            </w:pPr>
            <w:r>
              <w:rPr>
                <w:rFonts w:ascii="Arial" w:cs="Arial" w:eastAsia="Arial" w:hAnsi="Arial"/>
                <w:sz w:val="19"/>
                <w:szCs w:val="19"/>
                <w:color w:val="auto"/>
              </w:rPr>
              <w:t>[****]</w:t>
            </w:r>
          </w:p>
        </w:tc>
        <w:tc>
          <w:tcPr>
            <w:tcW w:w="5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SA-31</w:t>
      </w: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00"/>
          </w:cols>
          <w:pgMar w:left="400" w:top="1440" w:right="599" w:bottom="1145" w:gutter="0" w:footer="0" w:header="0"/>
        </w:sectPr>
      </w:pPr>
    </w:p>
    <w:bookmarkStart w:id="101" w:name="page102"/>
    <w:bookmarkEnd w:id="101"/>
    <w:p>
      <w:pPr>
        <w:spacing w:after="0" w:line="200" w:lineRule="exact"/>
        <w:rPr>
          <w:sz w:val="20"/>
          <w:szCs w:val="20"/>
          <w:color w:val="auto"/>
        </w:rPr>
      </w:pPr>
    </w:p>
    <w:p>
      <w:pPr>
        <w:spacing w:after="0" w:line="371" w:lineRule="exact"/>
        <w:rPr>
          <w:sz w:val="20"/>
          <w:szCs w:val="20"/>
          <w:color w:val="auto"/>
        </w:rPr>
      </w:pPr>
    </w:p>
    <w:tbl>
      <w:tblPr>
        <w:tblLayout w:type="fixed"/>
        <w:tblInd w:w="80" w:type="dxa"/>
        <w:tblCellMar>
          <w:top w:w="0" w:type="dxa"/>
          <w:left w:w="0" w:type="dxa"/>
          <w:bottom w:w="0" w:type="dxa"/>
          <w:right w:w="0" w:type="dxa"/>
        </w:tblCellMar>
      </w:tblPr>
      <w:tr>
        <w:trPr>
          <w:trHeight w:val="301"/>
        </w:trPr>
        <w:tc>
          <w:tcPr>
            <w:tcW w:w="1940" w:type="dxa"/>
            <w:vAlign w:val="bottom"/>
          </w:tcPr>
          <w:p>
            <w:pPr>
              <w:spacing w:after="0"/>
              <w:rPr>
                <w:sz w:val="24"/>
                <w:szCs w:val="24"/>
                <w:color w:val="auto"/>
              </w:rPr>
            </w:pPr>
          </w:p>
        </w:tc>
        <w:tc>
          <w:tcPr>
            <w:tcW w:w="5340" w:type="dxa"/>
            <w:vAlign w:val="bottom"/>
          </w:tcPr>
          <w:p>
            <w:pPr>
              <w:ind w:left="1880"/>
              <w:spacing w:after="0"/>
              <w:rPr>
                <w:sz w:val="20"/>
                <w:szCs w:val="20"/>
                <w:color w:val="auto"/>
              </w:rPr>
            </w:pPr>
            <w:r>
              <w:rPr>
                <w:rFonts w:ascii="Arial" w:cs="Arial" w:eastAsia="Arial" w:hAnsi="Arial"/>
                <w:sz w:val="22"/>
                <w:szCs w:val="22"/>
                <w:b w:val="1"/>
                <w:bCs w:val="1"/>
                <w:color w:val="auto"/>
                <w:w w:val="97"/>
              </w:rPr>
              <w:t>TABLE OF CONTENTS, continued</w:t>
            </w:r>
          </w:p>
        </w:tc>
      </w:tr>
      <w:tr>
        <w:trPr>
          <w:trHeight w:val="843"/>
        </w:trPr>
        <w:tc>
          <w:tcPr>
            <w:tcW w:w="1940" w:type="dxa"/>
            <w:vAlign w:val="bottom"/>
          </w:tcPr>
          <w:p>
            <w:pPr>
              <w:spacing w:after="0"/>
              <w:rPr>
                <w:sz w:val="20"/>
                <w:szCs w:val="20"/>
                <w:color w:val="auto"/>
              </w:rPr>
            </w:pPr>
            <w:r>
              <w:rPr>
                <w:rFonts w:ascii="Arial" w:cs="Arial" w:eastAsia="Arial" w:hAnsi="Arial"/>
                <w:sz w:val="22"/>
                <w:szCs w:val="22"/>
                <w:color w:val="auto"/>
              </w:rPr>
              <w:t>LA-1106657R1</w:t>
            </w:r>
          </w:p>
        </w:tc>
        <w:tc>
          <w:tcPr>
            <w:tcW w:w="5340" w:type="dxa"/>
            <w:vAlign w:val="bottom"/>
          </w:tcPr>
          <w:p>
            <w:pPr>
              <w:ind w:left="460"/>
              <w:spacing w:after="0"/>
              <w:rPr>
                <w:sz w:val="20"/>
                <w:szCs w:val="20"/>
                <w:color w:val="auto"/>
              </w:rPr>
            </w:pPr>
            <w:r>
              <w:rPr>
                <w:rFonts w:ascii="Arial" w:cs="Arial" w:eastAsia="Arial" w:hAnsi="Arial"/>
                <w:sz w:val="19"/>
                <w:szCs w:val="19"/>
                <w:color w:val="auto"/>
              </w:rPr>
              <w:t>[****]</w:t>
            </w:r>
          </w:p>
        </w:tc>
      </w:tr>
      <w:tr>
        <w:trPr>
          <w:trHeight w:val="270"/>
        </w:trPr>
        <w:tc>
          <w:tcPr>
            <w:tcW w:w="1940" w:type="dxa"/>
            <w:vAlign w:val="bottom"/>
          </w:tcPr>
          <w:p>
            <w:pPr>
              <w:spacing w:after="0"/>
              <w:rPr>
                <w:sz w:val="20"/>
                <w:szCs w:val="20"/>
                <w:color w:val="auto"/>
              </w:rPr>
            </w:pPr>
            <w:r>
              <w:rPr>
                <w:rFonts w:ascii="Arial" w:cs="Arial" w:eastAsia="Arial" w:hAnsi="Arial"/>
                <w:sz w:val="22"/>
                <w:szCs w:val="22"/>
                <w:color w:val="auto"/>
              </w:rPr>
              <w:t>LA-1106663 R1</w:t>
            </w:r>
          </w:p>
        </w:tc>
        <w:tc>
          <w:tcPr>
            <w:tcW w:w="5340" w:type="dxa"/>
            <w:vAlign w:val="bottom"/>
          </w:tcPr>
          <w:p>
            <w:pPr>
              <w:ind w:left="460"/>
              <w:spacing w:after="0"/>
              <w:rPr>
                <w:sz w:val="20"/>
                <w:szCs w:val="20"/>
                <w:color w:val="auto"/>
              </w:rPr>
            </w:pPr>
            <w:r>
              <w:rPr>
                <w:rFonts w:ascii="Arial" w:cs="Arial" w:eastAsia="Arial" w:hAnsi="Arial"/>
                <w:sz w:val="19"/>
                <w:szCs w:val="19"/>
                <w:color w:val="auto"/>
              </w:rPr>
              <w:t>[****]</w:t>
            </w:r>
          </w:p>
        </w:tc>
      </w:tr>
      <w:tr>
        <w:trPr>
          <w:trHeight w:val="270"/>
        </w:trPr>
        <w:tc>
          <w:tcPr>
            <w:tcW w:w="1940" w:type="dxa"/>
            <w:vAlign w:val="bottom"/>
          </w:tcPr>
          <w:p>
            <w:pPr>
              <w:spacing w:after="0"/>
              <w:rPr>
                <w:sz w:val="20"/>
                <w:szCs w:val="20"/>
                <w:color w:val="auto"/>
              </w:rPr>
            </w:pPr>
            <w:r>
              <w:rPr>
                <w:rFonts w:ascii="Arial" w:cs="Arial" w:eastAsia="Arial" w:hAnsi="Arial"/>
                <w:sz w:val="22"/>
                <w:szCs w:val="22"/>
                <w:color w:val="auto"/>
              </w:rPr>
              <w:t>LA-1106664 R1</w:t>
            </w:r>
          </w:p>
        </w:tc>
        <w:tc>
          <w:tcPr>
            <w:tcW w:w="5340" w:type="dxa"/>
            <w:vAlign w:val="bottom"/>
          </w:tcPr>
          <w:p>
            <w:pPr>
              <w:ind w:left="460"/>
              <w:spacing w:after="0"/>
              <w:rPr>
                <w:sz w:val="20"/>
                <w:szCs w:val="20"/>
                <w:color w:val="auto"/>
              </w:rPr>
            </w:pPr>
            <w:r>
              <w:rPr>
                <w:rFonts w:ascii="Arial" w:cs="Arial" w:eastAsia="Arial" w:hAnsi="Arial"/>
                <w:sz w:val="19"/>
                <w:szCs w:val="19"/>
                <w:color w:val="auto"/>
              </w:rPr>
              <w:t>[****]</w:t>
            </w:r>
          </w:p>
        </w:tc>
      </w:tr>
      <w:tr>
        <w:trPr>
          <w:trHeight w:val="270"/>
        </w:trPr>
        <w:tc>
          <w:tcPr>
            <w:tcW w:w="1940" w:type="dxa"/>
            <w:vAlign w:val="bottom"/>
          </w:tcPr>
          <w:p>
            <w:pPr>
              <w:spacing w:after="0"/>
              <w:rPr>
                <w:sz w:val="20"/>
                <w:szCs w:val="20"/>
                <w:color w:val="auto"/>
              </w:rPr>
            </w:pPr>
            <w:r>
              <w:rPr>
                <w:rFonts w:ascii="Arial" w:cs="Arial" w:eastAsia="Arial" w:hAnsi="Arial"/>
                <w:sz w:val="22"/>
                <w:szCs w:val="22"/>
                <w:color w:val="auto"/>
              </w:rPr>
              <w:t>LA-1106658</w:t>
            </w:r>
          </w:p>
        </w:tc>
        <w:tc>
          <w:tcPr>
            <w:tcW w:w="5340" w:type="dxa"/>
            <w:vAlign w:val="bottom"/>
          </w:tcPr>
          <w:p>
            <w:pPr>
              <w:ind w:left="460"/>
              <w:spacing w:after="0"/>
              <w:rPr>
                <w:sz w:val="20"/>
                <w:szCs w:val="20"/>
                <w:color w:val="auto"/>
              </w:rPr>
            </w:pPr>
            <w:r>
              <w:rPr>
                <w:rFonts w:ascii="Arial" w:cs="Arial" w:eastAsia="Arial" w:hAnsi="Arial"/>
                <w:sz w:val="19"/>
                <w:szCs w:val="19"/>
                <w:color w:val="auto"/>
              </w:rPr>
              <w:t>[****]</w:t>
            </w:r>
          </w:p>
        </w:tc>
      </w:tr>
      <w:tr>
        <w:trPr>
          <w:trHeight w:val="270"/>
        </w:trPr>
        <w:tc>
          <w:tcPr>
            <w:tcW w:w="1940" w:type="dxa"/>
            <w:vAlign w:val="bottom"/>
          </w:tcPr>
          <w:p>
            <w:pPr>
              <w:spacing w:after="0"/>
              <w:rPr>
                <w:sz w:val="20"/>
                <w:szCs w:val="20"/>
                <w:color w:val="auto"/>
              </w:rPr>
            </w:pPr>
            <w:r>
              <w:rPr>
                <w:rFonts w:ascii="Arial" w:cs="Arial" w:eastAsia="Arial" w:hAnsi="Arial"/>
                <w:sz w:val="22"/>
                <w:szCs w:val="22"/>
                <w:color w:val="auto"/>
              </w:rPr>
              <w:t>LA-1106659R3</w:t>
            </w:r>
          </w:p>
        </w:tc>
        <w:tc>
          <w:tcPr>
            <w:tcW w:w="5340" w:type="dxa"/>
            <w:vAlign w:val="bottom"/>
          </w:tcPr>
          <w:p>
            <w:pPr>
              <w:ind w:left="460"/>
              <w:spacing w:after="0"/>
              <w:rPr>
                <w:sz w:val="20"/>
                <w:szCs w:val="20"/>
                <w:color w:val="auto"/>
              </w:rPr>
            </w:pPr>
            <w:r>
              <w:rPr>
                <w:rFonts w:ascii="Arial" w:cs="Arial" w:eastAsia="Arial" w:hAnsi="Arial"/>
                <w:sz w:val="19"/>
                <w:szCs w:val="19"/>
                <w:color w:val="auto"/>
              </w:rPr>
              <w:t>[****]</w:t>
            </w:r>
          </w:p>
        </w:tc>
      </w:tr>
      <w:tr>
        <w:trPr>
          <w:trHeight w:val="275"/>
        </w:trPr>
        <w:tc>
          <w:tcPr>
            <w:tcW w:w="1940" w:type="dxa"/>
            <w:vAlign w:val="bottom"/>
          </w:tcPr>
          <w:p>
            <w:pPr>
              <w:spacing w:after="0"/>
              <w:rPr>
                <w:sz w:val="20"/>
                <w:szCs w:val="20"/>
                <w:color w:val="auto"/>
              </w:rPr>
            </w:pPr>
            <w:r>
              <w:rPr>
                <w:rFonts w:ascii="Arial" w:cs="Arial" w:eastAsia="Arial" w:hAnsi="Arial"/>
                <w:sz w:val="22"/>
                <w:szCs w:val="22"/>
                <w:color w:val="auto"/>
              </w:rPr>
              <w:t>LA-1106660</w:t>
            </w:r>
          </w:p>
        </w:tc>
        <w:tc>
          <w:tcPr>
            <w:tcW w:w="5340" w:type="dxa"/>
            <w:vAlign w:val="bottom"/>
          </w:tcPr>
          <w:p>
            <w:pPr>
              <w:ind w:left="460"/>
              <w:spacing w:after="0"/>
              <w:rPr>
                <w:sz w:val="20"/>
                <w:szCs w:val="20"/>
                <w:color w:val="auto"/>
              </w:rPr>
            </w:pPr>
            <w:r>
              <w:rPr>
                <w:rFonts w:ascii="Arial" w:cs="Arial" w:eastAsia="Arial" w:hAnsi="Arial"/>
                <w:sz w:val="22"/>
                <w:szCs w:val="22"/>
                <w:color w:val="auto"/>
              </w:rPr>
              <w:t>Spare Parts Initial Provisioning</w:t>
            </w:r>
          </w:p>
        </w:tc>
      </w:tr>
    </w:tbl>
    <w:p>
      <w:pPr>
        <w:spacing w:after="0" w:line="322" w:lineRule="exact"/>
        <w:rPr>
          <w:sz w:val="20"/>
          <w:szCs w:val="20"/>
          <w:color w:val="auto"/>
        </w:rPr>
      </w:pPr>
    </w:p>
    <w:p>
      <w:pPr>
        <w:ind w:left="80"/>
        <w:spacing w:after="0"/>
        <w:rPr>
          <w:sz w:val="20"/>
          <w:szCs w:val="20"/>
          <w:color w:val="auto"/>
        </w:rPr>
      </w:pPr>
      <w:r>
        <w:rPr>
          <w:rFonts w:ascii="Arial" w:cs="Arial" w:eastAsia="Arial" w:hAnsi="Arial"/>
          <w:sz w:val="22"/>
          <w:szCs w:val="22"/>
          <w:b w:val="1"/>
          <w:bCs w:val="1"/>
          <w:u w:val="single" w:color="auto"/>
          <w:color w:val="auto"/>
        </w:rPr>
        <w:t>LETTER AGREEMENTS, continued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220" w:type="dxa"/>
            <w:vAlign w:val="bottom"/>
            <w:gridSpan w:val="2"/>
          </w:tcPr>
          <w:p>
            <w:pPr>
              <w:ind w:left="80"/>
              <w:spacing w:after="0"/>
              <w:rPr>
                <w:sz w:val="20"/>
                <w:szCs w:val="20"/>
                <w:color w:val="auto"/>
              </w:rPr>
            </w:pPr>
            <w:r>
              <w:rPr>
                <w:rFonts w:ascii="Arial" w:cs="Arial" w:eastAsia="Arial" w:hAnsi="Arial"/>
                <w:sz w:val="22"/>
                <w:szCs w:val="22"/>
                <w:color w:val="auto"/>
              </w:rPr>
              <w:t>LA-1106661R2</w:t>
            </w: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270"/>
        </w:trPr>
        <w:tc>
          <w:tcPr>
            <w:tcW w:w="1360" w:type="dxa"/>
            <w:vAlign w:val="bottom"/>
          </w:tcPr>
          <w:p>
            <w:pPr>
              <w:ind w:left="80"/>
              <w:spacing w:after="0"/>
              <w:rPr>
                <w:sz w:val="20"/>
                <w:szCs w:val="20"/>
                <w:color w:val="auto"/>
              </w:rPr>
            </w:pPr>
            <w:r>
              <w:rPr>
                <w:rFonts w:ascii="Arial" w:cs="Arial" w:eastAsia="Arial" w:hAnsi="Arial"/>
                <w:sz w:val="22"/>
                <w:szCs w:val="22"/>
                <w:color w:val="auto"/>
              </w:rPr>
              <w:t>LA-1106667</w:t>
            </w:r>
          </w:p>
        </w:tc>
        <w:tc>
          <w:tcPr>
            <w:tcW w:w="860" w:type="dxa"/>
            <w:vAlign w:val="bottom"/>
          </w:tcPr>
          <w:p>
            <w:pPr>
              <w:spacing w:after="0"/>
              <w:rPr>
                <w:sz w:val="23"/>
                <w:szCs w:val="23"/>
                <w:color w:val="auto"/>
              </w:rPr>
            </w:pP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270"/>
        </w:trPr>
        <w:tc>
          <w:tcPr>
            <w:tcW w:w="2220" w:type="dxa"/>
            <w:vAlign w:val="bottom"/>
            <w:gridSpan w:val="2"/>
          </w:tcPr>
          <w:p>
            <w:pPr>
              <w:ind w:left="80"/>
              <w:spacing w:after="0"/>
              <w:rPr>
                <w:sz w:val="20"/>
                <w:szCs w:val="20"/>
                <w:color w:val="auto"/>
              </w:rPr>
            </w:pPr>
            <w:r>
              <w:rPr>
                <w:rFonts w:ascii="Arial" w:cs="Arial" w:eastAsia="Arial" w:hAnsi="Arial"/>
                <w:sz w:val="22"/>
                <w:szCs w:val="22"/>
                <w:color w:val="auto"/>
              </w:rPr>
              <w:t>LA-1106668R1</w:t>
            </w: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270"/>
        </w:trPr>
        <w:tc>
          <w:tcPr>
            <w:tcW w:w="1360" w:type="dxa"/>
            <w:vAlign w:val="bottom"/>
          </w:tcPr>
          <w:p>
            <w:pPr>
              <w:ind w:left="80"/>
              <w:spacing w:after="0"/>
              <w:rPr>
                <w:sz w:val="20"/>
                <w:szCs w:val="20"/>
                <w:color w:val="auto"/>
              </w:rPr>
            </w:pPr>
            <w:r>
              <w:rPr>
                <w:rFonts w:ascii="Arial" w:cs="Arial" w:eastAsia="Arial" w:hAnsi="Arial"/>
                <w:sz w:val="22"/>
                <w:szCs w:val="22"/>
                <w:color w:val="auto"/>
              </w:rPr>
              <w:t>LA-1106669</w:t>
            </w:r>
          </w:p>
        </w:tc>
        <w:tc>
          <w:tcPr>
            <w:tcW w:w="860" w:type="dxa"/>
            <w:vAlign w:val="bottom"/>
          </w:tcPr>
          <w:p>
            <w:pPr>
              <w:spacing w:after="0"/>
              <w:rPr>
                <w:sz w:val="23"/>
                <w:szCs w:val="23"/>
                <w:color w:val="auto"/>
              </w:rPr>
            </w:pP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270"/>
        </w:trPr>
        <w:tc>
          <w:tcPr>
            <w:tcW w:w="1360" w:type="dxa"/>
            <w:vAlign w:val="bottom"/>
          </w:tcPr>
          <w:p>
            <w:pPr>
              <w:ind w:left="80"/>
              <w:spacing w:after="0"/>
              <w:rPr>
                <w:sz w:val="20"/>
                <w:szCs w:val="20"/>
                <w:color w:val="auto"/>
              </w:rPr>
            </w:pPr>
            <w:r>
              <w:rPr>
                <w:rFonts w:ascii="Arial" w:cs="Arial" w:eastAsia="Arial" w:hAnsi="Arial"/>
                <w:sz w:val="22"/>
                <w:szCs w:val="22"/>
                <w:color w:val="auto"/>
              </w:rPr>
              <w:t>LA-1106670</w:t>
            </w:r>
          </w:p>
        </w:tc>
        <w:tc>
          <w:tcPr>
            <w:tcW w:w="860" w:type="dxa"/>
            <w:vAlign w:val="bottom"/>
          </w:tcPr>
          <w:p>
            <w:pPr>
              <w:spacing w:after="0"/>
              <w:rPr>
                <w:sz w:val="23"/>
                <w:szCs w:val="23"/>
                <w:color w:val="auto"/>
              </w:rPr>
            </w:pPr>
          </w:p>
        </w:tc>
        <w:tc>
          <w:tcPr>
            <w:tcW w:w="3420" w:type="dxa"/>
            <w:vAlign w:val="bottom"/>
          </w:tcPr>
          <w:p>
            <w:pPr>
              <w:ind w:left="260"/>
              <w:spacing w:after="0"/>
              <w:rPr>
                <w:sz w:val="20"/>
                <w:szCs w:val="20"/>
                <w:color w:val="auto"/>
              </w:rPr>
            </w:pPr>
            <w:r>
              <w:rPr>
                <w:rFonts w:ascii="Arial" w:cs="Arial" w:eastAsia="Arial" w:hAnsi="Arial"/>
                <w:sz w:val="22"/>
                <w:szCs w:val="22"/>
                <w:color w:val="auto"/>
              </w:rPr>
              <w:t>Confidentiality</w:t>
            </w:r>
          </w:p>
        </w:tc>
      </w:tr>
      <w:tr>
        <w:trPr>
          <w:trHeight w:val="270"/>
        </w:trPr>
        <w:tc>
          <w:tcPr>
            <w:tcW w:w="2220" w:type="dxa"/>
            <w:vAlign w:val="bottom"/>
            <w:gridSpan w:val="2"/>
          </w:tcPr>
          <w:p>
            <w:pPr>
              <w:ind w:left="80"/>
              <w:spacing w:after="0"/>
              <w:rPr>
                <w:sz w:val="20"/>
                <w:szCs w:val="20"/>
                <w:color w:val="auto"/>
              </w:rPr>
            </w:pPr>
            <w:r>
              <w:rPr>
                <w:rFonts w:ascii="Arial" w:cs="Arial" w:eastAsia="Arial" w:hAnsi="Arial"/>
                <w:sz w:val="22"/>
                <w:szCs w:val="22"/>
                <w:color w:val="auto"/>
              </w:rPr>
              <w:t>LA-1106671R1</w:t>
            </w:r>
          </w:p>
        </w:tc>
        <w:tc>
          <w:tcPr>
            <w:tcW w:w="3420" w:type="dxa"/>
            <w:vAlign w:val="bottom"/>
          </w:tcPr>
          <w:p>
            <w:pPr>
              <w:ind w:left="260"/>
              <w:spacing w:after="0"/>
              <w:rPr>
                <w:sz w:val="20"/>
                <w:szCs w:val="20"/>
                <w:color w:val="auto"/>
              </w:rPr>
            </w:pPr>
            <w:r>
              <w:rPr>
                <w:rFonts w:ascii="Arial" w:cs="Arial" w:eastAsia="Arial" w:hAnsi="Arial"/>
                <w:sz w:val="22"/>
                <w:szCs w:val="22"/>
                <w:color w:val="auto"/>
              </w:rPr>
              <w:t>Miscellaneous Commitments</w:t>
            </w:r>
          </w:p>
        </w:tc>
      </w:tr>
      <w:tr>
        <w:trPr>
          <w:trHeight w:val="270"/>
        </w:trPr>
        <w:tc>
          <w:tcPr>
            <w:tcW w:w="1360" w:type="dxa"/>
            <w:vAlign w:val="bottom"/>
          </w:tcPr>
          <w:p>
            <w:pPr>
              <w:ind w:left="80"/>
              <w:spacing w:after="0"/>
              <w:rPr>
                <w:sz w:val="20"/>
                <w:szCs w:val="20"/>
                <w:color w:val="auto"/>
              </w:rPr>
            </w:pPr>
            <w:r>
              <w:rPr>
                <w:rFonts w:ascii="Arial" w:cs="Arial" w:eastAsia="Arial" w:hAnsi="Arial"/>
                <w:sz w:val="22"/>
                <w:szCs w:val="22"/>
                <w:color w:val="auto"/>
              </w:rPr>
              <w:t>LA-1106672</w:t>
            </w:r>
          </w:p>
        </w:tc>
        <w:tc>
          <w:tcPr>
            <w:tcW w:w="860" w:type="dxa"/>
            <w:vAlign w:val="bottom"/>
          </w:tcPr>
          <w:p>
            <w:pPr>
              <w:spacing w:after="0"/>
              <w:rPr>
                <w:sz w:val="23"/>
                <w:szCs w:val="23"/>
                <w:color w:val="auto"/>
              </w:rPr>
            </w:pPr>
          </w:p>
        </w:tc>
        <w:tc>
          <w:tcPr>
            <w:tcW w:w="3420" w:type="dxa"/>
            <w:vAlign w:val="bottom"/>
          </w:tcPr>
          <w:p>
            <w:pPr>
              <w:ind w:left="260"/>
              <w:spacing w:after="0"/>
              <w:rPr>
                <w:sz w:val="20"/>
                <w:szCs w:val="20"/>
                <w:color w:val="auto"/>
              </w:rPr>
            </w:pPr>
            <w:r>
              <w:rPr>
                <w:rFonts w:ascii="Arial" w:cs="Arial" w:eastAsia="Arial" w:hAnsi="Arial"/>
                <w:sz w:val="22"/>
                <w:szCs w:val="22"/>
                <w:color w:val="auto"/>
              </w:rPr>
              <w:t>Extended Warranty Option</w:t>
            </w:r>
          </w:p>
        </w:tc>
      </w:tr>
      <w:tr>
        <w:trPr>
          <w:trHeight w:val="270"/>
        </w:trPr>
        <w:tc>
          <w:tcPr>
            <w:tcW w:w="2220" w:type="dxa"/>
            <w:vAlign w:val="bottom"/>
            <w:gridSpan w:val="2"/>
          </w:tcPr>
          <w:p>
            <w:pPr>
              <w:ind w:left="80"/>
              <w:spacing w:after="0"/>
              <w:rPr>
                <w:sz w:val="20"/>
                <w:szCs w:val="20"/>
                <w:color w:val="auto"/>
              </w:rPr>
            </w:pPr>
            <w:r>
              <w:rPr>
                <w:rFonts w:ascii="Arial" w:cs="Arial" w:eastAsia="Arial" w:hAnsi="Arial"/>
                <w:sz w:val="22"/>
                <w:szCs w:val="22"/>
                <w:color w:val="auto"/>
              </w:rPr>
              <w:t>LA-1106673R1*</w:t>
            </w: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270"/>
        </w:trPr>
        <w:tc>
          <w:tcPr>
            <w:tcW w:w="1360" w:type="dxa"/>
            <w:vAlign w:val="bottom"/>
          </w:tcPr>
          <w:p>
            <w:pPr>
              <w:ind w:left="80"/>
              <w:spacing w:after="0"/>
              <w:rPr>
                <w:sz w:val="20"/>
                <w:szCs w:val="20"/>
                <w:color w:val="auto"/>
              </w:rPr>
            </w:pPr>
            <w:r>
              <w:rPr>
                <w:rFonts w:ascii="Arial" w:cs="Arial" w:eastAsia="Arial" w:hAnsi="Arial"/>
                <w:sz w:val="22"/>
                <w:szCs w:val="22"/>
                <w:color w:val="auto"/>
              </w:rPr>
              <w:t>LA-1106677</w:t>
            </w:r>
          </w:p>
        </w:tc>
        <w:tc>
          <w:tcPr>
            <w:tcW w:w="860" w:type="dxa"/>
            <w:vAlign w:val="bottom"/>
          </w:tcPr>
          <w:p>
            <w:pPr>
              <w:spacing w:after="0"/>
              <w:rPr>
                <w:sz w:val="23"/>
                <w:szCs w:val="23"/>
                <w:color w:val="auto"/>
              </w:rPr>
            </w:pPr>
          </w:p>
        </w:tc>
        <w:tc>
          <w:tcPr>
            <w:tcW w:w="3420" w:type="dxa"/>
            <w:vAlign w:val="bottom"/>
          </w:tcPr>
          <w:p>
            <w:pPr>
              <w:ind w:left="260"/>
              <w:spacing w:after="0"/>
              <w:rPr>
                <w:sz w:val="20"/>
                <w:szCs w:val="20"/>
                <w:color w:val="auto"/>
              </w:rPr>
            </w:pPr>
            <w:r>
              <w:rPr>
                <w:rFonts w:ascii="Arial" w:cs="Arial" w:eastAsia="Arial" w:hAnsi="Arial"/>
                <w:sz w:val="22"/>
                <w:szCs w:val="22"/>
                <w:color w:val="auto"/>
                <w:w w:val="97"/>
              </w:rPr>
              <w:t>Optional Features Comfort Letter</w:t>
            </w:r>
          </w:p>
        </w:tc>
      </w:tr>
      <w:tr>
        <w:trPr>
          <w:trHeight w:val="275"/>
        </w:trPr>
        <w:tc>
          <w:tcPr>
            <w:tcW w:w="1360" w:type="dxa"/>
            <w:vAlign w:val="bottom"/>
          </w:tcPr>
          <w:p>
            <w:pPr>
              <w:ind w:left="80"/>
              <w:spacing w:after="0"/>
              <w:rPr>
                <w:sz w:val="20"/>
                <w:szCs w:val="20"/>
                <w:color w:val="auto"/>
              </w:rPr>
            </w:pPr>
            <w:r>
              <w:rPr>
                <w:rFonts w:ascii="Arial" w:cs="Arial" w:eastAsia="Arial" w:hAnsi="Arial"/>
                <w:sz w:val="22"/>
                <w:szCs w:val="22"/>
                <w:color w:val="auto"/>
              </w:rPr>
              <w:t>LA-1600073</w:t>
            </w:r>
          </w:p>
        </w:tc>
        <w:tc>
          <w:tcPr>
            <w:tcW w:w="860" w:type="dxa"/>
            <w:vAlign w:val="bottom"/>
          </w:tcPr>
          <w:p>
            <w:pPr>
              <w:spacing w:after="0"/>
              <w:rPr>
                <w:sz w:val="23"/>
                <w:szCs w:val="23"/>
                <w:color w:val="auto"/>
              </w:rPr>
            </w:pPr>
          </w:p>
        </w:tc>
        <w:tc>
          <w:tcPr>
            <w:tcW w:w="3420" w:type="dxa"/>
            <w:vAlign w:val="bottom"/>
          </w:tcPr>
          <w:p>
            <w:pPr>
              <w:ind w:left="260"/>
              <w:spacing w:after="0"/>
              <w:rPr>
                <w:sz w:val="20"/>
                <w:szCs w:val="20"/>
                <w:color w:val="auto"/>
              </w:rPr>
            </w:pPr>
            <w:r>
              <w:rPr>
                <w:rFonts w:ascii="Arial" w:cs="Arial" w:eastAsia="Arial" w:hAnsi="Arial"/>
                <w:sz w:val="19"/>
                <w:szCs w:val="19"/>
                <w:color w:val="auto"/>
              </w:rPr>
              <w:t>[****]</w:t>
            </w:r>
          </w:p>
        </w:tc>
      </w:tr>
      <w:tr>
        <w:trPr>
          <w:trHeight w:val="278"/>
        </w:trPr>
        <w:tc>
          <w:tcPr>
            <w:tcW w:w="1360" w:type="dxa"/>
            <w:vAlign w:val="bottom"/>
          </w:tcPr>
          <w:p>
            <w:pPr>
              <w:spacing w:after="0"/>
              <w:rPr>
                <w:sz w:val="20"/>
                <w:szCs w:val="20"/>
                <w:color w:val="auto"/>
              </w:rPr>
            </w:pPr>
            <w:r>
              <w:rPr>
                <w:rFonts w:ascii="Arial" w:cs="Arial" w:eastAsia="Arial" w:hAnsi="Arial"/>
                <w:sz w:val="22"/>
                <w:szCs w:val="22"/>
                <w:color w:val="auto"/>
              </w:rPr>
              <w:t>LA-1600852</w:t>
            </w:r>
          </w:p>
        </w:tc>
        <w:tc>
          <w:tcPr>
            <w:tcW w:w="860" w:type="dxa"/>
            <w:vAlign w:val="bottom"/>
          </w:tcPr>
          <w:p>
            <w:pPr>
              <w:ind w:left="120"/>
              <w:spacing w:after="0"/>
              <w:rPr>
                <w:sz w:val="20"/>
                <w:szCs w:val="20"/>
                <w:color w:val="auto"/>
              </w:rPr>
            </w:pPr>
            <w:r>
              <w:rPr>
                <w:rFonts w:ascii="Arial" w:cs="Arial" w:eastAsia="Arial" w:hAnsi="Arial"/>
                <w:sz w:val="19"/>
                <w:szCs w:val="19"/>
                <w:color w:val="auto"/>
              </w:rPr>
              <w:t>[****]</w:t>
            </w:r>
          </w:p>
        </w:tc>
        <w:tc>
          <w:tcPr>
            <w:tcW w:w="3420" w:type="dxa"/>
            <w:vAlign w:val="bottom"/>
          </w:tcPr>
          <w:p>
            <w:pPr>
              <w:ind w:left="1640"/>
              <w:spacing w:after="0"/>
              <w:rPr>
                <w:sz w:val="20"/>
                <w:szCs w:val="20"/>
                <w:color w:val="auto"/>
              </w:rPr>
            </w:pPr>
            <w:r>
              <w:rPr>
                <w:rFonts w:ascii="Arial" w:cs="Arial" w:eastAsia="Arial" w:hAnsi="Arial"/>
                <w:sz w:val="22"/>
                <w:szCs w:val="22"/>
                <w:color w:val="auto"/>
              </w:rPr>
              <w:t>5</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2"/>
                <w:szCs w:val="22"/>
                <w:color w:val="auto"/>
              </w:rPr>
              <w:t>LA-1603773 [****]</w:t>
            </w:r>
          </w:p>
        </w:tc>
        <w:tc>
          <w:tcPr>
            <w:tcW w:w="3420" w:type="dxa"/>
            <w:vAlign w:val="bottom"/>
          </w:tcPr>
          <w:p>
            <w:pPr>
              <w:ind w:left="740"/>
              <w:spacing w:after="0" w:line="216" w:lineRule="exact"/>
              <w:rPr>
                <w:sz w:val="20"/>
                <w:szCs w:val="20"/>
                <w:color w:val="auto"/>
              </w:rPr>
            </w:pPr>
            <w:r>
              <w:rPr>
                <w:rFonts w:ascii="Arial" w:cs="Arial" w:eastAsia="Arial" w:hAnsi="Arial"/>
                <w:sz w:val="22"/>
                <w:szCs w:val="22"/>
                <w:color w:val="auto"/>
              </w:rPr>
              <w:t>5</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2"/>
                <w:szCs w:val="22"/>
                <w:color w:val="auto"/>
              </w:rPr>
              <w:t>LA-1605402R1 [****]</w:t>
            </w:r>
          </w:p>
        </w:tc>
        <w:tc>
          <w:tcPr>
            <w:tcW w:w="3420" w:type="dxa"/>
            <w:vAlign w:val="bottom"/>
          </w:tcPr>
          <w:p>
            <w:pPr>
              <w:ind w:left="1500"/>
              <w:spacing w:after="0" w:line="216" w:lineRule="exact"/>
              <w:rPr>
                <w:sz w:val="20"/>
                <w:szCs w:val="20"/>
                <w:color w:val="auto"/>
              </w:rPr>
            </w:pPr>
            <w:r>
              <w:rPr>
                <w:rFonts w:ascii="Arial" w:cs="Arial" w:eastAsia="Arial" w:hAnsi="Arial"/>
                <w:sz w:val="22"/>
                <w:szCs w:val="22"/>
                <w:color w:val="auto"/>
              </w:rPr>
              <w:t>23</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LA-1700919</w:t>
            </w:r>
          </w:p>
        </w:tc>
        <w:tc>
          <w:tcPr>
            <w:tcW w:w="86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20" w:type="dxa"/>
            <w:vAlign w:val="bottom"/>
          </w:tcPr>
          <w:p>
            <w:pPr>
              <w:ind w:left="1760"/>
              <w:spacing w:after="0" w:line="216" w:lineRule="exact"/>
              <w:rPr>
                <w:sz w:val="20"/>
                <w:szCs w:val="20"/>
                <w:color w:val="auto"/>
              </w:rPr>
            </w:pPr>
            <w:r>
              <w:rPr>
                <w:rFonts w:ascii="Arial" w:cs="Arial" w:eastAsia="Arial" w:hAnsi="Arial"/>
                <w:sz w:val="22"/>
                <w:szCs w:val="22"/>
                <w:color w:val="auto"/>
              </w:rPr>
              <w:t>7</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LA-1801206</w:t>
            </w:r>
          </w:p>
        </w:tc>
        <w:tc>
          <w:tcPr>
            <w:tcW w:w="86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20" w:type="dxa"/>
            <w:vAlign w:val="bottom"/>
          </w:tcPr>
          <w:p>
            <w:pPr>
              <w:ind w:left="1220"/>
              <w:spacing w:after="0" w:line="216" w:lineRule="exact"/>
              <w:rPr>
                <w:sz w:val="20"/>
                <w:szCs w:val="20"/>
                <w:color w:val="auto"/>
              </w:rPr>
            </w:pPr>
            <w:r>
              <w:rPr>
                <w:rFonts w:ascii="Arial" w:cs="Arial" w:eastAsia="Arial" w:hAnsi="Arial"/>
                <w:sz w:val="22"/>
                <w:szCs w:val="22"/>
                <w:color w:val="auto"/>
              </w:rPr>
              <w:t>9</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2"/>
                <w:szCs w:val="22"/>
                <w:color w:val="auto"/>
              </w:rPr>
              <w:t>LA-2002704 [****]</w:t>
            </w:r>
          </w:p>
        </w:tc>
        <w:tc>
          <w:tcPr>
            <w:tcW w:w="3420" w:type="dxa"/>
            <w:vAlign w:val="bottom"/>
          </w:tcPr>
          <w:p>
            <w:pPr>
              <w:ind w:left="1280"/>
              <w:spacing w:after="0" w:line="216" w:lineRule="exact"/>
              <w:rPr>
                <w:sz w:val="20"/>
                <w:szCs w:val="20"/>
                <w:color w:val="auto"/>
              </w:rPr>
            </w:pPr>
            <w:r>
              <w:rPr>
                <w:rFonts w:ascii="Arial" w:cs="Arial" w:eastAsia="Arial" w:hAnsi="Arial"/>
                <w:sz w:val="22"/>
                <w:szCs w:val="22"/>
                <w:color w:val="auto"/>
              </w:rPr>
              <w:t>11</w:t>
            </w:r>
          </w:p>
        </w:tc>
      </w:tr>
      <w:tr>
        <w:trPr>
          <w:trHeight w:val="216"/>
        </w:trPr>
        <w:tc>
          <w:tcPr>
            <w:tcW w:w="2220" w:type="dxa"/>
            <w:vAlign w:val="bottom"/>
            <w:gridSpan w:val="2"/>
          </w:tcPr>
          <w:p>
            <w:pPr>
              <w:spacing w:after="0" w:line="216" w:lineRule="exact"/>
              <w:rPr>
                <w:sz w:val="20"/>
                <w:szCs w:val="20"/>
                <w:color w:val="auto"/>
              </w:rPr>
            </w:pPr>
            <w:r>
              <w:rPr>
                <w:rFonts w:ascii="Arial" w:cs="Arial" w:eastAsia="Arial" w:hAnsi="Arial"/>
                <w:sz w:val="22"/>
                <w:szCs w:val="22"/>
                <w:color w:val="auto"/>
              </w:rPr>
              <w:t>LA-2002743 [****]</w:t>
            </w:r>
          </w:p>
        </w:tc>
        <w:tc>
          <w:tcPr>
            <w:tcW w:w="3420" w:type="dxa"/>
            <w:vAlign w:val="bottom"/>
          </w:tcPr>
          <w:p>
            <w:pPr>
              <w:ind w:left="1280"/>
              <w:spacing w:after="0" w:line="216" w:lineRule="exact"/>
              <w:rPr>
                <w:sz w:val="20"/>
                <w:szCs w:val="20"/>
                <w:color w:val="auto"/>
              </w:rPr>
            </w:pPr>
            <w:r>
              <w:rPr>
                <w:rFonts w:ascii="Arial" w:cs="Arial" w:eastAsia="Arial" w:hAnsi="Arial"/>
                <w:sz w:val="22"/>
                <w:szCs w:val="22"/>
                <w:color w:val="auto"/>
              </w:rPr>
              <w:t>11</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LA-2003342</w:t>
            </w:r>
          </w:p>
        </w:tc>
        <w:tc>
          <w:tcPr>
            <w:tcW w:w="86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20" w:type="dxa"/>
            <w:vAlign w:val="bottom"/>
          </w:tcPr>
          <w:p>
            <w:pPr>
              <w:ind w:left="1760"/>
              <w:spacing w:after="0" w:line="216" w:lineRule="exact"/>
              <w:rPr>
                <w:sz w:val="20"/>
                <w:szCs w:val="20"/>
                <w:color w:val="auto"/>
              </w:rPr>
            </w:pPr>
            <w:r>
              <w:rPr>
                <w:rFonts w:ascii="Arial" w:cs="Arial" w:eastAsia="Arial" w:hAnsi="Arial"/>
                <w:sz w:val="22"/>
                <w:szCs w:val="22"/>
                <w:color w:val="auto"/>
              </w:rPr>
              <w:t>11</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LA-2003486</w:t>
            </w:r>
          </w:p>
        </w:tc>
        <w:tc>
          <w:tcPr>
            <w:tcW w:w="86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20" w:type="dxa"/>
            <w:vAlign w:val="bottom"/>
          </w:tcPr>
          <w:p>
            <w:pPr>
              <w:ind w:left="2000"/>
              <w:spacing w:after="0" w:line="216" w:lineRule="exact"/>
              <w:rPr>
                <w:sz w:val="20"/>
                <w:szCs w:val="20"/>
                <w:color w:val="auto"/>
              </w:rPr>
            </w:pPr>
            <w:r>
              <w:rPr>
                <w:rFonts w:ascii="Arial" w:cs="Arial" w:eastAsia="Arial" w:hAnsi="Arial"/>
                <w:sz w:val="22"/>
                <w:szCs w:val="22"/>
                <w:color w:val="auto"/>
              </w:rPr>
              <w:t>14</w:t>
            </w:r>
          </w:p>
        </w:tc>
      </w:tr>
      <w:tr>
        <w:trPr>
          <w:trHeight w:val="275"/>
        </w:trPr>
        <w:tc>
          <w:tcPr>
            <w:tcW w:w="1360" w:type="dxa"/>
            <w:vAlign w:val="bottom"/>
          </w:tcPr>
          <w:p>
            <w:pPr>
              <w:spacing w:after="0"/>
              <w:rPr>
                <w:sz w:val="20"/>
                <w:szCs w:val="20"/>
                <w:color w:val="auto"/>
              </w:rPr>
            </w:pPr>
            <w:r>
              <w:rPr>
                <w:rFonts w:ascii="Arial" w:cs="Arial" w:eastAsia="Arial" w:hAnsi="Arial"/>
                <w:sz w:val="22"/>
                <w:szCs w:val="22"/>
                <w:color w:val="auto"/>
              </w:rPr>
              <w:t>LA-2204032</w:t>
            </w:r>
          </w:p>
        </w:tc>
        <w:tc>
          <w:tcPr>
            <w:tcW w:w="860" w:type="dxa"/>
            <w:vAlign w:val="bottom"/>
          </w:tcPr>
          <w:p>
            <w:pPr>
              <w:ind w:left="120"/>
              <w:spacing w:after="0"/>
              <w:rPr>
                <w:sz w:val="20"/>
                <w:szCs w:val="20"/>
                <w:color w:val="auto"/>
              </w:rPr>
            </w:pPr>
            <w:r>
              <w:rPr>
                <w:rFonts w:ascii="Arial" w:cs="Arial" w:eastAsia="Arial" w:hAnsi="Arial"/>
                <w:sz w:val="22"/>
                <w:szCs w:val="22"/>
                <w:color w:val="auto"/>
              </w:rPr>
              <w:t>[****]</w:t>
            </w:r>
          </w:p>
        </w:tc>
        <w:tc>
          <w:tcPr>
            <w:tcW w:w="3420" w:type="dxa"/>
            <w:vAlign w:val="bottom"/>
          </w:tcPr>
          <w:p>
            <w:pPr>
              <w:ind w:left="2000"/>
              <w:spacing w:after="0"/>
              <w:rPr>
                <w:sz w:val="20"/>
                <w:szCs w:val="20"/>
                <w:color w:val="auto"/>
              </w:rPr>
            </w:pPr>
            <w:r>
              <w:rPr>
                <w:rFonts w:ascii="Arial" w:cs="Arial" w:eastAsia="Arial" w:hAnsi="Arial"/>
                <w:sz w:val="22"/>
                <w:szCs w:val="22"/>
                <w:color w:val="auto"/>
              </w:rPr>
              <w:t>28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28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SA</w:t>
      </w:r>
    </w:p>
    <w:p>
      <w:pPr>
        <w:jc w:val="center"/>
        <w:ind w:right="40"/>
        <w:spacing w:after="0"/>
        <w:rPr>
          <w:sz w:val="20"/>
          <w:szCs w:val="20"/>
          <w:color w:val="auto"/>
        </w:rPr>
      </w:pPr>
      <w:r>
        <w:rPr>
          <w:rFonts w:ascii="Arial" w:cs="Arial" w:eastAsia="Arial" w:hAnsi="Arial"/>
          <w:sz w:val="21"/>
          <w:szCs w:val="21"/>
          <w:b w:val="1"/>
          <w:bCs w:val="1"/>
          <w:u w:val="single" w:color="auto"/>
          <w:color w:val="auto"/>
        </w:rPr>
        <w:t>NUMBER</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35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1</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488" w:lineRule="exact"/>
        <w:rPr>
          <w:sz w:val="20"/>
          <w:szCs w:val="20"/>
          <w:color w:val="auto"/>
        </w:rPr>
      </w:pPr>
    </w:p>
    <w:p>
      <w:pPr>
        <w:sectPr>
          <w:pgSz w:w="11900" w:h="16838" w:orient="portrait"/>
          <w:cols w:equalWidth="0" w:num="2">
            <w:col w:w="9300" w:space="720"/>
            <w:col w:w="1000"/>
          </w:cols>
          <w:pgMar w:left="320" w:top="1440" w:right="559" w:bottom="1440" w:gutter="0" w:footer="0" w:header="0"/>
        </w:sectPr>
      </w:pPr>
    </w:p>
    <w:p>
      <w:pPr>
        <w:ind w:firstLine="8"/>
        <w:spacing w:after="0" w:line="233" w:lineRule="auto"/>
        <w:tabs>
          <w:tab w:leader="none" w:pos="144" w:val="left"/>
        </w:tabs>
        <w:numPr>
          <w:ilvl w:val="0"/>
          <w:numId w:val="52"/>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SA-31</w:t>
      </w:r>
    </w:p>
    <w:p>
      <w:pPr>
        <w:jc w:val="center"/>
        <w:ind w:right="-23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20"/>
          </w:cols>
          <w:pgMar w:left="320" w:top="1440" w:right="559" w:bottom="1440" w:gutter="0" w:footer="0" w:header="0"/>
          <w:type w:val="continuous"/>
        </w:sectPr>
      </w:pPr>
    </w:p>
    <w:bookmarkStart w:id="102" w:name="page103"/>
    <w:bookmarkEnd w:id="102"/>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91615" cy="3429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Table 1-5R2 To</w:t>
      </w:r>
    </w:p>
    <w:p>
      <w:pPr>
        <w:jc w:val="center"/>
        <w:ind w:right="-59"/>
        <w:spacing w:after="0" w:line="204" w:lineRule="auto"/>
        <w:rPr>
          <w:sz w:val="20"/>
          <w:szCs w:val="20"/>
          <w:color w:val="auto"/>
        </w:rPr>
      </w:pPr>
      <w:r>
        <w:rPr>
          <w:rFonts w:ascii="Arial" w:cs="Arial" w:eastAsia="Arial" w:hAnsi="Arial"/>
          <w:sz w:val="22"/>
          <w:szCs w:val="22"/>
          <w:b w:val="1"/>
          <w:bCs w:val="1"/>
          <w:color w:val="auto"/>
        </w:rPr>
        <w:t>Purchase Agreement No. PA-03735</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 737-8 [****] Aircraft Delivery, Description, Price and Advance Payments</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Airframe</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80" w:type="dxa"/>
            <w:vAlign w:val="bottom"/>
            <w:gridSpan w:val="3"/>
          </w:tcPr>
          <w:p>
            <w:pPr>
              <w:ind w:left="80"/>
              <w:spacing w:after="0"/>
              <w:rPr>
                <w:sz w:val="20"/>
                <w:szCs w:val="20"/>
                <w:color w:val="auto"/>
              </w:rPr>
            </w:pPr>
            <w:r>
              <w:rPr>
                <w:rFonts w:ascii="Arial" w:cs="Arial" w:eastAsia="Arial" w:hAnsi="Arial"/>
                <w:sz w:val="18"/>
                <w:szCs w:val="18"/>
                <w:b w:val="1"/>
                <w:bCs w:val="1"/>
                <w:color w:val="auto"/>
              </w:rPr>
              <w:t>Model/MTOW:</w:t>
            </w:r>
          </w:p>
        </w:tc>
        <w:tc>
          <w:tcPr>
            <w:tcW w:w="1020" w:type="dxa"/>
            <w:vAlign w:val="bottom"/>
          </w:tcPr>
          <w:p>
            <w:pPr>
              <w:jc w:val="right"/>
              <w:ind w:right="251"/>
              <w:spacing w:after="0"/>
              <w:rPr>
                <w:sz w:val="20"/>
                <w:szCs w:val="20"/>
                <w:color w:val="auto"/>
              </w:rPr>
            </w:pPr>
            <w:r>
              <w:rPr>
                <w:rFonts w:ascii="Arial" w:cs="Arial" w:eastAsia="Arial" w:hAnsi="Arial"/>
                <w:sz w:val="18"/>
                <w:szCs w:val="18"/>
                <w:color w:val="auto"/>
              </w:rPr>
              <w:t>737-8</w:t>
            </w:r>
          </w:p>
        </w:tc>
        <w:tc>
          <w:tcPr>
            <w:tcW w:w="1760" w:type="dxa"/>
            <w:vAlign w:val="bottom"/>
            <w:gridSpan w:val="2"/>
          </w:tcPr>
          <w:p>
            <w:pPr>
              <w:ind w:left="440"/>
              <w:spacing w:after="0"/>
              <w:rPr>
                <w:sz w:val="20"/>
                <w:szCs w:val="20"/>
                <w:color w:val="auto"/>
              </w:rPr>
            </w:pPr>
            <w:r>
              <w:rPr>
                <w:rFonts w:ascii="Arial" w:cs="Arial" w:eastAsia="Arial" w:hAnsi="Arial"/>
                <w:sz w:val="18"/>
                <w:szCs w:val="18"/>
                <w:color w:val="auto"/>
              </w:rPr>
              <w:t>[****] pounds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3"/>
          </w:tcPr>
          <w:p>
            <w:pPr>
              <w:spacing w:after="0"/>
              <w:rPr>
                <w:sz w:val="20"/>
                <w:szCs w:val="20"/>
                <w:color w:val="auto"/>
              </w:rPr>
            </w:pPr>
            <w:r>
              <w:rPr>
                <w:rFonts w:ascii="Arial" w:cs="Arial" w:eastAsia="Arial" w:hAnsi="Arial"/>
                <w:sz w:val="18"/>
                <w:szCs w:val="18"/>
                <w:b w:val="1"/>
                <w:bCs w:val="1"/>
                <w:color w:val="auto"/>
              </w:rPr>
              <w:t>Detail Specification:</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CFMLEAP-</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gridSpan w:val="4"/>
          </w:tcPr>
          <w:p>
            <w:pPr>
              <w:spacing w:after="0"/>
              <w:rPr>
                <w:sz w:val="20"/>
                <w:szCs w:val="20"/>
                <w:color w:val="auto"/>
              </w:rPr>
            </w:pPr>
            <w:r>
              <w:rPr>
                <w:rFonts w:ascii="Arial" w:cs="Arial" w:eastAsia="Arial" w:hAnsi="Arial"/>
                <w:sz w:val="18"/>
                <w:szCs w:val="18"/>
                <w:b w:val="1"/>
                <w:bCs w:val="1"/>
                <w:color w:val="auto"/>
              </w:rPr>
              <w:t>Airframe Price Base Year/Escalation</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gridSpan w:val="3"/>
          </w:tcPr>
          <w:p>
            <w:pPr>
              <w:ind w:left="80"/>
              <w:spacing w:after="0"/>
              <w:rPr>
                <w:sz w:val="20"/>
                <w:szCs w:val="20"/>
                <w:color w:val="auto"/>
              </w:rPr>
            </w:pPr>
            <w:r>
              <w:rPr>
                <w:rFonts w:ascii="Arial" w:cs="Arial" w:eastAsia="Arial" w:hAnsi="Arial"/>
                <w:sz w:val="18"/>
                <w:szCs w:val="18"/>
                <w:b w:val="1"/>
                <w:bCs w:val="1"/>
                <w:color w:val="auto"/>
              </w:rPr>
              <w:t>Engine Model/Thrust: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1B25</w:t>
            </w:r>
          </w:p>
        </w:tc>
        <w:tc>
          <w:tcPr>
            <w:tcW w:w="1760" w:type="dxa"/>
            <w:vAlign w:val="bottom"/>
            <w:gridSpan w:val="2"/>
          </w:tcPr>
          <w:p>
            <w:pPr>
              <w:ind w:left="440"/>
              <w:spacing w:after="0"/>
              <w:rPr>
                <w:sz w:val="20"/>
                <w:szCs w:val="20"/>
                <w:color w:val="auto"/>
              </w:rPr>
            </w:pPr>
            <w:r>
              <w:rPr>
                <w:rFonts w:ascii="Arial" w:cs="Arial" w:eastAsia="Arial" w:hAnsi="Arial"/>
                <w:sz w:val="18"/>
                <w:szCs w:val="18"/>
                <w:color w:val="auto"/>
              </w:rPr>
              <w:t>[****] pounds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Formula:</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80" w:type="dxa"/>
            <w:vAlign w:val="bottom"/>
            <w:gridSpan w:val="4"/>
          </w:tcPr>
          <w:p>
            <w:pPr>
              <w:spacing w:after="0"/>
              <w:rPr>
                <w:sz w:val="20"/>
                <w:szCs w:val="20"/>
                <w:color w:val="auto"/>
              </w:rPr>
            </w:pPr>
            <w:r>
              <w:rPr>
                <w:rFonts w:ascii="Arial" w:cs="Arial" w:eastAsia="Arial" w:hAnsi="Arial"/>
                <w:sz w:val="18"/>
                <w:szCs w:val="18"/>
                <w:b w:val="1"/>
                <w:bCs w:val="1"/>
                <w:color w:val="auto"/>
              </w:rPr>
              <w:t>Engine Price Base Year/Escalation</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gridSpan w:val="3"/>
          </w:tcPr>
          <w:p>
            <w:pPr>
              <w:ind w:left="80"/>
              <w:spacing w:after="0"/>
              <w:rPr>
                <w:sz w:val="20"/>
                <w:szCs w:val="20"/>
                <w:color w:val="auto"/>
              </w:rPr>
            </w:pPr>
            <w:r>
              <w:rPr>
                <w:rFonts w:ascii="Arial" w:cs="Arial" w:eastAsia="Arial" w:hAnsi="Arial"/>
                <w:sz w:val="18"/>
                <w:szCs w:val="18"/>
                <w:b w:val="1"/>
                <w:bCs w:val="1"/>
                <w:color w:val="auto"/>
              </w:rPr>
              <w:t>Airframe Price:</w:t>
            </w:r>
          </w:p>
        </w:tc>
        <w:tc>
          <w:tcPr>
            <w:tcW w:w="10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Formula:</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980" w:type="dxa"/>
            <w:vAlign w:val="bottom"/>
            <w:gridSpan w:val="3"/>
          </w:tcPr>
          <w:p>
            <w:pPr>
              <w:ind w:left="80"/>
              <w:spacing w:after="0"/>
              <w:rPr>
                <w:sz w:val="20"/>
                <w:szCs w:val="20"/>
                <w:color w:val="auto"/>
              </w:rPr>
            </w:pPr>
            <w:r>
              <w:rPr>
                <w:rFonts w:ascii="Arial" w:cs="Arial" w:eastAsia="Arial" w:hAnsi="Arial"/>
                <w:sz w:val="18"/>
                <w:szCs w:val="18"/>
                <w:b w:val="1"/>
                <w:bCs w:val="1"/>
                <w:color w:val="auto"/>
              </w:rPr>
              <w:t>Optional Features:</w:t>
            </w:r>
          </w:p>
        </w:tc>
        <w:tc>
          <w:tcPr>
            <w:tcW w:w="10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0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w w:val="93"/>
              </w:rPr>
              <w:t>Sub-Total of Airframe and Features:</w:t>
            </w:r>
          </w:p>
        </w:tc>
        <w:tc>
          <w:tcPr>
            <w:tcW w:w="88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5"/>
              </w:rPr>
              <w:t>Airframe Escalation Data:</w:t>
            </w:r>
          </w:p>
        </w:tc>
        <w:tc>
          <w:tcPr>
            <w:tcW w:w="1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000" w:type="dxa"/>
            <w:vAlign w:val="bottom"/>
            <w:gridSpan w:val="4"/>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40" w:type="dxa"/>
            <w:vAlign w:val="bottom"/>
            <w:gridSpan w:val="3"/>
            <w:vMerge w:val="continue"/>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3000" w:type="dxa"/>
            <w:vAlign w:val="bottom"/>
            <w:gridSpan w:val="4"/>
          </w:tcPr>
          <w:p>
            <w:pPr>
              <w:ind w:left="80"/>
              <w:spacing w:after="0"/>
              <w:rPr>
                <w:sz w:val="20"/>
                <w:szCs w:val="20"/>
                <w:color w:val="auto"/>
              </w:rPr>
            </w:pPr>
            <w:r>
              <w:rPr>
                <w:rFonts w:ascii="Arial" w:cs="Arial" w:eastAsia="Arial" w:hAnsi="Arial"/>
                <w:sz w:val="18"/>
                <w:szCs w:val="18"/>
                <w:b w:val="1"/>
                <w:bCs w:val="1"/>
                <w:color w:val="auto"/>
              </w:rPr>
              <w:t>Engine Price (Per Aircraft):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Base Year Index (ECI):</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000" w:type="dxa"/>
            <w:vAlign w:val="bottom"/>
            <w:gridSpan w:val="4"/>
          </w:tcPr>
          <w:p>
            <w:pPr>
              <w:ind w:left="80"/>
              <w:spacing w:after="0"/>
              <w:rPr>
                <w:sz w:val="20"/>
                <w:szCs w:val="20"/>
                <w:color w:val="auto"/>
              </w:rPr>
            </w:pPr>
            <w:r>
              <w:rPr>
                <w:rFonts w:ascii="Arial" w:cs="Arial" w:eastAsia="Arial" w:hAnsi="Arial"/>
                <w:sz w:val="18"/>
                <w:szCs w:val="18"/>
                <w:b w:val="1"/>
                <w:bCs w:val="1"/>
                <w:color w:val="auto"/>
              </w:rPr>
              <w:t>Aircraft Basic Price (Excluding</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BFE/SPE):</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3"/>
          </w:tcPr>
          <w:p>
            <w:pPr>
              <w:spacing w:after="0"/>
              <w:rPr>
                <w:sz w:val="20"/>
                <w:szCs w:val="20"/>
                <w:color w:val="auto"/>
              </w:rPr>
            </w:pPr>
            <w:r>
              <w:rPr>
                <w:rFonts w:ascii="Arial" w:cs="Arial" w:eastAsia="Arial" w:hAnsi="Arial"/>
                <w:sz w:val="18"/>
                <w:szCs w:val="18"/>
                <w:b w:val="1"/>
                <w:bCs w:val="1"/>
                <w:color w:val="auto"/>
              </w:rPr>
              <w:t>Base Year Index (CPI):</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00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w w:val="97"/>
              </w:rPr>
              <w:t>Buyer Furnished Equipment (BFE)</w:t>
            </w:r>
          </w:p>
        </w:tc>
        <w:tc>
          <w:tcPr>
            <w:tcW w:w="880" w:type="dxa"/>
            <w:vAlign w:val="bottom"/>
            <w:tcBorders>
              <w:bottom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000" w:type="dxa"/>
            <w:vAlign w:val="bottom"/>
            <w:gridSpan w:val="4"/>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00" w:type="dxa"/>
            <w:vAlign w:val="bottom"/>
            <w:gridSpan w:val="4"/>
            <w:vMerge w:val="continue"/>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Estimate:</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0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Seller Purchased Equipment (SPE)</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Estimate:</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0" w:type="dxa"/>
            <w:vAlign w:val="bottom"/>
            <w:gridSpan w:val="4"/>
          </w:tcPr>
          <w:p>
            <w:pPr>
              <w:ind w:left="80"/>
              <w:spacing w:after="0"/>
              <w:rPr>
                <w:sz w:val="20"/>
                <w:szCs w:val="20"/>
                <w:color w:val="auto"/>
              </w:rPr>
            </w:pPr>
            <w:r>
              <w:rPr>
                <w:rFonts w:ascii="Arial" w:cs="Arial" w:eastAsia="Arial" w:hAnsi="Arial"/>
                <w:sz w:val="18"/>
                <w:szCs w:val="18"/>
                <w:b w:val="1"/>
                <w:bCs w:val="1"/>
                <w:color w:val="auto"/>
              </w:rPr>
              <w:t>LIFT Seats Provided by Boeing</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(Estimate):</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980" w:type="dxa"/>
            <w:vAlign w:val="bottom"/>
            <w:gridSpan w:val="3"/>
          </w:tcPr>
          <w:p>
            <w:pPr>
              <w:ind w:left="80"/>
              <w:spacing w:after="0"/>
              <w:rPr>
                <w:sz w:val="20"/>
                <w:szCs w:val="20"/>
                <w:color w:val="auto"/>
              </w:rPr>
            </w:pPr>
            <w:r>
              <w:rPr>
                <w:rFonts w:ascii="Arial" w:cs="Arial" w:eastAsia="Arial" w:hAnsi="Arial"/>
                <w:sz w:val="18"/>
                <w:szCs w:val="18"/>
                <w:b w:val="1"/>
                <w:bCs w:val="1"/>
                <w:color w:val="auto"/>
              </w:rPr>
              <w:t>Deposit per Aircraft:</w:t>
            </w:r>
          </w:p>
        </w:tc>
        <w:tc>
          <w:tcPr>
            <w:tcW w:w="10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gridSpan w:val="2"/>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22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4940" w:type="dxa"/>
            <w:vAlign w:val="bottom"/>
            <w:tcBorders>
              <w:right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Advance Payment Per Aircraft (Amts. Due/Mos. Prior to</w:t>
            </w:r>
          </w:p>
        </w:tc>
        <w:tc>
          <w:tcPr>
            <w:tcW w:w="0" w:type="dxa"/>
            <w:vAlign w:val="bottom"/>
          </w:tcPr>
          <w:p>
            <w:pPr>
              <w:spacing w:after="0"/>
              <w:rPr>
                <w:sz w:val="1"/>
                <w:szCs w:val="1"/>
                <w:color w:val="auto"/>
              </w:rPr>
            </w:pPr>
          </w:p>
        </w:tc>
      </w:tr>
      <w:tr>
        <w:trPr>
          <w:trHeight w:val="310"/>
        </w:trPr>
        <w:tc>
          <w:tcPr>
            <w:tcW w:w="106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Escalation</w:t>
            </w:r>
          </w:p>
        </w:tc>
        <w:tc>
          <w:tcPr>
            <w:tcW w:w="880" w:type="dxa"/>
            <w:vAlign w:val="bottom"/>
            <w:tcBorders>
              <w:right w:val="single" w:sz="8" w:color="auto"/>
            </w:tcBorders>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22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Delivery):</w:t>
            </w:r>
          </w:p>
        </w:tc>
        <w:tc>
          <w:tcPr>
            <w:tcW w:w="56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060" w:type="dxa"/>
            <w:vAlign w:val="bottom"/>
            <w:tcBorders>
              <w:left w:val="single" w:sz="8" w:color="auto"/>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80" w:type="dxa"/>
            <w:vAlign w:val="bottom"/>
            <w:tcBorders>
              <w:bottom w:val="single" w:sz="8" w:color="C0C0C0"/>
              <w:right w:val="single" w:sz="8" w:color="auto"/>
            </w:tcBorders>
            <w:shd w:val="clear" w:color="auto" w:fill="C0C0C0"/>
          </w:tcPr>
          <w:p>
            <w:pPr>
              <w:spacing w:after="0"/>
              <w:rPr>
                <w:sz w:val="5"/>
                <w:szCs w:val="5"/>
                <w:color w:val="auto"/>
              </w:rPr>
            </w:pPr>
          </w:p>
        </w:tc>
        <w:tc>
          <w:tcPr>
            <w:tcW w:w="880" w:type="dxa"/>
            <w:vAlign w:val="bottom"/>
            <w:tcBorders>
              <w:bottom w:val="single" w:sz="8" w:color="C0C0C0"/>
            </w:tcBorders>
            <w:vMerge w:val="restart"/>
            <w:shd w:val="clear" w:color="auto" w:fill="C0C0C0"/>
          </w:tcPr>
          <w:p>
            <w:pPr>
              <w:jc w:val="center"/>
              <w:ind w:left="130"/>
              <w:spacing w:after="0"/>
              <w:rPr>
                <w:sz w:val="20"/>
                <w:szCs w:val="20"/>
                <w:color w:val="auto"/>
              </w:rPr>
            </w:pPr>
            <w:r>
              <w:rPr>
                <w:rFonts w:ascii="Arial" w:cs="Arial" w:eastAsia="Arial" w:hAnsi="Arial"/>
                <w:sz w:val="18"/>
                <w:szCs w:val="18"/>
                <w:b w:val="1"/>
                <w:bCs w:val="1"/>
                <w:color w:val="auto"/>
                <w:w w:val="92"/>
              </w:rPr>
              <w:t>Nominal</w:t>
            </w:r>
          </w:p>
        </w:tc>
        <w:tc>
          <w:tcPr>
            <w:tcW w:w="220" w:type="dxa"/>
            <w:vAlign w:val="bottom"/>
            <w:tcBorders>
              <w:bottom w:val="single" w:sz="8" w:color="C0C0C0"/>
              <w:right w:val="single" w:sz="8" w:color="auto"/>
            </w:tcBorders>
            <w:shd w:val="clear" w:color="auto" w:fill="C0C0C0"/>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Adv Payment</w:t>
            </w: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06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shd w:val="clear" w:color="auto" w:fill="C0C0C0"/>
          </w:tcPr>
          <w:p>
            <w:pPr>
              <w:spacing w:after="0"/>
              <w:rPr>
                <w:sz w:val="24"/>
                <w:szCs w:val="24"/>
                <w:color w:val="auto"/>
              </w:rPr>
            </w:pPr>
          </w:p>
        </w:tc>
        <w:tc>
          <w:tcPr>
            <w:tcW w:w="880" w:type="dxa"/>
            <w:vAlign w:val="bottom"/>
            <w:vMerge w:val="continue"/>
            <w:shd w:val="clear" w:color="auto" w:fill="C0C0C0"/>
          </w:tcPr>
          <w:p>
            <w:pPr>
              <w:spacing w:after="0"/>
              <w:rPr>
                <w:sz w:val="24"/>
                <w:szCs w:val="24"/>
                <w:color w:val="auto"/>
              </w:rPr>
            </w:pPr>
          </w:p>
        </w:tc>
        <w:tc>
          <w:tcPr>
            <w:tcW w:w="22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Borders>
              <w:right w:val="single" w:sz="8" w:color="auto"/>
            </w:tcBorders>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Delivery</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0" w:type="dxa"/>
            <w:vAlign w:val="bottom"/>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Factor</w:t>
            </w:r>
          </w:p>
        </w:tc>
        <w:tc>
          <w:tcPr>
            <w:tcW w:w="880" w:type="dxa"/>
            <w:vAlign w:val="bottom"/>
            <w:tcBorders>
              <w:right w:val="single" w:sz="8" w:color="auto"/>
            </w:tcBorders>
            <w:shd w:val="clear" w:color="auto" w:fill="C0C0C0"/>
          </w:tcPr>
          <w:p>
            <w:pPr>
              <w:spacing w:after="0"/>
              <w:rPr>
                <w:sz w:val="24"/>
                <w:szCs w:val="24"/>
                <w:color w:val="auto"/>
              </w:rPr>
            </w:pPr>
          </w:p>
        </w:tc>
        <w:tc>
          <w:tcPr>
            <w:tcW w:w="880" w:type="dxa"/>
            <w:vAlign w:val="bottom"/>
            <w:shd w:val="clear" w:color="auto" w:fill="C0C0C0"/>
          </w:tcPr>
          <w:p>
            <w:pPr>
              <w:jc w:val="center"/>
              <w:ind w:left="110"/>
              <w:spacing w:after="0"/>
              <w:rPr>
                <w:sz w:val="20"/>
                <w:szCs w:val="20"/>
                <w:color w:val="auto"/>
              </w:rPr>
            </w:pPr>
            <w:r>
              <w:rPr>
                <w:rFonts w:ascii="Arial" w:cs="Arial" w:eastAsia="Arial" w:hAnsi="Arial"/>
                <w:sz w:val="18"/>
                <w:szCs w:val="18"/>
                <w:b w:val="1"/>
                <w:bCs w:val="1"/>
                <w:color w:val="auto"/>
                <w:w w:val="91"/>
              </w:rPr>
              <w:t>Delivery</w:t>
            </w:r>
          </w:p>
        </w:tc>
        <w:tc>
          <w:tcPr>
            <w:tcW w:w="22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Base</w:t>
            </w:r>
          </w:p>
        </w:tc>
        <w:tc>
          <w:tcPr>
            <w:tcW w:w="9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At Signing</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center"/>
              <w:ind w:left="430"/>
              <w:spacing w:after="0"/>
              <w:rPr>
                <w:sz w:val="20"/>
                <w:szCs w:val="20"/>
                <w:color w:val="auto"/>
              </w:rPr>
            </w:pPr>
            <w:r>
              <w:rPr>
                <w:rFonts w:ascii="Arial" w:cs="Arial" w:eastAsia="Arial" w:hAnsi="Arial"/>
                <w:sz w:val="18"/>
                <w:szCs w:val="18"/>
                <w:b w:val="1"/>
                <w:bCs w:val="1"/>
                <w:color w:val="auto"/>
              </w:rPr>
              <w:t>[****]</w:t>
            </w:r>
          </w:p>
        </w:tc>
        <w:tc>
          <w:tcPr>
            <w:tcW w:w="5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64"/>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Aircraft</w:t>
            </w:r>
          </w:p>
        </w:tc>
        <w:tc>
          <w:tcPr>
            <w:tcW w:w="40" w:type="dxa"/>
            <w:vAlign w:val="bottom"/>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(Airframe)</w:t>
            </w:r>
          </w:p>
        </w:tc>
        <w:tc>
          <w:tcPr>
            <w:tcW w:w="880" w:type="dxa"/>
            <w:vAlign w:val="bottom"/>
            <w:tcBorders>
              <w:right w:val="single" w:sz="8" w:color="auto"/>
            </w:tcBorders>
            <w:shd w:val="clear" w:color="auto" w:fill="C0C0C0"/>
          </w:tcPr>
          <w:p>
            <w:pPr>
              <w:spacing w:after="0"/>
              <w:rPr>
                <w:sz w:val="24"/>
                <w:szCs w:val="24"/>
                <w:color w:val="auto"/>
              </w:rPr>
            </w:pPr>
          </w:p>
        </w:tc>
        <w:tc>
          <w:tcPr>
            <w:tcW w:w="880" w:type="dxa"/>
            <w:vAlign w:val="bottom"/>
            <w:shd w:val="clear" w:color="auto" w:fill="C0C0C0"/>
          </w:tcPr>
          <w:p>
            <w:pPr>
              <w:jc w:val="center"/>
              <w:ind w:left="110"/>
              <w:spacing w:after="0"/>
              <w:rPr>
                <w:sz w:val="20"/>
                <w:szCs w:val="20"/>
                <w:color w:val="auto"/>
              </w:rPr>
            </w:pPr>
            <w:r>
              <w:rPr>
                <w:rFonts w:ascii="Arial" w:cs="Arial" w:eastAsia="Arial" w:hAnsi="Arial"/>
                <w:sz w:val="18"/>
                <w:szCs w:val="18"/>
                <w:b w:val="1"/>
                <w:bCs w:val="1"/>
                <w:color w:val="auto"/>
                <w:w w:val="96"/>
              </w:rPr>
              <w:t>Month</w:t>
            </w:r>
          </w:p>
        </w:tc>
        <w:tc>
          <w:tcPr>
            <w:tcW w:w="22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Per A/P</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center"/>
              <w:ind w:left="430"/>
              <w:spacing w:after="0"/>
              <w:rPr>
                <w:sz w:val="20"/>
                <w:szCs w:val="20"/>
                <w:color w:val="auto"/>
              </w:rPr>
            </w:pPr>
            <w:r>
              <w:rPr>
                <w:rFonts w:ascii="Arial" w:cs="Arial" w:eastAsia="Arial" w:hAnsi="Arial"/>
                <w:sz w:val="18"/>
                <w:szCs w:val="18"/>
                <w:b w:val="1"/>
                <w:bCs w:val="1"/>
                <w:color w:val="auto"/>
              </w:rPr>
              <w:t>[****]</w:t>
            </w:r>
          </w:p>
        </w:tc>
        <w:tc>
          <w:tcPr>
            <w:tcW w:w="5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shd w:val="clear" w:color="auto" w:fill="C0C0C0"/>
          </w:tcPr>
          <w:p>
            <w:pPr>
              <w:spacing w:after="0"/>
              <w:rPr>
                <w:sz w:val="5"/>
                <w:szCs w:val="5"/>
                <w:color w:val="auto"/>
              </w:rPr>
            </w:pPr>
          </w:p>
        </w:tc>
        <w:tc>
          <w:tcPr>
            <w:tcW w:w="880" w:type="dxa"/>
            <w:vAlign w:val="bottom"/>
            <w:tcBorders>
              <w:bottom w:val="single" w:sz="8" w:color="auto"/>
            </w:tcBorders>
            <w:shd w:val="clear" w:color="auto" w:fill="C0C0C0"/>
          </w:tcPr>
          <w:p>
            <w:pPr>
              <w:spacing w:after="0"/>
              <w:rPr>
                <w:sz w:val="5"/>
                <w:szCs w:val="5"/>
                <w:color w:val="auto"/>
              </w:rPr>
            </w:pPr>
          </w:p>
        </w:tc>
        <w:tc>
          <w:tcPr>
            <w:tcW w:w="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c>
          <w:tcPr>
            <w:tcW w:w="1020" w:type="dxa"/>
            <w:vAlign w:val="bottom"/>
            <w:tcBorders>
              <w:right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22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45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shd w:val="clear" w:color="auto" w:fill="C0C0C0"/>
          </w:tcPr>
          <w:p>
            <w:pPr>
              <w:spacing w:after="0"/>
              <w:rPr>
                <w:sz w:val="5"/>
                <w:szCs w:val="5"/>
                <w:color w:val="auto"/>
              </w:rPr>
            </w:pPr>
          </w:p>
        </w:tc>
        <w:tc>
          <w:tcPr>
            <w:tcW w:w="880" w:type="dxa"/>
            <w:vAlign w:val="bottom"/>
            <w:tcBorders>
              <w:bottom w:val="single" w:sz="8" w:color="auto"/>
            </w:tcBorders>
            <w:shd w:val="clear" w:color="auto" w:fill="C0C0C0"/>
          </w:tcPr>
          <w:p>
            <w:pPr>
              <w:spacing w:after="0"/>
              <w:rPr>
                <w:sz w:val="5"/>
                <w:szCs w:val="5"/>
                <w:color w:val="auto"/>
              </w:rPr>
            </w:pPr>
          </w:p>
        </w:tc>
        <w:tc>
          <w:tcPr>
            <w:tcW w:w="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c>
          <w:tcPr>
            <w:tcW w:w="1020" w:type="dxa"/>
            <w:vAlign w:val="bottom"/>
            <w:tcBorders>
              <w:right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22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45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shd w:val="clear" w:color="auto" w:fill="C0C0C0"/>
          </w:tcPr>
          <w:p>
            <w:pPr>
              <w:spacing w:after="0"/>
              <w:rPr>
                <w:sz w:val="5"/>
                <w:szCs w:val="5"/>
                <w:color w:val="auto"/>
              </w:rPr>
            </w:pPr>
          </w:p>
        </w:tc>
        <w:tc>
          <w:tcPr>
            <w:tcW w:w="880" w:type="dxa"/>
            <w:vAlign w:val="bottom"/>
            <w:tcBorders>
              <w:bottom w:val="single" w:sz="8" w:color="auto"/>
            </w:tcBorders>
            <w:shd w:val="clear" w:color="auto" w:fill="C0C0C0"/>
          </w:tcPr>
          <w:p>
            <w:pPr>
              <w:spacing w:after="0"/>
              <w:rPr>
                <w:sz w:val="5"/>
                <w:szCs w:val="5"/>
                <w:color w:val="auto"/>
              </w:rPr>
            </w:pPr>
          </w:p>
        </w:tc>
        <w:tc>
          <w:tcPr>
            <w:tcW w:w="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40" w:type="dxa"/>
            <w:vAlign w:val="bottom"/>
          </w:tcPr>
          <w:p>
            <w:pPr>
              <w:spacing w:after="0"/>
              <w:rPr>
                <w:sz w:val="24"/>
                <w:szCs w:val="24"/>
                <w:color w:val="auto"/>
              </w:rPr>
            </w:pPr>
          </w:p>
        </w:tc>
        <w:tc>
          <w:tcPr>
            <w:tcW w:w="1020" w:type="dxa"/>
            <w:vAlign w:val="bottom"/>
            <w:tcBorders>
              <w:right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0C0C0"/>
          </w:tcPr>
          <w:p>
            <w:pPr>
              <w:spacing w:after="0"/>
              <w:rPr>
                <w:sz w:val="24"/>
                <w:szCs w:val="24"/>
                <w:color w:val="auto"/>
              </w:rPr>
            </w:pPr>
          </w:p>
        </w:tc>
        <w:tc>
          <w:tcPr>
            <w:tcW w:w="880" w:type="dxa"/>
            <w:vAlign w:val="bottom"/>
            <w:shd w:val="clear" w:color="auto" w:fill="C0C0C0"/>
          </w:tcPr>
          <w:p>
            <w:pPr>
              <w:spacing w:after="0"/>
              <w:rPr>
                <w:sz w:val="24"/>
                <w:szCs w:val="24"/>
                <w:color w:val="auto"/>
              </w:rPr>
            </w:pPr>
          </w:p>
        </w:tc>
        <w:tc>
          <w:tcPr>
            <w:tcW w:w="220" w:type="dxa"/>
            <w:vAlign w:val="bottom"/>
            <w:tcBorders>
              <w:right w:val="single" w:sz="8" w:color="auto"/>
            </w:tcBorders>
            <w:shd w:val="clear" w:color="auto" w:fill="C0C0C0"/>
          </w:tcPr>
          <w:p>
            <w:pPr>
              <w:spacing w:after="0"/>
              <w:rPr>
                <w:sz w:val="24"/>
                <w:szCs w:val="24"/>
                <w:color w:val="auto"/>
              </w:rPr>
            </w:pP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45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880" w:type="dxa"/>
            <w:vAlign w:val="bottom"/>
            <w:tcBorders>
              <w:bottom w:val="single" w:sz="8" w:color="auto"/>
              <w:right w:val="single" w:sz="8" w:color="auto"/>
            </w:tcBorders>
            <w:shd w:val="clear" w:color="auto" w:fill="C0C0C0"/>
          </w:tcPr>
          <w:p>
            <w:pPr>
              <w:spacing w:after="0"/>
              <w:rPr>
                <w:sz w:val="5"/>
                <w:szCs w:val="5"/>
                <w:color w:val="auto"/>
              </w:rPr>
            </w:pPr>
          </w:p>
        </w:tc>
        <w:tc>
          <w:tcPr>
            <w:tcW w:w="880" w:type="dxa"/>
            <w:vAlign w:val="bottom"/>
            <w:tcBorders>
              <w:bottom w:val="single" w:sz="8" w:color="auto"/>
            </w:tcBorders>
            <w:shd w:val="clear" w:color="auto" w:fill="C0C0C0"/>
          </w:tcPr>
          <w:p>
            <w:pPr>
              <w:spacing w:after="0"/>
              <w:rPr>
                <w:sz w:val="5"/>
                <w:szCs w:val="5"/>
                <w:color w:val="auto"/>
              </w:rPr>
            </w:pPr>
          </w:p>
        </w:tc>
        <w:tc>
          <w:tcPr>
            <w:tcW w:w="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55"/>
        </w:trPr>
        <w:tc>
          <w:tcPr>
            <w:tcW w:w="1060" w:type="dxa"/>
            <w:vAlign w:val="bottom"/>
          </w:tcPr>
          <w:p>
            <w:pPr>
              <w:jc w:val="center"/>
              <w:spacing w:after="0"/>
              <w:rPr>
                <w:sz w:val="20"/>
                <w:szCs w:val="20"/>
                <w:color w:val="auto"/>
              </w:rPr>
            </w:pPr>
            <w:r>
              <w:rPr>
                <w:rFonts w:ascii="Arial" w:cs="Arial" w:eastAsia="Arial" w:hAnsi="Arial"/>
                <w:sz w:val="18"/>
                <w:szCs w:val="18"/>
                <w:color w:val="auto"/>
                <w:w w:val="93"/>
              </w:rPr>
              <w:t>Total:</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980" w:type="dxa"/>
            <w:vAlign w:val="bottom"/>
            <w:gridSpan w:val="3"/>
          </w:tcPr>
          <w:p>
            <w:pPr>
              <w:spacing w:after="0"/>
              <w:rPr>
                <w:sz w:val="20"/>
                <w:szCs w:val="20"/>
                <w:color w:val="auto"/>
              </w:rPr>
            </w:pPr>
            <w:r>
              <w:rPr>
                <w:rFonts w:ascii="Arial" w:cs="Arial" w:eastAsia="Arial" w:hAnsi="Arial"/>
                <w:sz w:val="15"/>
                <w:szCs w:val="15"/>
                <w:color w:val="auto"/>
                <w:w w:val="99"/>
              </w:rPr>
              <w:t>AAL-PA-03735 118070-1F.txt</w:t>
            </w:r>
          </w:p>
        </w:tc>
        <w:tc>
          <w:tcPr>
            <w:tcW w:w="1020" w:type="dxa"/>
            <w:vAlign w:val="bottom"/>
          </w:tcPr>
          <w:p>
            <w:pPr>
              <w:ind w:left="200"/>
              <w:spacing w:after="0"/>
              <w:rPr>
                <w:sz w:val="20"/>
                <w:szCs w:val="20"/>
                <w:color w:val="auto"/>
              </w:rPr>
            </w:pPr>
            <w:r>
              <w:rPr>
                <w:rFonts w:ascii="Arial" w:cs="Arial" w:eastAsia="Arial" w:hAnsi="Arial"/>
                <w:sz w:val="15"/>
                <w:szCs w:val="15"/>
                <w:color w:val="auto"/>
              </w:rPr>
              <w:t>SA-31</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60" w:type="dxa"/>
            <w:vAlign w:val="bottom"/>
          </w:tcPr>
          <w:p>
            <w:pPr>
              <w:ind w:left="180"/>
              <w:spacing w:after="0"/>
              <w:rPr>
                <w:sz w:val="20"/>
                <w:szCs w:val="20"/>
                <w:color w:val="auto"/>
              </w:rPr>
            </w:pPr>
            <w:r>
              <w:rPr>
                <w:rFonts w:ascii="Arial" w:cs="Arial" w:eastAsia="Arial" w:hAnsi="Arial"/>
                <w:sz w:val="15"/>
                <w:szCs w:val="15"/>
                <w:color w:val="auto"/>
              </w:rPr>
              <w:t>Page 1</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BOEING PROPRIETARY</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382" w:right="399" w:bottom="1440" w:gutter="0" w:footer="0" w:header="0"/>
        </w:sectPr>
      </w:pPr>
    </w:p>
    <w:bookmarkStart w:id="103" w:name="page104"/>
    <w:bookmarkEnd w:id="103"/>
    <w:p>
      <w:pPr>
        <w:ind w:left="292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200025</wp:posOffset>
            </wp:positionV>
            <wp:extent cx="1491615" cy="3429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920"/>
        <w:spacing w:after="0" w:line="216" w:lineRule="auto"/>
        <w:rPr>
          <w:sz w:val="20"/>
          <w:szCs w:val="20"/>
          <w:color w:val="auto"/>
        </w:rPr>
      </w:pPr>
      <w:r>
        <w:rPr>
          <w:rFonts w:ascii="Arial" w:cs="Arial" w:eastAsia="Arial" w:hAnsi="Arial"/>
          <w:sz w:val="13"/>
          <w:szCs w:val="13"/>
          <w:color w:val="808080"/>
        </w:rPr>
        <w:t>P.O. Box 3707</w:t>
      </w:r>
    </w:p>
    <w:p>
      <w:pPr>
        <w:ind w:left="292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R13</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71"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69" w:lineRule="exact"/>
        <w:rPr>
          <w:sz w:val="20"/>
          <w:szCs w:val="20"/>
          <w:color w:val="auto"/>
        </w:rPr>
      </w:pPr>
    </w:p>
    <w:p>
      <w:pPr>
        <w:ind w:left="1340" w:hanging="1538"/>
        <w:spacing w:after="0" w:line="250"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21" w:lineRule="exact"/>
        <w:rPr>
          <w:sz w:val="20"/>
          <w:szCs w:val="20"/>
          <w:color w:val="auto"/>
        </w:rPr>
      </w:pPr>
    </w:p>
    <w:p>
      <w:pPr>
        <w:ind w:right="20" w:firstLine="648"/>
        <w:spacing w:after="0" w:line="23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8" w:lineRule="exact"/>
        <w:rPr>
          <w:sz w:val="20"/>
          <w:szCs w:val="20"/>
          <w:color w:val="auto"/>
        </w:rPr>
      </w:pPr>
    </w:p>
    <w:p>
      <w:pPr>
        <w:ind w:left="1040" w:hanging="384"/>
        <w:spacing w:after="0"/>
        <w:tabs>
          <w:tab w:leader="none" w:pos="104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Table 1R12, Table 1-2, Table 1-3R6, Table 1-4R7, and Table 1-5R2 to the Purchase Agreement as of the date of execution of this Letter Agreement, [****] ([****]).</w:t>
      </w:r>
    </w:p>
    <w:p>
      <w:pPr>
        <w:spacing w:after="0" w:line="15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 The [****] with [****] in calendar year [****] are listed in Attachment A(R13) to this Letter Agreement.</w:t>
      </w:r>
    </w:p>
    <w:p>
      <w:pPr>
        <w:spacing w:after="0" w:line="65"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tab/>
        <w:t>[****]. The [****] with [****] ([****]</w:t>
      </w:r>
      <w:r>
        <w:rPr>
          <w:rFonts w:ascii="Arial" w:cs="Arial" w:eastAsia="Arial" w:hAnsi="Arial"/>
          <w:sz w:val="22"/>
          <w:szCs w:val="22"/>
          <w:i w:val="1"/>
          <w:iCs w:val="1"/>
          <w:color w:val="auto"/>
        </w:rPr>
        <w:t>)</w:t>
      </w:r>
      <w:r>
        <w:rPr>
          <w:rFonts w:ascii="Arial" w:cs="Arial" w:eastAsia="Arial" w:hAnsi="Arial"/>
          <w:sz w:val="22"/>
          <w:szCs w:val="22"/>
          <w:color w:val="auto"/>
        </w:rPr>
        <w:t xml:space="preserve"> in [****] for each [****] are listed in Attachment A(R13) to this Letter Agreement. No later than [****] to the [****] in each of calendar years [****], Boeing will provide written notice setting forth [****] with a [****] in such calendar year. Such notice will constitute an amendment to Attachment A(R13) to this Letter Agreement.</w:t>
      </w:r>
    </w:p>
    <w:p>
      <w:pPr>
        <w:spacing w:after="0" w:line="158" w:lineRule="exact"/>
        <w:rPr>
          <w:sz w:val="20"/>
          <w:szCs w:val="20"/>
          <w:color w:val="auto"/>
        </w:rPr>
      </w:pPr>
    </w:p>
    <w:p>
      <w:pPr>
        <w:ind w:left="1040" w:hanging="384"/>
        <w:spacing w:after="0"/>
        <w:tabs>
          <w:tab w:leader="none" w:pos="104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179" w:lineRule="exact"/>
        <w:rPr>
          <w:sz w:val="20"/>
          <w:szCs w:val="20"/>
          <w:color w:val="auto"/>
        </w:rPr>
      </w:pPr>
    </w:p>
    <w:p>
      <w:pPr>
        <w:jc w:val="both"/>
        <w:ind w:left="1180" w:hanging="517"/>
        <w:spacing w:after="0" w:line="223"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159" w:lineRule="exact"/>
        <w:rPr>
          <w:sz w:val="20"/>
          <w:szCs w:val="20"/>
          <w:color w:val="auto"/>
        </w:rPr>
      </w:pPr>
    </w:p>
    <w:p>
      <w:pPr>
        <w:ind w:left="1560" w:hanging="904"/>
        <w:spacing w:after="0"/>
        <w:tabs>
          <w:tab w:leader="none" w:pos="15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R13</w:t>
      </w:r>
      <w:r>
        <w:rPr>
          <w:sz w:val="20"/>
          <w:szCs w:val="20"/>
          <w:color w:val="auto"/>
        </w:rPr>
        <w:tab/>
      </w:r>
      <w:r>
        <w:rPr>
          <w:rFonts w:ascii="Arial" w:cs="Arial" w:eastAsia="Arial" w:hAnsi="Arial"/>
          <w:sz w:val="21"/>
          <w:szCs w:val="21"/>
          <w:color w:val="auto"/>
        </w:rPr>
        <w:t>SA-31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394" w:right="33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81" w:lineRule="exact"/>
        <w:rPr>
          <w:sz w:val="20"/>
          <w:szCs w:val="20"/>
          <w:color w:val="auto"/>
        </w:rPr>
      </w:pPr>
    </w:p>
    <w:p>
      <w:pPr>
        <w:ind w:left="1900" w:hanging="596"/>
        <w:spacing w:after="0"/>
        <w:tabs>
          <w:tab w:leader="none" w:pos="19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left="1180" w:right="20" w:hanging="517"/>
        <w:spacing w:after="0" w:line="264"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172" w:lineRule="exact"/>
        <w:rPr>
          <w:sz w:val="20"/>
          <w:szCs w:val="20"/>
          <w:color w:val="auto"/>
        </w:rPr>
      </w:pPr>
    </w:p>
    <w:p>
      <w:pPr>
        <w:ind w:left="1040" w:hanging="384"/>
        <w:spacing w:after="0"/>
        <w:tabs>
          <w:tab w:leader="none" w:pos="104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220" w:lineRule="exact"/>
        <w:rPr>
          <w:sz w:val="20"/>
          <w:szCs w:val="20"/>
          <w:color w:val="auto"/>
        </w:rPr>
      </w:pPr>
    </w:p>
    <w:p>
      <w:pPr>
        <w:ind w:left="1180" w:hanging="517"/>
        <w:spacing w:after="0" w:line="277" w:lineRule="auto"/>
        <w:tabs>
          <w:tab w:leader="none" w:pos="1160" w:val="left"/>
        </w:tabs>
        <w:rPr>
          <w:sz w:val="20"/>
          <w:szCs w:val="20"/>
          <w:color w:val="auto"/>
        </w:rPr>
      </w:pPr>
      <w:r>
        <w:rPr>
          <w:rFonts w:ascii="Arial" w:cs="Arial" w:eastAsia="Arial" w:hAnsi="Arial"/>
          <w:sz w:val="22"/>
          <w:szCs w:val="22"/>
          <w:color w:val="auto"/>
        </w:rPr>
        <w:t>4.1</w:t>
        <w:tab/>
        <w:t>The [****] Aircraft Basic Price for each of the [****] are identified in Attachment A(R13) to this Letter Agreement.</w:t>
      </w:r>
    </w:p>
    <w:p>
      <w:pPr>
        <w:spacing w:after="0" w:line="15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220" w:lineRule="exact"/>
        <w:rPr>
          <w:sz w:val="20"/>
          <w:szCs w:val="20"/>
          <w:color w:val="auto"/>
        </w:rPr>
      </w:pPr>
    </w:p>
    <w:p>
      <w:pPr>
        <w:ind w:left="1180" w:hanging="517"/>
        <w:spacing w:after="0" w:line="264"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172" w:lineRule="exact"/>
        <w:rPr>
          <w:sz w:val="20"/>
          <w:szCs w:val="20"/>
          <w:color w:val="auto"/>
        </w:rPr>
      </w:pPr>
    </w:p>
    <w:p>
      <w:pPr>
        <w:ind w:left="1040" w:hanging="384"/>
        <w:spacing w:after="0"/>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22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112" w:lineRule="exact"/>
        <w:rPr>
          <w:sz w:val="20"/>
          <w:szCs w:val="20"/>
          <w:color w:val="auto"/>
        </w:rPr>
      </w:pPr>
    </w:p>
    <w:p>
      <w:pPr>
        <w:ind w:left="1040" w:hanging="384"/>
        <w:spacing w:after="0"/>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t>
      </w:r>
    </w:p>
    <w:p>
      <w:pPr>
        <w:spacing w:after="0" w:line="11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1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220" w:lineRule="exact"/>
        <w:rPr>
          <w:sz w:val="20"/>
          <w:szCs w:val="20"/>
          <w:color w:val="auto"/>
        </w:rPr>
      </w:pPr>
    </w:p>
    <w:p>
      <w:pPr>
        <w:jc w:val="right"/>
        <w:ind w:left="660" w:right="9620" w:hanging="4"/>
        <w:spacing w:after="0" w:line="345" w:lineRule="auto"/>
        <w:tabs>
          <w:tab w:leader="none" w:pos="1043" w:val="left"/>
        </w:tabs>
        <w:numPr>
          <w:ilvl w:val="0"/>
          <w:numId w:val="60"/>
        </w:numPr>
        <w:rPr>
          <w:rFonts w:ascii="Arial" w:cs="Arial" w:eastAsia="Arial" w:hAnsi="Arial"/>
          <w:sz w:val="22"/>
          <w:szCs w:val="22"/>
          <w:color w:val="auto"/>
        </w:rPr>
      </w:pPr>
      <w:r>
        <w:rPr>
          <w:rFonts w:ascii="Arial" w:cs="Arial" w:eastAsia="Arial" w:hAnsi="Arial"/>
          <w:sz w:val="22"/>
          <w:szCs w:val="22"/>
          <w:color w:val="auto"/>
        </w:rPr>
        <w:t>[****]. 8.1  [****]</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  Reserved.</w:t>
      </w:r>
    </w:p>
    <w:p>
      <w:pPr>
        <w:spacing w:after="0" w:line="11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Reserved.</w:t>
      </w:r>
    </w:p>
    <w:p>
      <w:pPr>
        <w:spacing w:after="0" w:line="23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Reserved.</w:t>
      </w:r>
    </w:p>
    <w:p>
      <w:pPr>
        <w:spacing w:after="0" w:line="220"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R13</w:t>
      </w:r>
      <w:r>
        <w:rPr>
          <w:sz w:val="20"/>
          <w:szCs w:val="20"/>
          <w:color w:val="auto"/>
        </w:rPr>
        <w:tab/>
      </w:r>
      <w:r>
        <w:rPr>
          <w:rFonts w:ascii="Arial" w:cs="Arial" w:eastAsia="Arial" w:hAnsi="Arial"/>
          <w:sz w:val="21"/>
          <w:szCs w:val="21"/>
          <w:color w:val="auto"/>
        </w:rPr>
        <w:t>SA-31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81" w:lineRule="exact"/>
        <w:rPr>
          <w:sz w:val="20"/>
          <w:szCs w:val="20"/>
          <w:color w:val="auto"/>
        </w:rPr>
      </w:pPr>
    </w:p>
    <w:p>
      <w:pPr>
        <w:ind w:left="1040" w:hanging="384"/>
        <w:spacing w:after="0"/>
        <w:tabs>
          <w:tab w:leader="none" w:pos="10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59" w:lineRule="exact"/>
        <w:rPr>
          <w:sz w:val="20"/>
          <w:szCs w:val="20"/>
          <w:color w:val="auto"/>
        </w:rPr>
      </w:pPr>
    </w:p>
    <w:p>
      <w:pPr>
        <w:ind w:left="1040" w:hanging="384"/>
        <w:spacing w:after="0"/>
        <w:tabs>
          <w:tab w:leader="none" w:pos="104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R13</w:t>
      </w:r>
      <w:r>
        <w:rPr>
          <w:sz w:val="20"/>
          <w:szCs w:val="20"/>
          <w:color w:val="auto"/>
        </w:rPr>
        <w:tab/>
      </w:r>
      <w:r>
        <w:rPr>
          <w:rFonts w:ascii="Arial" w:cs="Arial" w:eastAsia="Arial" w:hAnsi="Arial"/>
          <w:sz w:val="21"/>
          <w:szCs w:val="21"/>
          <w:color w:val="auto"/>
        </w:rPr>
        <w:t>SA-31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65"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67945</wp:posOffset>
            </wp:positionV>
            <wp:extent cx="32143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tabs>
          <w:tab w:leader="none" w:pos="10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67945</wp:posOffset>
            </wp:positionV>
            <wp:extent cx="32143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36"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5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67945</wp:posOffset>
            </wp:positionV>
            <wp:extent cx="29489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60" w:type="dxa"/>
        <w:tblCellMar>
          <w:top w:w="0" w:type="dxa"/>
          <w:left w:w="0" w:type="dxa"/>
          <w:bottom w:w="0" w:type="dxa"/>
          <w:right w:w="0" w:type="dxa"/>
        </w:tblCellMar>
      </w:tblP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5060" w:type="dxa"/>
            <w:vAlign w:val="bottom"/>
          </w:tcPr>
          <w:p>
            <w:pPr>
              <w:ind w:left="80"/>
              <w:spacing w:after="0"/>
              <w:rPr>
                <w:sz w:val="20"/>
                <w:szCs w:val="20"/>
                <w:color w:val="auto"/>
              </w:rPr>
            </w:pPr>
            <w:r>
              <w:rPr>
                <w:rFonts w:ascii="Arial" w:cs="Arial" w:eastAsia="Arial" w:hAnsi="Arial"/>
                <w:sz w:val="22"/>
                <w:szCs w:val="22"/>
                <w:color w:val="auto"/>
              </w:rPr>
              <w:t>/s/ American Airlines, Inc.</w:t>
            </w:r>
          </w:p>
        </w:tc>
      </w:tr>
      <w:tr>
        <w:trPr>
          <w:trHeight w:val="84"/>
        </w:trPr>
        <w:tc>
          <w:tcPr>
            <w:tcW w:w="84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r>
      <w:tr>
        <w:trPr>
          <w:trHeight w:val="598"/>
        </w:trPr>
        <w:tc>
          <w:tcPr>
            <w:tcW w:w="840" w:type="dxa"/>
            <w:vAlign w:val="bottom"/>
          </w:tcPr>
          <w:p>
            <w:pPr>
              <w:spacing w:after="0"/>
              <w:rPr>
                <w:sz w:val="20"/>
                <w:szCs w:val="20"/>
                <w:color w:val="auto"/>
              </w:rPr>
            </w:pPr>
            <w:r>
              <w:rPr>
                <w:rFonts w:ascii="Arial" w:cs="Arial" w:eastAsia="Arial" w:hAnsi="Arial"/>
                <w:sz w:val="22"/>
                <w:szCs w:val="22"/>
                <w:color w:val="auto"/>
              </w:rPr>
              <w:t>Its:</w:t>
            </w:r>
          </w:p>
        </w:tc>
        <w:tc>
          <w:tcPr>
            <w:tcW w:w="5060" w:type="dxa"/>
            <w:vAlign w:val="bottom"/>
          </w:tcPr>
          <w:p>
            <w:pPr>
              <w:ind w:left="80"/>
              <w:spacing w:after="0"/>
              <w:rPr>
                <w:sz w:val="20"/>
                <w:szCs w:val="20"/>
                <w:color w:val="auto"/>
              </w:rPr>
            </w:pPr>
            <w:r>
              <w:rPr>
                <w:rFonts w:ascii="Arial" w:cs="Arial" w:eastAsia="Arial" w:hAnsi="Arial"/>
                <w:sz w:val="22"/>
                <w:szCs w:val="22"/>
                <w:color w:val="auto"/>
              </w:rPr>
              <w:t>Senior Vice President, Treasurer</w:t>
            </w:r>
          </w:p>
        </w:tc>
      </w:tr>
      <w:tr>
        <w:trPr>
          <w:trHeight w:val="84"/>
        </w:trPr>
        <w:tc>
          <w:tcPr>
            <w:tcW w:w="84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28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R13</w:t>
      </w:r>
      <w:r>
        <w:rPr>
          <w:sz w:val="20"/>
          <w:szCs w:val="20"/>
          <w:color w:val="auto"/>
        </w:rPr>
        <w:tab/>
      </w:r>
      <w:r>
        <w:rPr>
          <w:rFonts w:ascii="Arial" w:cs="Arial" w:eastAsia="Arial" w:hAnsi="Arial"/>
          <w:sz w:val="21"/>
          <w:szCs w:val="21"/>
          <w:color w:val="auto"/>
        </w:rPr>
        <w:t>SA-31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22"/>
          <w:szCs w:val="22"/>
          <w:color w:val="auto"/>
        </w:rPr>
        <w:t>Attachment A(R13) To</w:t>
      </w:r>
    </w:p>
    <w:p>
      <w:pPr>
        <w:jc w:val="center"/>
        <w:ind w:right="20"/>
        <w:spacing w:after="0" w:line="204" w:lineRule="auto"/>
        <w:rPr>
          <w:sz w:val="20"/>
          <w:szCs w:val="20"/>
          <w:color w:val="auto"/>
        </w:rPr>
      </w:pPr>
      <w:r>
        <w:rPr>
          <w:rFonts w:ascii="Arial" w:cs="Arial" w:eastAsia="Arial" w:hAnsi="Arial"/>
          <w:sz w:val="22"/>
          <w:szCs w:val="22"/>
          <w:color w:val="auto"/>
        </w:rPr>
        <w:t>Letter Agreement No. AAL-PA-03735-LA-1106651R8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737-8 [****] Aircraft Delivery, Description, Price and Advance Payments</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1540" w:type="dxa"/>
            <w:vAlign w:val="bottom"/>
          </w:tcPr>
          <w:p>
            <w:pPr>
              <w:spacing w:after="0"/>
              <w:rPr>
                <w:sz w:val="20"/>
                <w:szCs w:val="20"/>
                <w:color w:val="auto"/>
              </w:rPr>
            </w:pPr>
            <w:r>
              <w:rPr>
                <w:rFonts w:ascii="Arial" w:cs="Arial" w:eastAsia="Arial" w:hAnsi="Arial"/>
                <w:sz w:val="14"/>
                <w:szCs w:val="14"/>
                <w:b w:val="1"/>
                <w:bCs w:val="1"/>
                <w:color w:val="auto"/>
              </w:rPr>
              <w:t>Airframe</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4"/>
                <w:szCs w:val="14"/>
                <w:b w:val="1"/>
                <w:bCs w:val="1"/>
                <w:color w:val="auto"/>
              </w:rPr>
              <w:t>Model/MTOW:</w:t>
            </w: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737-8</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 pounds</w:t>
            </w:r>
          </w:p>
        </w:tc>
        <w:tc>
          <w:tcPr>
            <w:tcW w:w="4480" w:type="dxa"/>
            <w:vAlign w:val="bottom"/>
            <w:gridSpan w:val="3"/>
          </w:tcPr>
          <w:p>
            <w:pPr>
              <w:ind w:left="1280"/>
              <w:spacing w:after="0"/>
              <w:rPr>
                <w:sz w:val="20"/>
                <w:szCs w:val="20"/>
                <w:color w:val="auto"/>
              </w:rPr>
            </w:pPr>
            <w:r>
              <w:rPr>
                <w:rFonts w:ascii="Arial" w:cs="Arial" w:eastAsia="Arial" w:hAnsi="Arial"/>
                <w:sz w:val="14"/>
                <w:szCs w:val="14"/>
                <w:b w:val="1"/>
                <w:bCs w:val="1"/>
                <w:color w:val="auto"/>
              </w:rPr>
              <w:t>Detail Specification:</w:t>
            </w:r>
          </w:p>
        </w:tc>
        <w:tc>
          <w:tcPr>
            <w:tcW w:w="800" w:type="dxa"/>
            <w:vAlign w:val="bottom"/>
          </w:tcPr>
          <w:p>
            <w:pPr>
              <w:spacing w:after="0"/>
              <w:rPr>
                <w:sz w:val="22"/>
                <w:szCs w:val="22"/>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Arial" w:cs="Arial" w:eastAsia="Arial" w:hAnsi="Arial"/>
                <w:sz w:val="14"/>
                <w:szCs w:val="14"/>
                <w:color w:val="auto"/>
              </w:rPr>
              <w:t>CFMLEAP-</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4"/>
                <w:szCs w:val="14"/>
                <w:b w:val="1"/>
                <w:bCs w:val="1"/>
                <w:color w:val="auto"/>
              </w:rPr>
              <w:t>Engine Model/Thrust:</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1B25</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 pounds</w:t>
            </w:r>
          </w:p>
        </w:tc>
        <w:tc>
          <w:tcPr>
            <w:tcW w:w="4480" w:type="dxa"/>
            <w:vAlign w:val="bottom"/>
            <w:gridSpan w:val="3"/>
          </w:tcPr>
          <w:p>
            <w:pPr>
              <w:ind w:left="1280"/>
              <w:spacing w:after="0"/>
              <w:rPr>
                <w:sz w:val="20"/>
                <w:szCs w:val="20"/>
                <w:color w:val="auto"/>
              </w:rPr>
            </w:pPr>
            <w:r>
              <w:rPr>
                <w:rFonts w:ascii="Arial" w:cs="Arial" w:eastAsia="Arial" w:hAnsi="Arial"/>
                <w:sz w:val="14"/>
                <w:szCs w:val="14"/>
                <w:b w:val="1"/>
                <w:bCs w:val="1"/>
                <w:color w:val="auto"/>
              </w:rPr>
              <w:t>Airframe Price Base Year/Escalation Formula:</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14"/>
                <w:szCs w:val="14"/>
                <w:b w:val="1"/>
                <w:bCs w:val="1"/>
                <w:color w:val="auto"/>
              </w:rPr>
              <w:t>Airframe Price:</w:t>
            </w:r>
          </w:p>
        </w:tc>
        <w:tc>
          <w:tcPr>
            <w:tcW w:w="10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480" w:type="dxa"/>
            <w:vAlign w:val="bottom"/>
            <w:gridSpan w:val="3"/>
          </w:tcPr>
          <w:p>
            <w:pPr>
              <w:ind w:left="1280"/>
              <w:spacing w:after="0"/>
              <w:rPr>
                <w:sz w:val="20"/>
                <w:szCs w:val="20"/>
                <w:color w:val="auto"/>
              </w:rPr>
            </w:pPr>
            <w:r>
              <w:rPr>
                <w:rFonts w:ascii="Arial" w:cs="Arial" w:eastAsia="Arial" w:hAnsi="Arial"/>
                <w:sz w:val="14"/>
                <w:szCs w:val="14"/>
                <w:b w:val="1"/>
                <w:bCs w:val="1"/>
                <w:color w:val="auto"/>
              </w:rPr>
              <w:t>Engine Price Base Year/Escalation Formula:</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0"/>
                <w:szCs w:val="20"/>
                <w:color w:val="auto"/>
              </w:rPr>
            </w:pPr>
            <w:r>
              <w:rPr>
                <w:rFonts w:ascii="Arial" w:cs="Arial" w:eastAsia="Arial" w:hAnsi="Arial"/>
                <w:sz w:val="14"/>
                <w:szCs w:val="14"/>
                <w:b w:val="1"/>
                <w:bCs w:val="1"/>
                <w:color w:val="auto"/>
              </w:rPr>
              <w:t>Optional Features:</w:t>
            </w:r>
          </w:p>
        </w:tc>
        <w:tc>
          <w:tcPr>
            <w:tcW w:w="10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Sub-Total of Airframe and Features:</w:t>
            </w:r>
          </w:p>
        </w:tc>
        <w:tc>
          <w:tcPr>
            <w:tcW w:w="1120" w:type="dxa"/>
            <w:vAlign w:val="bottom"/>
            <w:tcBorders>
              <w:bottom w:val="single" w:sz="8" w:color="auto"/>
            </w:tcBorders>
          </w:tcPr>
          <w:p>
            <w:pPr>
              <w:spacing w:after="0"/>
              <w:rPr>
                <w:sz w:val="6"/>
                <w:szCs w:val="6"/>
                <w:color w:val="auto"/>
              </w:rPr>
            </w:pPr>
          </w:p>
        </w:tc>
        <w:tc>
          <w:tcPr>
            <w:tcW w:w="4480" w:type="dxa"/>
            <w:vAlign w:val="bottom"/>
            <w:gridSpan w:val="3"/>
            <w:vMerge w:val="restart"/>
          </w:tcPr>
          <w:p>
            <w:pPr>
              <w:ind w:left="1280"/>
              <w:spacing w:after="0"/>
              <w:rPr>
                <w:sz w:val="20"/>
                <w:szCs w:val="20"/>
                <w:color w:val="auto"/>
              </w:rPr>
            </w:pPr>
            <w:r>
              <w:rPr>
                <w:rFonts w:ascii="Arial" w:cs="Arial" w:eastAsia="Arial" w:hAnsi="Arial"/>
                <w:sz w:val="14"/>
                <w:szCs w:val="14"/>
                <w:b w:val="1"/>
                <w:bCs w:val="1"/>
                <w:color w:val="auto"/>
              </w:rPr>
              <w:t>Airframe Escalation Data:</w:t>
            </w:r>
          </w:p>
        </w:tc>
        <w:tc>
          <w:tcPr>
            <w:tcW w:w="80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600" w:type="dxa"/>
            <w:vAlign w:val="bottom"/>
            <w:gridSpan w:val="2"/>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48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540" w:type="dxa"/>
            <w:vAlign w:val="bottom"/>
          </w:tcPr>
          <w:p>
            <w:pPr>
              <w:spacing w:after="0"/>
              <w:rPr>
                <w:sz w:val="20"/>
                <w:szCs w:val="20"/>
                <w:color w:val="auto"/>
              </w:rPr>
            </w:pPr>
            <w:r>
              <w:rPr>
                <w:rFonts w:ascii="Arial" w:cs="Arial" w:eastAsia="Arial" w:hAnsi="Arial"/>
                <w:sz w:val="14"/>
                <w:szCs w:val="14"/>
                <w:b w:val="1"/>
                <w:bCs w:val="1"/>
                <w:color w:val="auto"/>
              </w:rPr>
              <w:t>Engine Price (Per</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4"/>
                <w:szCs w:val="14"/>
                <w:b w:val="1"/>
                <w:bCs w:val="1"/>
                <w:color w:val="auto"/>
              </w:rPr>
              <w:t>Aircraft):</w:t>
            </w:r>
          </w:p>
        </w:tc>
        <w:tc>
          <w:tcPr>
            <w:tcW w:w="10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480" w:type="dxa"/>
            <w:vAlign w:val="bottom"/>
            <w:gridSpan w:val="3"/>
          </w:tcPr>
          <w:p>
            <w:pPr>
              <w:ind w:left="1280"/>
              <w:spacing w:after="0"/>
              <w:rPr>
                <w:sz w:val="20"/>
                <w:szCs w:val="20"/>
                <w:color w:val="auto"/>
              </w:rPr>
            </w:pPr>
            <w:r>
              <w:rPr>
                <w:rFonts w:ascii="Arial" w:cs="Arial" w:eastAsia="Arial" w:hAnsi="Arial"/>
                <w:sz w:val="14"/>
                <w:szCs w:val="14"/>
                <w:b w:val="1"/>
                <w:bCs w:val="1"/>
                <w:color w:val="auto"/>
              </w:rPr>
              <w:t>Base Year Index (ECI):</w:t>
            </w:r>
          </w:p>
        </w:tc>
        <w:tc>
          <w:tcPr>
            <w:tcW w:w="800" w:type="dxa"/>
            <w:vAlign w:val="bottom"/>
          </w:tcPr>
          <w:p>
            <w:pPr>
              <w:spacing w:after="0"/>
              <w:rPr>
                <w:sz w:val="22"/>
                <w:szCs w:val="22"/>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Aircraft Basic Price (Excluding</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4"/>
                <w:szCs w:val="14"/>
                <w:b w:val="1"/>
                <w:bCs w:val="1"/>
                <w:color w:val="auto"/>
              </w:rPr>
              <w:t>BFE/SPE):</w:t>
            </w:r>
          </w:p>
        </w:tc>
        <w:tc>
          <w:tcPr>
            <w:tcW w:w="10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480" w:type="dxa"/>
            <w:vAlign w:val="bottom"/>
            <w:gridSpan w:val="3"/>
          </w:tcPr>
          <w:p>
            <w:pPr>
              <w:ind w:left="1280"/>
              <w:spacing w:after="0"/>
              <w:rPr>
                <w:sz w:val="20"/>
                <w:szCs w:val="20"/>
                <w:color w:val="auto"/>
              </w:rPr>
            </w:pPr>
            <w:r>
              <w:rPr>
                <w:rFonts w:ascii="Arial" w:cs="Arial" w:eastAsia="Arial" w:hAnsi="Arial"/>
                <w:sz w:val="14"/>
                <w:szCs w:val="14"/>
                <w:b w:val="1"/>
                <w:bCs w:val="1"/>
                <w:color w:val="auto"/>
              </w:rPr>
              <w:t>Base Year Index (CPI):</w:t>
            </w:r>
          </w:p>
        </w:tc>
        <w:tc>
          <w:tcPr>
            <w:tcW w:w="800" w:type="dxa"/>
            <w:vAlign w:val="bottom"/>
          </w:tcPr>
          <w:p>
            <w:pPr>
              <w:spacing w:after="0"/>
              <w:rPr>
                <w:sz w:val="22"/>
                <w:szCs w:val="22"/>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Buyer Furnished Equipment (BFE)</w:t>
            </w:r>
          </w:p>
        </w:tc>
        <w:tc>
          <w:tcPr>
            <w:tcW w:w="1120" w:type="dxa"/>
            <w:vAlign w:val="bottom"/>
            <w:tcBorders>
              <w:bottom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0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0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Seller Purchased Equipment (SPE)</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0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LIFT Seats Provided by Boeing</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4"/>
                <w:szCs w:val="14"/>
                <w:b w:val="1"/>
                <w:bCs w:val="1"/>
                <w:color w:val="auto"/>
              </w:rPr>
              <w:t>(Estimate):</w:t>
            </w:r>
          </w:p>
        </w:tc>
        <w:tc>
          <w:tcPr>
            <w:tcW w:w="10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14"/>
                <w:szCs w:val="14"/>
                <w:b w:val="1"/>
                <w:bCs w:val="1"/>
                <w:color w:val="auto"/>
              </w:rPr>
              <w:t>Deposit per Aircraft:</w:t>
            </w:r>
          </w:p>
        </w:tc>
        <w:tc>
          <w:tcPr>
            <w:tcW w:w="10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900" w:type="dxa"/>
            <w:vAlign w:val="bottom"/>
            <w:tcBorders>
              <w:top w:val="single" w:sz="8" w:color="auto"/>
              <w:left w:val="single" w:sz="8" w:color="auto"/>
              <w:right w:val="single" w:sz="8" w:color="auto"/>
            </w:tcBorders>
          </w:tcPr>
          <w:p>
            <w:pPr>
              <w:spacing w:after="0"/>
              <w:rPr>
                <w:sz w:val="21"/>
                <w:szCs w:val="21"/>
                <w:color w:val="auto"/>
              </w:rPr>
            </w:pPr>
          </w:p>
        </w:tc>
        <w:tc>
          <w:tcPr>
            <w:tcW w:w="960" w:type="dxa"/>
            <w:vAlign w:val="bottom"/>
            <w:tcBorders>
              <w:top w:val="single" w:sz="8" w:color="auto"/>
              <w:right w:val="single" w:sz="8" w:color="auto"/>
            </w:tcBorders>
          </w:tcPr>
          <w:p>
            <w:pPr>
              <w:spacing w:after="0"/>
              <w:rPr>
                <w:sz w:val="21"/>
                <w:szCs w:val="21"/>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580" w:type="dxa"/>
            <w:vAlign w:val="bottom"/>
            <w:tcBorders>
              <w:top w:val="single" w:sz="8" w:color="auto"/>
              <w:right w:val="single" w:sz="8" w:color="auto"/>
            </w:tcBorders>
            <w:shd w:val="clear" w:color="auto" w:fill="C0C0C0"/>
          </w:tcPr>
          <w:p>
            <w:pPr>
              <w:spacing w:after="0"/>
              <w:rPr>
                <w:sz w:val="21"/>
                <w:szCs w:val="21"/>
                <w:color w:val="auto"/>
              </w:rPr>
            </w:pPr>
          </w:p>
        </w:tc>
        <w:tc>
          <w:tcPr>
            <w:tcW w:w="1180" w:type="dxa"/>
            <w:vAlign w:val="bottom"/>
            <w:tcBorders>
              <w:top w:val="single" w:sz="8" w:color="auto"/>
              <w:right w:val="single" w:sz="8" w:color="C0C0C0"/>
            </w:tcBorders>
            <w:shd w:val="clear" w:color="auto" w:fill="C0C0C0"/>
          </w:tcPr>
          <w:p>
            <w:pPr>
              <w:spacing w:after="0"/>
              <w:rPr>
                <w:sz w:val="21"/>
                <w:szCs w:val="21"/>
                <w:color w:val="auto"/>
              </w:rPr>
            </w:pPr>
          </w:p>
        </w:tc>
        <w:tc>
          <w:tcPr>
            <w:tcW w:w="240" w:type="dxa"/>
            <w:vAlign w:val="bottom"/>
            <w:tcBorders>
              <w:top w:val="single" w:sz="8" w:color="auto"/>
              <w:right w:val="single" w:sz="8" w:color="auto"/>
            </w:tcBorders>
            <w:shd w:val="clear" w:color="auto" w:fill="C0C0C0"/>
          </w:tcPr>
          <w:p>
            <w:pPr>
              <w:spacing w:after="0"/>
              <w:rPr>
                <w:sz w:val="21"/>
                <w:szCs w:val="21"/>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Escalation Estimate</w:t>
            </w:r>
          </w:p>
        </w:tc>
        <w:tc>
          <w:tcPr>
            <w:tcW w:w="60" w:type="dxa"/>
            <w:vAlign w:val="bottom"/>
            <w:tcBorders>
              <w:top w:val="single" w:sz="8" w:color="auto"/>
              <w:right w:val="single" w:sz="8" w:color="auto"/>
            </w:tcBorders>
          </w:tcPr>
          <w:p>
            <w:pPr>
              <w:spacing w:after="0"/>
              <w:rPr>
                <w:sz w:val="21"/>
                <w:szCs w:val="21"/>
                <w:color w:val="auto"/>
              </w:rPr>
            </w:pPr>
          </w:p>
        </w:tc>
        <w:tc>
          <w:tcPr>
            <w:tcW w:w="45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5"/>
              </w:rPr>
              <w:t>Advance Payment Per Aircraft (Amts. Due/Mos. Prior to Delivery):</w:t>
            </w:r>
          </w:p>
        </w:tc>
        <w:tc>
          <w:tcPr>
            <w:tcW w:w="240" w:type="dxa"/>
            <w:vAlign w:val="bottom"/>
            <w:tcBorders>
              <w:top w:val="single" w:sz="8" w:color="auto"/>
              <w:right w:val="single" w:sz="8" w:color="auto"/>
            </w:tcBorders>
          </w:tcPr>
          <w:p>
            <w:pPr>
              <w:spacing w:after="0"/>
              <w:rPr>
                <w:sz w:val="21"/>
                <w:szCs w:val="21"/>
                <w:color w:val="auto"/>
              </w:rPr>
            </w:pPr>
          </w:p>
        </w:tc>
      </w:tr>
      <w:tr>
        <w:trPr>
          <w:trHeight w:val="80"/>
        </w:trPr>
        <w:tc>
          <w:tcPr>
            <w:tcW w:w="900" w:type="dxa"/>
            <w:vAlign w:val="bottom"/>
            <w:tcBorders>
              <w:left w:val="single" w:sz="8" w:color="auto"/>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180" w:type="dxa"/>
            <w:vAlign w:val="bottom"/>
            <w:tcBorders>
              <w:bottom w:val="single" w:sz="8" w:color="auto"/>
              <w:right w:val="single" w:sz="8" w:color="C0C0C0"/>
            </w:tcBorders>
            <w:shd w:val="clear" w:color="auto" w:fill="C0C0C0"/>
          </w:tcPr>
          <w:p>
            <w:pPr>
              <w:spacing w:after="0"/>
              <w:rPr>
                <w:sz w:val="6"/>
                <w:szCs w:val="6"/>
                <w:color w:val="auto"/>
              </w:rPr>
            </w:pPr>
          </w:p>
        </w:tc>
        <w:tc>
          <w:tcPr>
            <w:tcW w:w="240" w:type="dxa"/>
            <w:vAlign w:val="bottom"/>
            <w:tcBorders>
              <w:bottom w:val="single" w:sz="8" w:color="auto"/>
              <w:right w:val="single" w:sz="8" w:color="auto"/>
            </w:tcBorders>
            <w:shd w:val="clear" w:color="auto" w:fill="C0C0C0"/>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r>
      <w:tr>
        <w:trPr>
          <w:trHeight w:val="225"/>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580" w:type="dxa"/>
            <w:vAlign w:val="bottom"/>
            <w:tcBorders>
              <w:right w:val="single" w:sz="8" w:color="auto"/>
            </w:tcBorders>
            <w:shd w:val="clear" w:color="auto" w:fill="C0C0C0"/>
          </w:tcPr>
          <w:p>
            <w:pPr>
              <w:spacing w:after="0"/>
              <w:rPr>
                <w:sz w:val="19"/>
                <w:szCs w:val="19"/>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Nominal Delivery</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80" w:type="dxa"/>
            <w:vAlign w:val="bottom"/>
          </w:tcPr>
          <w:p>
            <w:pPr>
              <w:spacing w:after="0"/>
              <w:rPr>
                <w:sz w:val="19"/>
                <w:szCs w:val="19"/>
                <w:color w:val="auto"/>
              </w:rPr>
            </w:pP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At Signing</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700" w:type="dxa"/>
            <w:vAlign w:val="bottom"/>
            <w:tcBorders>
              <w:right w:val="single" w:sz="8" w:color="auto"/>
            </w:tcBorders>
          </w:tcPr>
          <w:p>
            <w:pPr>
              <w:ind w:left="6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9"/>
                <w:szCs w:val="19"/>
                <w:color w:val="auto"/>
              </w:rPr>
            </w:pPr>
          </w:p>
        </w:tc>
      </w:tr>
      <w:tr>
        <w:trPr>
          <w:trHeight w:val="79"/>
        </w:trPr>
        <w:tc>
          <w:tcPr>
            <w:tcW w:w="900" w:type="dxa"/>
            <w:vAlign w:val="bottom"/>
            <w:tcBorders>
              <w:left w:val="single" w:sz="8" w:color="auto"/>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180" w:type="dxa"/>
            <w:vAlign w:val="bottom"/>
            <w:tcBorders>
              <w:bottom w:val="single" w:sz="8" w:color="auto"/>
              <w:right w:val="single" w:sz="8" w:color="auto"/>
            </w:tcBorders>
            <w:shd w:val="clear" w:color="auto" w:fill="C0C0C0"/>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225"/>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580" w:type="dxa"/>
            <w:vAlign w:val="bottom"/>
            <w:tcBorders>
              <w:right w:val="single" w:sz="8" w:color="auto"/>
            </w:tcBorders>
            <w:shd w:val="clear" w:color="auto" w:fill="C0C0C0"/>
          </w:tcPr>
          <w:p>
            <w:pPr>
              <w:spacing w:after="0"/>
              <w:rPr>
                <w:sz w:val="19"/>
                <w:szCs w:val="19"/>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240" w:type="dxa"/>
            <w:vAlign w:val="bottom"/>
          </w:tcPr>
          <w:p>
            <w:pPr>
              <w:spacing w:after="0"/>
              <w:rPr>
                <w:sz w:val="19"/>
                <w:szCs w:val="19"/>
                <w:color w:val="auto"/>
              </w:rPr>
            </w:pPr>
          </w:p>
        </w:tc>
        <w:tc>
          <w:tcPr>
            <w:tcW w:w="1100" w:type="dxa"/>
            <w:vAlign w:val="bottom"/>
            <w:tcBorders>
              <w:right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3"/>
              </w:rPr>
              <w:t>Price Per A/P</w:t>
            </w:r>
          </w:p>
        </w:tc>
        <w:tc>
          <w:tcPr>
            <w:tcW w:w="180" w:type="dxa"/>
            <w:vAlign w:val="bottom"/>
          </w:tcPr>
          <w:p>
            <w:pPr>
              <w:spacing w:after="0"/>
              <w:rPr>
                <w:sz w:val="19"/>
                <w:szCs w:val="19"/>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9"/>
                <w:szCs w:val="19"/>
                <w:color w:val="auto"/>
              </w:rPr>
            </w:pPr>
          </w:p>
        </w:tc>
      </w:tr>
      <w:tr>
        <w:trPr>
          <w:trHeight w:val="80"/>
        </w:trPr>
        <w:tc>
          <w:tcPr>
            <w:tcW w:w="900" w:type="dxa"/>
            <w:vAlign w:val="bottom"/>
            <w:tcBorders>
              <w:left w:val="single" w:sz="8" w:color="auto"/>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shd w:val="clear" w:color="auto" w:fill="C0C0C0"/>
          </w:tcPr>
          <w:p>
            <w:pPr>
              <w:spacing w:after="0"/>
              <w:rPr>
                <w:sz w:val="6"/>
                <w:szCs w:val="6"/>
                <w:color w:val="auto"/>
              </w:rPr>
            </w:pPr>
          </w:p>
        </w:tc>
        <w:tc>
          <w:tcPr>
            <w:tcW w:w="1180" w:type="dxa"/>
            <w:vAlign w:val="bottom"/>
            <w:tcBorders>
              <w:bottom w:val="single" w:sz="8" w:color="auto"/>
              <w:right w:val="single" w:sz="8" w:color="auto"/>
            </w:tcBorders>
            <w:shd w:val="clear" w:color="auto" w:fill="C0C0C0"/>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290"/>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8"/>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0"/>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8"/>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0"/>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8"/>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9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7"/>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7"/>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7"/>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8"/>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0"/>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90"/>
              </w:rPr>
              <w:t>Yes</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8"/>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r>
        <w:trPr>
          <w:trHeight w:val="291"/>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9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shd w:val="clear" w:color="auto" w:fill="C0C0C0"/>
          </w:tcPr>
          <w:p>
            <w:pPr>
              <w:spacing w:after="0"/>
              <w:rPr>
                <w:sz w:val="24"/>
                <w:szCs w:val="24"/>
                <w:color w:val="auto"/>
              </w:rPr>
            </w:pP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No</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Borders>
              <w:right w:val="single" w:sz="8" w:color="auto"/>
            </w:tcBorders>
            <w:gridSpan w:val="2"/>
          </w:tcPr>
          <w:p>
            <w:pPr>
              <w:jc w:val="center"/>
              <w:ind w:right="14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r>
      <w:tr>
        <w:trPr>
          <w:trHeight w:val="68"/>
        </w:trPr>
        <w:tc>
          <w:tcPr>
            <w:tcW w:w="900" w:type="dxa"/>
            <w:vAlign w:val="bottom"/>
            <w:tcBorders>
              <w:left w:val="single" w:sz="8" w:color="auto"/>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shd w:val="clear" w:color="auto" w:fill="C0C0C0"/>
          </w:tcPr>
          <w:p>
            <w:pPr>
              <w:spacing w:after="0"/>
              <w:rPr>
                <w:sz w:val="5"/>
                <w:szCs w:val="5"/>
                <w:color w:val="auto"/>
              </w:rPr>
            </w:pPr>
          </w:p>
        </w:tc>
        <w:tc>
          <w:tcPr>
            <w:tcW w:w="1180" w:type="dxa"/>
            <w:vAlign w:val="bottom"/>
            <w:tcBorders>
              <w:bottom w:val="single" w:sz="8" w:color="auto"/>
              <w:right w:val="single" w:sz="8" w:color="auto"/>
            </w:tcBorders>
            <w:shd w:val="clear" w:color="auto" w:fill="C0C0C0"/>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24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60"/>
          </w:cols>
          <w:pgMar w:left="320" w:top="137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Arial" w:cs="Arial" w:eastAsia="Arial" w:hAnsi="Arial"/>
          <w:sz w:val="22"/>
          <w:szCs w:val="22"/>
          <w:color w:val="auto"/>
        </w:rPr>
        <w:t>Boeing Proprietary</w:t>
      </w:r>
      <w:r>
        <w:rPr>
          <w:sz w:val="20"/>
          <w:szCs w:val="20"/>
          <w:color w:val="auto"/>
        </w:rPr>
        <w:tab/>
      </w:r>
      <w:r>
        <w:rPr>
          <w:rFonts w:ascii="Arial" w:cs="Arial" w:eastAsia="Arial" w:hAnsi="Arial"/>
          <w:sz w:val="21"/>
          <w:szCs w:val="21"/>
          <w:color w:val="auto"/>
        </w:rPr>
        <w:t>SA-31</w:t>
      </w:r>
    </w:p>
    <w:p>
      <w:pPr>
        <w:ind w:left="480"/>
        <w:spacing w:after="0"/>
        <w:rPr>
          <w:sz w:val="20"/>
          <w:szCs w:val="20"/>
          <w:color w:val="auto"/>
        </w:rPr>
      </w:pPr>
      <w:r>
        <w:rPr>
          <w:rFonts w:ascii="Arial" w:cs="Arial" w:eastAsia="Arial" w:hAnsi="Arial"/>
          <w:sz w:val="22"/>
          <w:szCs w:val="22"/>
          <w:color w:val="auto"/>
        </w:rPr>
        <w:t>Page 1</w:t>
      </w:r>
    </w:p>
    <w:p>
      <w:pPr>
        <w:sectPr>
          <w:pgSz w:w="11900" w:h="16838" w:orient="portrait"/>
          <w:cols w:equalWidth="0" w:num="1">
            <w:col w:w="11260"/>
          </w:cols>
          <w:pgMar w:left="320" w:top="1379" w:right="319" w:bottom="1440" w:gutter="0" w:footer="0" w:header="0"/>
          <w:type w:val="continuous"/>
        </w:sectPr>
      </w:pPr>
    </w:p>
    <w:bookmarkStart w:id="108" w:name="page109"/>
    <w:bookmarkEnd w:id="10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940" w:type="dxa"/>
            <w:vAlign w:val="bottom"/>
            <w:tcBorders>
              <w:top w:val="single" w:sz="8" w:color="auto"/>
              <w:left w:val="single" w:sz="8" w:color="auto"/>
              <w:right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Escalation</w:t>
            </w:r>
          </w:p>
        </w:tc>
        <w:tc>
          <w:tcPr>
            <w:tcW w:w="620" w:type="dxa"/>
            <w:vAlign w:val="bottom"/>
            <w:tcBorders>
              <w:top w:val="single" w:sz="8" w:color="auto"/>
              <w:right w:val="single" w:sz="8" w:color="auto"/>
            </w:tcBorders>
            <w:shd w:val="clear" w:color="auto" w:fill="C0C0C0"/>
          </w:tcPr>
          <w:p>
            <w:pPr>
              <w:spacing w:after="0"/>
              <w:rPr>
                <w:sz w:val="21"/>
                <w:szCs w:val="21"/>
                <w:color w:val="auto"/>
              </w:rPr>
            </w:pPr>
          </w:p>
        </w:tc>
        <w:tc>
          <w:tcPr>
            <w:tcW w:w="1220" w:type="dxa"/>
            <w:vAlign w:val="bottom"/>
            <w:tcBorders>
              <w:top w:val="single" w:sz="8" w:color="auto"/>
              <w:right w:val="single" w:sz="8" w:color="auto"/>
            </w:tcBorders>
            <w:shd w:val="clear" w:color="auto" w:fill="C0C0C0"/>
          </w:tcPr>
          <w:p>
            <w:pPr>
              <w:spacing w:after="0"/>
              <w:rPr>
                <w:sz w:val="21"/>
                <w:szCs w:val="21"/>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Escalation Estimate</w:t>
            </w:r>
          </w:p>
        </w:tc>
        <w:tc>
          <w:tcPr>
            <w:tcW w:w="4660" w:type="dxa"/>
            <w:vAlign w:val="bottom"/>
            <w:tcBorders>
              <w:top w:val="single" w:sz="8" w:color="auto"/>
              <w:right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Advance Payment Per Aircraft (Amts. Due/Mos. Prior to Delivery):</w:t>
            </w:r>
          </w:p>
        </w:tc>
        <w:tc>
          <w:tcPr>
            <w:tcW w:w="220" w:type="dxa"/>
            <w:vAlign w:val="bottom"/>
          </w:tcPr>
          <w:p>
            <w:pPr>
              <w:spacing w:after="0"/>
              <w:rPr>
                <w:sz w:val="21"/>
                <w:szCs w:val="21"/>
                <w:color w:val="auto"/>
              </w:rPr>
            </w:pPr>
          </w:p>
        </w:tc>
      </w:tr>
      <w:tr>
        <w:trPr>
          <w:trHeight w:val="79"/>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r>
      <w:tr>
        <w:trPr>
          <w:trHeight w:val="225"/>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62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Nominal Delivery</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220" w:type="dxa"/>
            <w:vAlign w:val="bottom"/>
            <w:tcBorders>
              <w:right w:val="single" w:sz="8" w:color="auto"/>
            </w:tcBorders>
          </w:tcPr>
          <w:p>
            <w:pPr>
              <w:ind w:left="260"/>
              <w:spacing w:after="0"/>
              <w:rPr>
                <w:sz w:val="20"/>
                <w:szCs w:val="20"/>
                <w:color w:val="auto"/>
              </w:rPr>
            </w:pPr>
            <w:r>
              <w:rPr>
                <w:rFonts w:ascii="Arial" w:cs="Arial" w:eastAsia="Arial" w:hAnsi="Arial"/>
                <w:sz w:val="14"/>
                <w:szCs w:val="14"/>
                <w:b w:val="1"/>
                <w:bCs w:val="1"/>
                <w:color w:val="auto"/>
              </w:rPr>
              <w:t>At Signing</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9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8"/>
              </w:rPr>
              <w:t>Factor</w:t>
            </w:r>
          </w:p>
        </w:tc>
      </w:tr>
      <w:tr>
        <w:trPr>
          <w:trHeight w:val="80"/>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620" w:type="dxa"/>
            <w:vAlign w:val="bottom"/>
            <w:tcBorders>
              <w:right w:val="single" w:sz="8" w:color="auto"/>
            </w:tcBorders>
            <w:shd w:val="clear" w:color="auto" w:fill="C0C0C0"/>
          </w:tcPr>
          <w:p>
            <w:pPr>
              <w:spacing w:after="0"/>
              <w:rPr>
                <w:sz w:val="19"/>
                <w:szCs w:val="19"/>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Month</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A/P</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9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8"/>
              </w:rPr>
              <w:t>(Airframe)</w:t>
            </w:r>
          </w:p>
        </w:tc>
      </w:tr>
      <w:tr>
        <w:trPr>
          <w:trHeight w:val="80"/>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shd w:val="clear" w:color="auto" w:fill="C0C0C0"/>
          </w:tcPr>
          <w:p>
            <w:pPr>
              <w:spacing w:after="0"/>
              <w:rPr>
                <w:sz w:val="6"/>
                <w:szCs w:val="6"/>
                <w:color w:val="auto"/>
              </w:rPr>
            </w:pPr>
          </w:p>
        </w:tc>
        <w:tc>
          <w:tcPr>
            <w:tcW w:w="1220" w:type="dxa"/>
            <w:vAlign w:val="bottom"/>
            <w:tcBorders>
              <w:bottom w:val="single" w:sz="8" w:color="auto"/>
              <w:right w:val="single" w:sz="8" w:color="auto"/>
            </w:tcBorders>
            <w:shd w:val="clear" w:color="auto" w:fill="C0C0C0"/>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9"/>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2"/>
              </w:rPr>
              <w:t>Yes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9"/>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9"/>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2"/>
              </w:rPr>
              <w:t>Yes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9"/>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9"/>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2"/>
              </w:rPr>
              <w:t>Yes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9"/>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9"/>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2"/>
              </w:rPr>
              <w:t>Yes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w w:val="89"/>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40" w:type="dxa"/>
            <w:vAlign w:val="bottom"/>
          </w:tcPr>
          <w:p>
            <w:pPr>
              <w:jc w:val="center"/>
              <w:ind w:left="111"/>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4"/>
                <w:szCs w:val="24"/>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Arial" w:cs="Arial" w:eastAsia="Arial" w:hAnsi="Arial"/>
          <w:sz w:val="22"/>
          <w:szCs w:val="22"/>
          <w:color w:val="auto"/>
        </w:rPr>
        <w:t>Boeing Proprietary</w:t>
      </w:r>
      <w:r>
        <w:rPr>
          <w:sz w:val="20"/>
          <w:szCs w:val="20"/>
          <w:color w:val="auto"/>
        </w:rPr>
        <w:tab/>
      </w:r>
      <w:r>
        <w:rPr>
          <w:rFonts w:ascii="Arial" w:cs="Arial" w:eastAsia="Arial" w:hAnsi="Arial"/>
          <w:sz w:val="21"/>
          <w:szCs w:val="21"/>
          <w:color w:val="auto"/>
        </w:rPr>
        <w:t>SA-31</w:t>
      </w:r>
    </w:p>
    <w:p>
      <w:pPr>
        <w:ind w:left="480"/>
        <w:spacing w:after="0"/>
        <w:rPr>
          <w:sz w:val="20"/>
          <w:szCs w:val="20"/>
          <w:color w:val="auto"/>
        </w:rPr>
      </w:pPr>
      <w:r>
        <w:rPr>
          <w:rFonts w:ascii="Arial" w:cs="Arial" w:eastAsia="Arial" w:hAnsi="Arial"/>
          <w:sz w:val="22"/>
          <w:szCs w:val="22"/>
          <w:color w:val="auto"/>
        </w:rPr>
        <w:t>Page 2</w:t>
      </w:r>
    </w:p>
    <w:p>
      <w:pPr>
        <w:sectPr>
          <w:pgSz w:w="11900" w:h="16838" w:orient="portrait"/>
          <w:cols w:equalWidth="0" w:num="1">
            <w:col w:w="11260"/>
          </w:cols>
          <w:pgMar w:left="320" w:top="1440" w:right="319" w:bottom="1440" w:gutter="0" w:footer="0" w:header="0"/>
        </w:sectPr>
      </w:pPr>
    </w:p>
    <w:bookmarkStart w:id="109" w:name="page110"/>
    <w:bookmarkEnd w:id="10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940" w:type="dxa"/>
            <w:vAlign w:val="bottom"/>
            <w:tcBorders>
              <w:top w:val="single" w:sz="8" w:color="auto"/>
              <w:left w:val="single" w:sz="8" w:color="auto"/>
              <w:right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spacing w:after="0"/>
              <w:rPr>
                <w:sz w:val="21"/>
                <w:szCs w:val="21"/>
                <w:color w:val="auto"/>
              </w:rPr>
            </w:pPr>
          </w:p>
        </w:tc>
        <w:tc>
          <w:tcPr>
            <w:tcW w:w="620" w:type="dxa"/>
            <w:vAlign w:val="bottom"/>
            <w:tcBorders>
              <w:top w:val="single" w:sz="8" w:color="auto"/>
              <w:right w:val="single" w:sz="8" w:color="auto"/>
            </w:tcBorders>
            <w:shd w:val="clear" w:color="auto" w:fill="C0C0C0"/>
          </w:tcPr>
          <w:p>
            <w:pPr>
              <w:spacing w:after="0"/>
              <w:rPr>
                <w:sz w:val="21"/>
                <w:szCs w:val="21"/>
                <w:color w:val="auto"/>
              </w:rPr>
            </w:pPr>
          </w:p>
        </w:tc>
        <w:tc>
          <w:tcPr>
            <w:tcW w:w="1240" w:type="dxa"/>
            <w:vAlign w:val="bottom"/>
            <w:tcBorders>
              <w:top w:val="single" w:sz="8" w:color="auto"/>
              <w:right w:val="single" w:sz="8" w:color="auto"/>
            </w:tcBorders>
            <w:shd w:val="clear" w:color="auto" w:fill="C0C0C0"/>
          </w:tcPr>
          <w:p>
            <w:pPr>
              <w:spacing w:after="0"/>
              <w:rPr>
                <w:sz w:val="21"/>
                <w:szCs w:val="21"/>
                <w:color w:val="auto"/>
              </w:rPr>
            </w:pPr>
          </w:p>
        </w:tc>
        <w:tc>
          <w:tcPr>
            <w:tcW w:w="1560" w:type="dxa"/>
            <w:vAlign w:val="bottom"/>
            <w:tcBorders>
              <w:top w:val="single" w:sz="8" w:color="auto"/>
              <w:right w:val="single" w:sz="8" w:color="auto"/>
            </w:tcBorders>
          </w:tcPr>
          <w:p>
            <w:pPr>
              <w:spacing w:after="0"/>
              <w:rPr>
                <w:sz w:val="21"/>
                <w:szCs w:val="21"/>
                <w:color w:val="auto"/>
              </w:rPr>
            </w:pPr>
          </w:p>
        </w:tc>
        <w:tc>
          <w:tcPr>
            <w:tcW w:w="4140" w:type="dxa"/>
            <w:vAlign w:val="bottom"/>
            <w:tcBorders>
              <w:top w:val="single" w:sz="8" w:color="auto"/>
              <w:right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Advance Payment Per Aircraft (Amts. Due/Mos. Prior to</w:t>
            </w:r>
          </w:p>
        </w:tc>
      </w:tr>
      <w:tr>
        <w:trPr>
          <w:trHeight w:val="257"/>
        </w:trPr>
        <w:tc>
          <w:tcPr>
            <w:tcW w:w="940" w:type="dxa"/>
            <w:vAlign w:val="bottom"/>
            <w:tcBorders>
              <w:left w:val="single" w:sz="8" w:color="auto"/>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620" w:type="dxa"/>
            <w:vAlign w:val="bottom"/>
            <w:tcBorders>
              <w:right w:val="single" w:sz="8" w:color="auto"/>
            </w:tcBorders>
            <w:shd w:val="clear" w:color="auto" w:fill="C0C0C0"/>
          </w:tcPr>
          <w:p>
            <w:pPr>
              <w:spacing w:after="0"/>
              <w:rPr>
                <w:sz w:val="22"/>
                <w:szCs w:val="22"/>
                <w:color w:val="auto"/>
              </w:rPr>
            </w:pPr>
          </w:p>
        </w:tc>
        <w:tc>
          <w:tcPr>
            <w:tcW w:w="1240" w:type="dxa"/>
            <w:vAlign w:val="bottom"/>
            <w:tcBorders>
              <w:right w:val="single" w:sz="8" w:color="auto"/>
            </w:tcBorders>
            <w:shd w:val="clear" w:color="auto" w:fill="C0C0C0"/>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Escalation Estimate</w:t>
            </w:r>
          </w:p>
        </w:tc>
        <w:tc>
          <w:tcPr>
            <w:tcW w:w="1240" w:type="dxa"/>
            <w:vAlign w:val="bottom"/>
          </w:tcPr>
          <w:p>
            <w:pPr>
              <w:spacing w:after="0"/>
              <w:rPr>
                <w:sz w:val="22"/>
                <w:szCs w:val="22"/>
                <w:color w:val="auto"/>
              </w:rPr>
            </w:pPr>
          </w:p>
        </w:tc>
        <w:tc>
          <w:tcPr>
            <w:tcW w:w="180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97"/>
              </w:rPr>
              <w:t>Delivery):</w:t>
            </w:r>
          </w:p>
        </w:tc>
        <w:tc>
          <w:tcPr>
            <w:tcW w:w="8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r>
      <w:tr>
        <w:trPr>
          <w:trHeight w:val="66"/>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620" w:type="dxa"/>
            <w:vAlign w:val="bottom"/>
            <w:tcBorders>
              <w:right w:val="single" w:sz="8" w:color="auto"/>
            </w:tcBorders>
            <w:shd w:val="clear" w:color="auto" w:fill="C0C0C0"/>
          </w:tcPr>
          <w:p>
            <w:pPr>
              <w:spacing w:after="0"/>
              <w:rPr>
                <w:sz w:val="19"/>
                <w:szCs w:val="19"/>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Nominal Delivery</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Adv Payment Base</w:t>
            </w:r>
          </w:p>
        </w:tc>
        <w:tc>
          <w:tcPr>
            <w:tcW w:w="1240" w:type="dxa"/>
            <w:vAlign w:val="bottom"/>
            <w:tcBorders>
              <w:right w:val="single" w:sz="8" w:color="auto"/>
            </w:tcBorders>
          </w:tcPr>
          <w:p>
            <w:pPr>
              <w:ind w:left="280"/>
              <w:spacing w:after="0"/>
              <w:rPr>
                <w:sz w:val="20"/>
                <w:szCs w:val="20"/>
                <w:color w:val="auto"/>
              </w:rPr>
            </w:pPr>
            <w:r>
              <w:rPr>
                <w:rFonts w:ascii="Arial" w:cs="Arial" w:eastAsia="Arial" w:hAnsi="Arial"/>
                <w:sz w:val="14"/>
                <w:szCs w:val="14"/>
                <w:b w:val="1"/>
                <w:bCs w:val="1"/>
                <w:color w:val="auto"/>
              </w:rPr>
              <w:t>At Signing</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80" w:type="dxa"/>
            <w:vAlign w:val="bottom"/>
            <w:tcBorders>
              <w:right w:val="single" w:sz="8" w:color="auto"/>
            </w:tcBorders>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r>
      <w:tr>
        <w:trPr>
          <w:trHeight w:val="80"/>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shd w:val="clear" w:color="auto" w:fill="C0C0C0"/>
          </w:tcPr>
          <w:p>
            <w:pPr>
              <w:spacing w:after="0"/>
              <w:rPr>
                <w:sz w:val="6"/>
                <w:szCs w:val="6"/>
                <w:color w:val="auto"/>
              </w:rPr>
            </w:pPr>
          </w:p>
        </w:tc>
        <w:tc>
          <w:tcPr>
            <w:tcW w:w="1240" w:type="dxa"/>
            <w:vAlign w:val="bottom"/>
            <w:tcBorders>
              <w:bottom w:val="single" w:sz="8" w:color="auto"/>
              <w:right w:val="single" w:sz="8" w:color="auto"/>
            </w:tcBorders>
            <w:shd w:val="clear" w:color="auto" w:fill="C0C0C0"/>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620" w:type="dxa"/>
            <w:vAlign w:val="bottom"/>
            <w:tcBorders>
              <w:right w:val="single" w:sz="8" w:color="auto"/>
            </w:tcBorders>
            <w:shd w:val="clear" w:color="auto" w:fill="C0C0C0"/>
          </w:tcPr>
          <w:p>
            <w:pPr>
              <w:spacing w:after="0"/>
              <w:rPr>
                <w:sz w:val="19"/>
                <w:szCs w:val="19"/>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 Per A/P</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Borders>
              <w:right w:val="single" w:sz="8" w:color="auto"/>
            </w:tcBorders>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Aircraft</w:t>
            </w:r>
          </w:p>
        </w:tc>
        <w:tc>
          <w:tcPr>
            <w:tcW w:w="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r>
      <w:tr>
        <w:trPr>
          <w:trHeight w:val="80"/>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shd w:val="clear" w:color="auto" w:fill="C0C0C0"/>
          </w:tcPr>
          <w:p>
            <w:pPr>
              <w:spacing w:after="0"/>
              <w:rPr>
                <w:sz w:val="6"/>
                <w:szCs w:val="6"/>
                <w:color w:val="auto"/>
              </w:rPr>
            </w:pPr>
          </w:p>
        </w:tc>
        <w:tc>
          <w:tcPr>
            <w:tcW w:w="1240" w:type="dxa"/>
            <w:vAlign w:val="bottom"/>
            <w:tcBorders>
              <w:bottom w:val="single" w:sz="8" w:color="auto"/>
              <w:right w:val="single" w:sz="8" w:color="auto"/>
            </w:tcBorders>
            <w:shd w:val="clear" w:color="auto" w:fill="C0C0C0"/>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auto"/>
            </w:tcBorders>
            <w:shd w:val="clear" w:color="auto" w:fill="C0C0C0"/>
          </w:tcPr>
          <w:p>
            <w:pPr>
              <w:spacing w:after="0"/>
              <w:rPr>
                <w:sz w:val="24"/>
                <w:szCs w:val="24"/>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8"/>
              </w:rPr>
              <w:t>Yes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shd w:val="clear" w:color="auto" w:fill="C0C0C0"/>
          </w:tcPr>
          <w:p>
            <w:pPr>
              <w:spacing w:after="0"/>
              <w:rPr>
                <w:sz w:val="7"/>
                <w:szCs w:val="7"/>
                <w:color w:val="auto"/>
              </w:rPr>
            </w:pPr>
          </w:p>
        </w:tc>
        <w:tc>
          <w:tcPr>
            <w:tcW w:w="1240" w:type="dxa"/>
            <w:vAlign w:val="bottom"/>
            <w:tcBorders>
              <w:bottom w:val="single" w:sz="8" w:color="auto"/>
              <w:right w:val="single" w:sz="8" w:color="auto"/>
            </w:tcBorders>
            <w:shd w:val="clear" w:color="auto" w:fill="C0C0C0"/>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r>
      <w:tr>
        <w:trPr>
          <w:trHeight w:val="27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3"/>
                <w:szCs w:val="23"/>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C0C0C0"/>
              <w:right w:val="single" w:sz="8" w:color="auto"/>
            </w:tcBorders>
            <w:shd w:val="clear" w:color="auto" w:fill="C0C0C0"/>
          </w:tcPr>
          <w:p>
            <w:pPr>
              <w:spacing w:after="0"/>
              <w:rPr>
                <w:sz w:val="23"/>
                <w:szCs w:val="23"/>
                <w:color w:val="auto"/>
              </w:rPr>
            </w:pPr>
          </w:p>
        </w:tc>
        <w:tc>
          <w:tcPr>
            <w:tcW w:w="1240" w:type="dxa"/>
            <w:vAlign w:val="bottom"/>
            <w:tcBorders>
              <w:top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22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2"/>
          </w:tcPr>
          <w:p>
            <w:pPr>
              <w:jc w:val="right"/>
              <w:ind w:right="191"/>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240" w:type="dxa"/>
            <w:vAlign w:val="bottom"/>
            <w:tcBorders>
              <w:bottom w:val="single" w:sz="8" w:color="auto"/>
              <w:right w:val="single" w:sz="8" w:color="auto"/>
            </w:tcBorders>
            <w:shd w:val="clear" w:color="auto" w:fill="C0C0C0"/>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0560"/>
          </w:cols>
          <w:pgMar w:left="32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 w:right="4960" w:hanging="479"/>
        <w:spacing w:after="0"/>
        <w:rPr>
          <w:sz w:val="20"/>
          <w:szCs w:val="20"/>
          <w:color w:val="auto"/>
        </w:rPr>
      </w:pPr>
      <w:r>
        <w:rPr>
          <w:rFonts w:ascii="Arial" w:cs="Arial" w:eastAsia="Arial" w:hAnsi="Arial"/>
          <w:sz w:val="22"/>
          <w:szCs w:val="22"/>
          <w:color w:val="auto"/>
        </w:rPr>
        <w:t>AAL-PA-03735 118070-1F .txt</w:t>
      </w:r>
      <w:r>
        <w:rPr>
          <w:sz w:val="20"/>
          <w:szCs w:val="20"/>
          <w:color w:val="auto"/>
        </w:rPr>
        <w:t xml:space="preserve"> </w:t>
      </w:r>
      <w:r>
        <w:rPr>
          <w:rFonts w:ascii="Arial" w:cs="Arial" w:eastAsia="Arial" w:hAnsi="Arial"/>
          <w:sz w:val="22"/>
          <w:szCs w:val="22"/>
          <w:color w:val="auto"/>
        </w:rPr>
        <w:t>Boeing Proprietary SA-31 Page 3</w:t>
      </w:r>
    </w:p>
    <w:p>
      <w:pPr>
        <w:sectPr>
          <w:pgSz w:w="11900" w:h="16838" w:orient="portrait"/>
          <w:cols w:equalWidth="0" w:num="1">
            <w:col w:w="10560"/>
          </w:cols>
          <w:pgMar w:left="320" w:top="1440" w:right="1019" w:bottom="1440" w:gutter="0" w:footer="0" w:header="0"/>
          <w:type w:val="continuous"/>
        </w:sectPr>
      </w:pPr>
    </w:p>
    <w:bookmarkStart w:id="110" w:name="page111"/>
    <w:bookmarkEnd w:id="1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940" w:type="dxa"/>
            <w:vAlign w:val="bottom"/>
            <w:tcBorders>
              <w:top w:val="single" w:sz="8" w:color="auto"/>
              <w:left w:val="single" w:sz="8" w:color="auto"/>
              <w:right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680" w:type="dxa"/>
            <w:vAlign w:val="bottom"/>
            <w:tcBorders>
              <w:top w:val="single" w:sz="8" w:color="auto"/>
              <w:right w:val="single" w:sz="8" w:color="auto"/>
            </w:tcBorders>
            <w:shd w:val="clear" w:color="auto" w:fill="C0C0C0"/>
          </w:tcPr>
          <w:p>
            <w:pPr>
              <w:spacing w:after="0"/>
              <w:rPr>
                <w:sz w:val="21"/>
                <w:szCs w:val="21"/>
                <w:color w:val="auto"/>
              </w:rPr>
            </w:pPr>
          </w:p>
        </w:tc>
        <w:tc>
          <w:tcPr>
            <w:tcW w:w="1080" w:type="dxa"/>
            <w:vAlign w:val="bottom"/>
            <w:tcBorders>
              <w:top w:val="single" w:sz="8" w:color="auto"/>
              <w:right w:val="single" w:sz="8" w:color="auto"/>
            </w:tcBorders>
            <w:shd w:val="clear" w:color="auto" w:fill="C0C0C0"/>
          </w:tcPr>
          <w:p>
            <w:pPr>
              <w:spacing w:after="0"/>
              <w:rPr>
                <w:sz w:val="21"/>
                <w:szCs w:val="21"/>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Escalation Estimate</w:t>
            </w:r>
          </w:p>
        </w:tc>
        <w:tc>
          <w:tcPr>
            <w:tcW w:w="4940" w:type="dxa"/>
            <w:vAlign w:val="bottom"/>
            <w:tcBorders>
              <w:top w:val="single" w:sz="8" w:color="auto"/>
              <w:right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Advance Payment Per Aircraft (Amts. Due/Mos. Prior to Delivery):</w:t>
            </w:r>
          </w:p>
        </w:tc>
      </w:tr>
      <w:tr>
        <w:trPr>
          <w:trHeight w:val="79"/>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shd w:val="clear" w:color="auto" w:fill="C0C0C0"/>
          </w:tcPr>
          <w:p>
            <w:pPr>
              <w:spacing w:after="0"/>
              <w:rPr>
                <w:sz w:val="6"/>
                <w:szCs w:val="6"/>
                <w:color w:val="auto"/>
              </w:rPr>
            </w:pPr>
          </w:p>
        </w:tc>
        <w:tc>
          <w:tcPr>
            <w:tcW w:w="1080" w:type="dxa"/>
            <w:vAlign w:val="bottom"/>
            <w:tcBorders>
              <w:bottom w:val="single" w:sz="8" w:color="auto"/>
              <w:right w:val="single" w:sz="8" w:color="auto"/>
            </w:tcBorders>
            <w:shd w:val="clear" w:color="auto" w:fill="C0C0C0"/>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r>
      <w:tr>
        <w:trPr>
          <w:trHeight w:val="225"/>
        </w:trPr>
        <w:tc>
          <w:tcPr>
            <w:tcW w:w="940" w:type="dxa"/>
            <w:vAlign w:val="bottom"/>
            <w:tcBorders>
              <w:left w:val="single" w:sz="8" w:color="auto"/>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shd w:val="clear" w:color="auto" w:fill="C0C0C0"/>
          </w:tcPr>
          <w:p>
            <w:pPr>
              <w:spacing w:after="0"/>
              <w:rPr>
                <w:sz w:val="19"/>
                <w:szCs w:val="19"/>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Nominal</w:t>
            </w:r>
          </w:p>
        </w:tc>
        <w:tc>
          <w:tcPr>
            <w:tcW w:w="15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r>
      <w:tr>
        <w:trPr>
          <w:trHeight w:val="25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680" w:type="dxa"/>
            <w:vAlign w:val="bottom"/>
            <w:tcBorders>
              <w:right w:val="single" w:sz="8" w:color="auto"/>
            </w:tcBorders>
            <w:shd w:val="clear" w:color="auto" w:fill="C0C0C0"/>
          </w:tcPr>
          <w:p>
            <w:pPr>
              <w:spacing w:after="0"/>
              <w:rPr>
                <w:sz w:val="22"/>
                <w:szCs w:val="22"/>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 Payment Base</w:t>
            </w:r>
          </w:p>
        </w:tc>
        <w:tc>
          <w:tcPr>
            <w:tcW w:w="130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At Signing</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r>
      <w:tr>
        <w:trPr>
          <w:trHeight w:val="66"/>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r>
      <w:tr>
        <w:trPr>
          <w:trHeight w:val="22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(Airframe)</w:t>
            </w:r>
          </w:p>
        </w:tc>
        <w:tc>
          <w:tcPr>
            <w:tcW w:w="680" w:type="dxa"/>
            <w:vAlign w:val="bottom"/>
            <w:tcBorders>
              <w:right w:val="single" w:sz="8" w:color="auto"/>
            </w:tcBorders>
            <w:shd w:val="clear" w:color="auto" w:fill="C0C0C0"/>
          </w:tcPr>
          <w:p>
            <w:pPr>
              <w:spacing w:after="0"/>
              <w:rPr>
                <w:sz w:val="19"/>
                <w:szCs w:val="19"/>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9"/>
              </w:rPr>
              <w:t>Month</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A/P</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(Airframe)</w:t>
            </w:r>
          </w:p>
        </w:tc>
      </w:tr>
      <w:tr>
        <w:trPr>
          <w:trHeight w:val="80"/>
        </w:trPr>
        <w:tc>
          <w:tcPr>
            <w:tcW w:w="940" w:type="dxa"/>
            <w:vAlign w:val="bottom"/>
            <w:tcBorders>
              <w:left w:val="single" w:sz="8" w:color="auto"/>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shd w:val="clear" w:color="auto" w:fill="C0C0C0"/>
          </w:tcPr>
          <w:p>
            <w:pPr>
              <w:spacing w:after="0"/>
              <w:rPr>
                <w:sz w:val="6"/>
                <w:szCs w:val="6"/>
                <w:color w:val="auto"/>
              </w:rPr>
            </w:pPr>
          </w:p>
        </w:tc>
        <w:tc>
          <w:tcPr>
            <w:tcW w:w="1080" w:type="dxa"/>
            <w:vAlign w:val="bottom"/>
            <w:tcBorders>
              <w:bottom w:val="single" w:sz="8" w:color="auto"/>
              <w:right w:val="single" w:sz="8" w:color="auto"/>
            </w:tcBorders>
            <w:shd w:val="clear" w:color="auto" w:fill="C0C0C0"/>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r>
      <w:tr>
        <w:trPr>
          <w:trHeight w:val="250"/>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shd w:val="clear" w:color="auto" w:fill="C0C0C0"/>
          </w:tcPr>
          <w:p>
            <w:pPr>
              <w:spacing w:after="0"/>
              <w:rPr>
                <w:sz w:val="21"/>
                <w:szCs w:val="21"/>
                <w:color w:val="auto"/>
              </w:rPr>
            </w:pPr>
          </w:p>
        </w:tc>
        <w:tc>
          <w:tcPr>
            <w:tcW w:w="1080" w:type="dxa"/>
            <w:vAlign w:val="bottom"/>
            <w:tcBorders>
              <w:bottom w:val="single" w:sz="8" w:color="auto"/>
              <w:right w:val="single" w:sz="8" w:color="auto"/>
            </w:tcBorders>
            <w:shd w:val="clear" w:color="auto" w:fill="C0C0C0"/>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r>
      <w:tr>
        <w:trPr>
          <w:trHeight w:val="29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0"/>
              </w:rPr>
              <w:t>Yes</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r>
      <w:tr>
        <w:trPr>
          <w:trHeight w:val="291"/>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c>
          <w:tcPr>
            <w:tcW w:w="10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shd w:val="clear" w:color="auto" w:fill="C0C0C0"/>
          </w:tcPr>
          <w:p>
            <w:pPr>
              <w:spacing w:after="0"/>
              <w:rPr>
                <w:sz w:val="24"/>
                <w:szCs w:val="24"/>
                <w:color w:val="auto"/>
              </w:rPr>
            </w:pPr>
          </w:p>
        </w:tc>
        <w:tc>
          <w:tcPr>
            <w:tcW w:w="10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No</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67"/>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shd w:val="clear" w:color="auto" w:fill="C0C0C0"/>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r>
      <w:tr>
        <w:trPr>
          <w:trHeight w:val="224"/>
        </w:trPr>
        <w:tc>
          <w:tcPr>
            <w:tcW w:w="94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3080" w:val="left"/>
          <w:tab w:leader="none" w:pos="4980" w:val="left"/>
        </w:tabs>
        <w:rPr>
          <w:sz w:val="20"/>
          <w:szCs w:val="20"/>
          <w:color w:val="auto"/>
        </w:rPr>
      </w:pPr>
      <w:r>
        <w:rPr>
          <w:rFonts w:ascii="Arial" w:cs="Arial" w:eastAsia="Arial" w:hAnsi="Arial"/>
          <w:sz w:val="22"/>
          <w:szCs w:val="22"/>
          <w:color w:val="auto"/>
        </w:rPr>
        <w:t>AAL-PA-03735 118070-1F .txt</w:t>
      </w:r>
      <w:r>
        <w:rPr>
          <w:sz w:val="20"/>
          <w:szCs w:val="20"/>
          <w:color w:val="auto"/>
        </w:rPr>
        <w:tab/>
      </w:r>
      <w:r>
        <w:rPr>
          <w:rFonts w:ascii="Arial" w:cs="Arial" w:eastAsia="Arial" w:hAnsi="Arial"/>
          <w:sz w:val="22"/>
          <w:szCs w:val="22"/>
          <w:color w:val="auto"/>
        </w:rPr>
        <w:t>Boeing Proprietary</w:t>
      </w:r>
      <w:r>
        <w:rPr>
          <w:sz w:val="20"/>
          <w:szCs w:val="20"/>
          <w:color w:val="auto"/>
        </w:rPr>
        <w:tab/>
      </w:r>
      <w:r>
        <w:rPr>
          <w:rFonts w:ascii="Arial" w:cs="Arial" w:eastAsia="Arial" w:hAnsi="Arial"/>
          <w:sz w:val="21"/>
          <w:szCs w:val="21"/>
          <w:color w:val="auto"/>
        </w:rPr>
        <w:t>SA-31</w:t>
      </w:r>
    </w:p>
    <w:p>
      <w:pPr>
        <w:ind w:left="480"/>
        <w:spacing w:after="0"/>
        <w:rPr>
          <w:sz w:val="20"/>
          <w:szCs w:val="20"/>
          <w:color w:val="auto"/>
        </w:rPr>
      </w:pPr>
      <w:r>
        <w:rPr>
          <w:rFonts w:ascii="Arial" w:cs="Arial" w:eastAsia="Arial" w:hAnsi="Arial"/>
          <w:sz w:val="22"/>
          <w:szCs w:val="22"/>
          <w:color w:val="auto"/>
        </w:rPr>
        <w:t>Page 4</w:t>
      </w:r>
    </w:p>
    <w:p>
      <w:pPr>
        <w:sectPr>
          <w:pgSz w:w="11900" w:h="16838" w:orient="portrait"/>
          <w:cols w:equalWidth="0" w:num="1">
            <w:col w:w="11260"/>
          </w:cols>
          <w:pgMar w:left="320" w:top="1440" w:right="319" w:bottom="1440" w:gutter="0" w:footer="0" w:header="0"/>
        </w:sectPr>
      </w:pPr>
    </w:p>
    <w:bookmarkStart w:id="111" w:name="page112"/>
    <w:bookmarkEnd w:id="111"/>
    <w:p>
      <w:pPr>
        <w:ind w:left="10040"/>
        <w:spacing w:after="0"/>
        <w:rPr>
          <w:sz w:val="20"/>
          <w:szCs w:val="20"/>
          <w:color w:val="auto"/>
        </w:rPr>
      </w:pPr>
      <w:r>
        <w:rPr>
          <w:rFonts w:ascii="Arial" w:cs="Arial" w:eastAsia="Arial" w:hAnsi="Arial"/>
          <w:sz w:val="21"/>
          <w:szCs w:val="21"/>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40575" cy="2832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40" w:lineRule="exact"/>
        <w:rPr>
          <w:sz w:val="20"/>
          <w:szCs w:val="20"/>
          <w:color w:val="auto"/>
        </w:rPr>
      </w:pPr>
    </w:p>
    <w:p>
      <w:pPr>
        <w:ind w:left="40" w:right="80"/>
        <w:spacing w:after="0" w:line="244"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20</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Purchase Agreement No. 3219</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787 Aircraft</w:t>
      </w:r>
    </w:p>
    <w:p>
      <w:pPr>
        <w:spacing w:after="0" w:line="200" w:lineRule="exact"/>
        <w:rPr>
          <w:sz w:val="20"/>
          <w:szCs w:val="20"/>
          <w:color w:val="auto"/>
        </w:rPr>
      </w:pPr>
    </w:p>
    <w:p>
      <w:pPr>
        <w:spacing w:after="0" w:line="336"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THIS SUPPLEMENTAL AGREEMENT No. 20 (</w:t>
      </w:r>
      <w:r>
        <w:rPr>
          <w:rFonts w:ascii="Arial" w:cs="Arial" w:eastAsia="Arial" w:hAnsi="Arial"/>
          <w:sz w:val="22"/>
          <w:szCs w:val="22"/>
          <w:b w:val="1"/>
          <w:bCs w:val="1"/>
          <w:i w:val="1"/>
          <w:iCs w:val="1"/>
          <w:color w:val="auto"/>
        </w:rPr>
        <w:t>SA-20)</w:t>
      </w:r>
      <w:r>
        <w:rPr>
          <w:rFonts w:ascii="Arial" w:cs="Arial" w:eastAsia="Arial" w:hAnsi="Arial"/>
          <w:sz w:val="22"/>
          <w:szCs w:val="22"/>
          <w:color w:val="auto"/>
        </w:rPr>
        <w:t xml:space="preserve"> is made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59"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22"/>
          <w:szCs w:val="22"/>
          <w:color w:val="auto"/>
        </w:rPr>
        <w:t>WHEREAS, Boeing and Customer entered into Purchase Agreement No. 3219 dated October 15, 2008, relating to Boeing Model 787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in such Purchase Agreement;</w:t>
      </w:r>
    </w:p>
    <w:p>
      <w:pPr>
        <w:spacing w:after="0" w:line="159" w:lineRule="exact"/>
        <w:rPr>
          <w:sz w:val="20"/>
          <w:szCs w:val="20"/>
          <w:color w:val="auto"/>
        </w:rPr>
      </w:pPr>
    </w:p>
    <w:p>
      <w:pPr>
        <w:jc w:val="both"/>
        <w:ind w:firstLine="972"/>
        <w:spacing w:after="0" w:line="232" w:lineRule="auto"/>
        <w:rPr>
          <w:sz w:val="20"/>
          <w:szCs w:val="20"/>
          <w:color w:val="auto"/>
        </w:rPr>
      </w:pPr>
      <w:r>
        <w:rPr>
          <w:rFonts w:ascii="Arial" w:cs="Arial" w:eastAsia="Arial" w:hAnsi="Arial"/>
          <w:sz w:val="22"/>
          <w:szCs w:val="22"/>
          <w:color w:val="auto"/>
        </w:rPr>
        <w:t>WHEREAS, Customer and Boeing desire to (i) [****] 787-9 Aircraft ([****]) [****], and [****] of the [****], and (ii) to [****] for the [****];</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WHEREAS, Customer and Boeing agree to [****];</w:t>
      </w:r>
    </w:p>
    <w:p>
      <w:pPr>
        <w:spacing w:after="0" w:line="179" w:lineRule="exact"/>
        <w:rPr>
          <w:sz w:val="20"/>
          <w:szCs w:val="20"/>
          <w:color w:val="auto"/>
        </w:rPr>
      </w:pPr>
    </w:p>
    <w:p>
      <w:pPr>
        <w:jc w:val="both"/>
        <w:ind w:right="20" w:firstLine="972"/>
        <w:spacing w:after="0" w:line="232" w:lineRule="auto"/>
        <w:rPr>
          <w:sz w:val="20"/>
          <w:szCs w:val="20"/>
          <w:color w:val="auto"/>
        </w:rPr>
      </w:pPr>
      <w:r>
        <w:rPr>
          <w:rFonts w:ascii="Arial" w:cs="Arial" w:eastAsia="Arial" w:hAnsi="Arial"/>
          <w:sz w:val="22"/>
          <w:szCs w:val="22"/>
          <w:color w:val="auto"/>
        </w:rPr>
        <w:t>WHEREAS, Customer and Boeing desire to [****] letter agreement AAL-PA-03219-1804779R1, entitled “[****],” including Attachments A and B thereto, to [****]; and</w:t>
      </w:r>
    </w:p>
    <w:p>
      <w:pPr>
        <w:spacing w:after="0" w:line="159" w:lineRule="exact"/>
        <w:rPr>
          <w:sz w:val="20"/>
          <w:szCs w:val="20"/>
          <w:color w:val="auto"/>
        </w:rPr>
      </w:pPr>
    </w:p>
    <w:p>
      <w:pPr>
        <w:jc w:val="both"/>
        <w:ind w:right="20" w:firstLine="972"/>
        <w:spacing w:after="0" w:line="232" w:lineRule="auto"/>
        <w:rPr>
          <w:sz w:val="20"/>
          <w:szCs w:val="20"/>
          <w:color w:val="auto"/>
        </w:rPr>
      </w:pPr>
      <w:r>
        <w:rPr>
          <w:rFonts w:ascii="Arial" w:cs="Arial" w:eastAsia="Arial" w:hAnsi="Arial"/>
          <w:sz w:val="22"/>
          <w:szCs w:val="22"/>
          <w:color w:val="auto"/>
        </w:rPr>
        <w:t>WHEREAS, Customer and Boeing desire to revise letter agreement 6-1162-TRW-0674R4 entitled “</w:t>
      </w:r>
      <w:r>
        <w:rPr>
          <w:rFonts w:ascii="Arial" w:cs="Arial" w:eastAsia="Arial" w:hAnsi="Arial"/>
          <w:sz w:val="22"/>
          <w:szCs w:val="22"/>
          <w:u w:val="single" w:color="auto"/>
          <w:color w:val="auto"/>
        </w:rPr>
        <w:t>Business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Considerations,</w:t>
      </w:r>
      <w:r>
        <w:rPr>
          <w:rFonts w:ascii="Arial" w:cs="Arial" w:eastAsia="Arial" w:hAnsi="Arial"/>
          <w:sz w:val="22"/>
          <w:szCs w:val="22"/>
          <w:color w:val="auto"/>
        </w:rPr>
        <w:t>” and letter agreement AAL-PA-03219-2101557 entitled “[****],”.</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940" w:val="left"/>
          <w:tab w:leader="none" w:pos="1940" w:val="left"/>
        </w:tabs>
        <w:rPr>
          <w:sz w:val="20"/>
          <w:szCs w:val="20"/>
          <w:color w:val="auto"/>
        </w:rPr>
      </w:pPr>
      <w:r>
        <w:rPr>
          <w:rFonts w:ascii="Arial" w:cs="Arial" w:eastAsia="Arial" w:hAnsi="Arial"/>
          <w:sz w:val="22"/>
          <w:szCs w:val="22"/>
          <w:color w:val="auto"/>
        </w:rPr>
        <w:t>PA 3219</w:t>
        <w:tab/>
        <w:t>SA-20</w:t>
      </w:r>
      <w:r>
        <w:rPr>
          <w:sz w:val="20"/>
          <w:szCs w:val="20"/>
          <w:color w:val="auto"/>
        </w:rPr>
        <w:tab/>
      </w:r>
      <w:r>
        <w:rPr>
          <w:rFonts w:ascii="Arial" w:cs="Arial" w:eastAsia="Arial" w:hAnsi="Arial"/>
          <w:sz w:val="18"/>
          <w:szCs w:val="18"/>
          <w:color w:val="auto"/>
        </w:rPr>
        <w:t>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94" w:right="339" w:bottom="1440" w:gutter="0" w:footer="0" w:header="0"/>
        </w:sectPr>
      </w:pPr>
    </w:p>
    <w:bookmarkStart w:id="112" w:name="page113"/>
    <w:bookmarkEnd w:id="112"/>
    <w:p>
      <w:pPr>
        <w:spacing w:after="0" w:line="3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Table of Contents</w:t>
      </w:r>
      <w:r>
        <w:rPr>
          <w:rFonts w:ascii="Arial" w:cs="Arial" w:eastAsia="Arial" w:hAnsi="Arial"/>
          <w:sz w:val="22"/>
          <w:szCs w:val="22"/>
          <w:b w:val="1"/>
          <w:bCs w:val="1"/>
          <w:color w:val="auto"/>
        </w:rPr>
        <w:t>.</w:t>
      </w:r>
    </w:p>
    <w:p>
      <w:pPr>
        <w:spacing w:after="0" w:line="13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Table of Contents referencing SA-19 in the footer is deleted in its entirety and is replaced with the new Table of Contents (attached hereto) referencing SA-20 in the footer. Such new Table of Contents is hereby incorporated into the Purchase Agreement in replacement of its predecessor.</w:t>
      </w:r>
    </w:p>
    <w:p>
      <w:pPr>
        <w:spacing w:after="0" w:line="200" w:lineRule="exact"/>
        <w:rPr>
          <w:sz w:val="20"/>
          <w:szCs w:val="20"/>
          <w:color w:val="auto"/>
        </w:rPr>
      </w:pPr>
    </w:p>
    <w:p>
      <w:pPr>
        <w:spacing w:after="0" w:line="38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Tables</w:t>
      </w:r>
      <w:r>
        <w:rPr>
          <w:rFonts w:ascii="Arial" w:cs="Arial" w:eastAsia="Arial" w:hAnsi="Arial"/>
          <w:sz w:val="22"/>
          <w:szCs w:val="22"/>
          <w:b w:val="1"/>
          <w:bCs w:val="1"/>
          <w:color w:val="auto"/>
        </w:rPr>
        <w:t>.</w:t>
      </w:r>
    </w:p>
    <w:p>
      <w:pPr>
        <w:spacing w:after="0" w:line="7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Table 5(R4)</w:t>
      </w:r>
      <w:r>
        <w:rPr>
          <w:rFonts w:ascii="Arial" w:cs="Arial" w:eastAsia="Arial" w:hAnsi="Arial"/>
          <w:sz w:val="22"/>
          <w:szCs w:val="22"/>
          <w:color w:val="auto"/>
        </w:rPr>
        <w:t>. Table 5(R3) entitled “</w:t>
      </w:r>
      <w:r>
        <w:rPr>
          <w:rFonts w:ascii="Arial" w:cs="Arial" w:eastAsia="Arial" w:hAnsi="Arial"/>
          <w:sz w:val="22"/>
          <w:szCs w:val="22"/>
          <w:u w:val="single" w:color="auto"/>
          <w:color w:val="auto"/>
        </w:rPr>
        <w:t>787-9 [****] Aircraft,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referencing SA-19 in the footer is deleted in its entirety and is replaced with the similarly titled Table 5(R4) (attached hereto) referencing SA-20 in the footer. Table 5(R4) is hereby incorporated into the Purchase Agreement in replacement of Table 5(R3).</w:t>
      </w:r>
    </w:p>
    <w:p>
      <w:pPr>
        <w:spacing w:after="0" w:line="200" w:lineRule="exact"/>
        <w:rPr>
          <w:sz w:val="20"/>
          <w:szCs w:val="20"/>
          <w:color w:val="auto"/>
        </w:rPr>
      </w:pPr>
    </w:p>
    <w:p>
      <w:pPr>
        <w:spacing w:after="0" w:line="306"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Agreements</w:t>
      </w:r>
      <w:r>
        <w:rPr>
          <w:rFonts w:ascii="Arial" w:cs="Arial" w:eastAsia="Arial" w:hAnsi="Arial"/>
          <w:sz w:val="22"/>
          <w:szCs w:val="22"/>
          <w:b w:val="1"/>
          <w:bCs w:val="1"/>
          <w:color w:val="auto"/>
        </w:rPr>
        <w:t>.</w:t>
      </w:r>
    </w:p>
    <w:p>
      <w:pPr>
        <w:spacing w:after="0" w:line="185" w:lineRule="exact"/>
        <w:rPr>
          <w:sz w:val="20"/>
          <w:szCs w:val="20"/>
          <w:color w:val="auto"/>
        </w:rPr>
      </w:pPr>
    </w:p>
    <w:p>
      <w:pPr>
        <w:jc w:val="both"/>
        <w:ind w:firstLine="972"/>
        <w:spacing w:after="0" w:line="218"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Letter Agreement 6-1162-TRW-0674R5.</w:t>
      </w:r>
      <w:r>
        <w:rPr>
          <w:rFonts w:ascii="Arial" w:cs="Arial" w:eastAsia="Arial" w:hAnsi="Arial"/>
          <w:sz w:val="22"/>
          <w:szCs w:val="22"/>
          <w:color w:val="auto"/>
        </w:rPr>
        <w:t xml:space="preserve"> Letter Agreement 6-1162-TRW-0674R4 entitled “</w:t>
      </w:r>
      <w:r>
        <w:rPr>
          <w:rFonts w:ascii="Arial" w:cs="Arial" w:eastAsia="Arial" w:hAnsi="Arial"/>
          <w:sz w:val="22"/>
          <w:szCs w:val="22"/>
          <w:u w:val="single" w:color="auto"/>
          <w:color w:val="auto"/>
        </w:rPr>
        <w:t>Business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Considerations,</w:t>
      </w:r>
      <w:r>
        <w:rPr>
          <w:rFonts w:ascii="Arial" w:cs="Arial" w:eastAsia="Arial" w:hAnsi="Arial"/>
          <w:sz w:val="22"/>
          <w:szCs w:val="22"/>
          <w:color w:val="auto"/>
        </w:rPr>
        <w:t>” referencing SA-11 in the footer is deleted in its entirety and replaced with the similarly titled Letter Agreement 6-1162-TRW-0674R5 (attached hereto) referencing SA-20 in the footer. Letter Agreement 6-1162-TRW-0674R5, is hereby incorporated into the Purchase Agreement in replacement of 6-1162-TRW-0674R4.</w:t>
      </w:r>
    </w:p>
    <w:p>
      <w:pPr>
        <w:spacing w:after="0" w:line="161" w:lineRule="exact"/>
        <w:rPr>
          <w:sz w:val="20"/>
          <w:szCs w:val="20"/>
          <w:color w:val="auto"/>
        </w:rPr>
      </w:pPr>
    </w:p>
    <w:p>
      <w:pPr>
        <w:jc w:val="both"/>
        <w:ind w:firstLine="972"/>
        <w:spacing w:after="0" w:line="25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Letter Agreement AAL-PA-03219-1804779R2.</w:t>
      </w:r>
      <w:r>
        <w:rPr>
          <w:rFonts w:ascii="Arial" w:cs="Arial" w:eastAsia="Arial" w:hAnsi="Arial"/>
          <w:sz w:val="19"/>
          <w:szCs w:val="19"/>
          <w:color w:val="auto"/>
        </w:rPr>
        <w:t xml:space="preserve"> Letter Agreement AAL-PA-03219-1804779R1 entitled “</w:t>
      </w:r>
      <w:r>
        <w:rPr>
          <w:rFonts w:ascii="Arial" w:cs="Arial" w:eastAsia="Arial" w:hAnsi="Arial"/>
          <w:sz w:val="19"/>
          <w:szCs w:val="19"/>
          <w:u w:val="single" w:color="auto"/>
          <w:color w:val="auto"/>
        </w:rPr>
        <w:t>[****],</w:t>
      </w:r>
      <w:r>
        <w:rPr>
          <w:rFonts w:ascii="Arial" w:cs="Arial" w:eastAsia="Arial" w:hAnsi="Arial"/>
          <w:sz w:val="19"/>
          <w:szCs w:val="19"/>
          <w:color w:val="auto"/>
        </w:rPr>
        <w:t>” including Attachments A and B thereto, referencing SA-19 in the footer is deleted in its entirety and replaced with the similarly titled Letter Agreement AAL-PA-03219-1804779R2, including Attachments A and B thereto (attached hereto) referencing SA-20 in the footer. Letter Agreement AAL-PA-03219-1804779R2, including Attachments A and B thereto is hereby incorporated into the Purchase Agreement in replacement of AAL-PA-03219-1804779R1, including Attachments A and B.</w:t>
      </w:r>
    </w:p>
    <w:p>
      <w:pPr>
        <w:spacing w:after="0" w:line="41" w:lineRule="exact"/>
        <w:rPr>
          <w:sz w:val="20"/>
          <w:szCs w:val="20"/>
          <w:color w:val="auto"/>
        </w:rPr>
      </w:pPr>
    </w:p>
    <w:p>
      <w:pPr>
        <w:jc w:val="both"/>
        <w:ind w:firstLine="972"/>
        <w:spacing w:after="0" w:line="229"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Letter Agreement AAL-PA-03219-2101557R1.</w:t>
      </w:r>
      <w:r>
        <w:rPr>
          <w:rFonts w:ascii="Arial" w:cs="Arial" w:eastAsia="Arial" w:hAnsi="Arial"/>
          <w:sz w:val="21"/>
          <w:szCs w:val="21"/>
          <w:color w:val="auto"/>
        </w:rPr>
        <w:t xml:space="preserve"> Letter Agreement AAL-PA-03219-2101557 entitled “</w:t>
      </w:r>
      <w:r>
        <w:rPr>
          <w:rFonts w:ascii="Arial" w:cs="Arial" w:eastAsia="Arial" w:hAnsi="Arial"/>
          <w:sz w:val="21"/>
          <w:szCs w:val="21"/>
          <w:u w:val="single" w:color="auto"/>
          <w:color w:val="auto"/>
        </w:rPr>
        <w:t>[****]</w:t>
      </w:r>
      <w:r>
        <w:rPr>
          <w:rFonts w:ascii="Arial" w:cs="Arial" w:eastAsia="Arial" w:hAnsi="Arial"/>
          <w:sz w:val="21"/>
          <w:szCs w:val="21"/>
          <w:color w:val="auto"/>
        </w:rPr>
        <w:t>,” referencing SA-16 in the footer is deleted in its entirety and replaced with the similarly titled Letter Agreement AAL-PA-03219-2101557R1 (attached hereto) referencing SA-20 in the footer. Letter Agreement AAL-PA-03219-2101557R1, is hereby incorporated into the Purchase Agreement in replacement of AAL-PA-03219-2101557.</w:t>
      </w:r>
    </w:p>
    <w:p>
      <w:pPr>
        <w:spacing w:after="0" w:line="50" w:lineRule="exact"/>
        <w:rPr>
          <w:sz w:val="20"/>
          <w:szCs w:val="20"/>
          <w:color w:val="auto"/>
        </w:rPr>
      </w:pPr>
    </w:p>
    <w:p>
      <w:pPr>
        <w:jc w:val="both"/>
        <w:ind w:firstLine="972"/>
        <w:spacing w:after="0" w:line="232"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Letter Agreement AAL-PA-03219-2303491.</w:t>
      </w:r>
      <w:r>
        <w:rPr>
          <w:rFonts w:ascii="Arial" w:cs="Arial" w:eastAsia="Arial" w:hAnsi="Arial"/>
          <w:sz w:val="22"/>
          <w:szCs w:val="22"/>
          <w:color w:val="auto"/>
        </w:rPr>
        <w:t xml:space="preserve"> Letter Agreement AAL-PA-03219-2303491 entitled “</w:t>
      </w:r>
      <w:r>
        <w:rPr>
          <w:rFonts w:ascii="Arial" w:cs="Arial" w:eastAsia="Arial" w:hAnsi="Arial"/>
          <w:sz w:val="22"/>
          <w:szCs w:val="22"/>
          <w:u w:val="single" w:color="auto"/>
          <w:color w:val="auto"/>
        </w:rPr>
        <w:t>Special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Matters – [****]</w:t>
      </w:r>
      <w:r>
        <w:rPr>
          <w:rFonts w:ascii="Arial" w:cs="Arial" w:eastAsia="Arial" w:hAnsi="Arial"/>
          <w:sz w:val="22"/>
          <w:szCs w:val="22"/>
          <w:color w:val="auto"/>
        </w:rPr>
        <w:t>” including Attachment A thereto, is hereby incorporated into the Purchase Agreement.</w:t>
      </w:r>
    </w:p>
    <w:p>
      <w:pPr>
        <w:spacing w:after="0" w:line="18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4.1  Boeing will </w:t>
      </w:r>
      <w:r>
        <w:rPr>
          <w:rFonts w:ascii="Arial" w:cs="Arial" w:eastAsia="Arial" w:hAnsi="Arial"/>
          <w:sz w:val="22"/>
          <w:szCs w:val="22"/>
          <w:u w:val="single" w:color="auto"/>
          <w:color w:val="auto"/>
        </w:rPr>
        <w:t>[****]</w:t>
      </w:r>
      <w:r>
        <w:rPr>
          <w:rFonts w:ascii="Arial" w:cs="Arial" w:eastAsia="Arial" w:hAnsi="Arial"/>
          <w:sz w:val="22"/>
          <w:szCs w:val="22"/>
          <w:color w:val="auto"/>
        </w:rPr>
        <w:t>related matters.</w:t>
      </w:r>
    </w:p>
    <w:p>
      <w:pPr>
        <w:spacing w:after="0" w:line="206"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4.2 For each of the 787-9 [****] Delivery Aircraft, per the [****] terms in Letter Agreement AAL-PA-03219-2303491 ([****]), the [****] for such 787-9 [****] Delivery Aircraft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940" w:val="left"/>
          <w:tab w:leader="none" w:pos="1720" w:val="left"/>
        </w:tabs>
        <w:rPr>
          <w:sz w:val="20"/>
          <w:szCs w:val="20"/>
          <w:color w:val="auto"/>
        </w:rPr>
      </w:pPr>
      <w:r>
        <w:rPr>
          <w:rFonts w:ascii="Arial" w:cs="Arial" w:eastAsia="Arial" w:hAnsi="Arial"/>
          <w:sz w:val="22"/>
          <w:szCs w:val="22"/>
          <w:color w:val="auto"/>
        </w:rPr>
        <w:t>PA 3219</w:t>
        <w:tab/>
        <w:t>SA-20</w:t>
      </w:r>
      <w:r>
        <w:rPr>
          <w:sz w:val="20"/>
          <w:szCs w:val="20"/>
          <w:color w:val="auto"/>
        </w:rPr>
        <w:tab/>
      </w:r>
      <w:r>
        <w:rPr>
          <w:rFonts w:ascii="Arial" w:cs="Arial" w:eastAsia="Arial" w:hAnsi="Arial"/>
          <w:sz w:val="18"/>
          <w:szCs w:val="18"/>
          <w:color w:val="auto"/>
        </w:rPr>
        <w:t>Page 2</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13" w:name="page114"/>
    <w:bookmarkEnd w:id="113"/>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on Purchase Agreement</w:t>
      </w:r>
      <w:r>
        <w:rPr>
          <w:rFonts w:ascii="Arial" w:cs="Arial" w:eastAsia="Arial" w:hAnsi="Arial"/>
          <w:sz w:val="22"/>
          <w:szCs w:val="22"/>
          <w:b w:val="1"/>
          <w:bCs w:val="1"/>
          <w:color w:val="auto"/>
        </w:rPr>
        <w:t>.</w:t>
      </w:r>
    </w:p>
    <w:p>
      <w:pPr>
        <w:spacing w:after="0" w:line="320" w:lineRule="exact"/>
        <w:rPr>
          <w:sz w:val="20"/>
          <w:szCs w:val="20"/>
          <w:color w:val="auto"/>
        </w:rPr>
      </w:pPr>
    </w:p>
    <w:p>
      <w:pPr>
        <w:ind w:left="1060"/>
        <w:spacing w:after="0"/>
        <w:tabs>
          <w:tab w:leader="none" w:pos="19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Table 5 Reference Clarifications</w:t>
      </w:r>
      <w:r>
        <w:rPr>
          <w:rFonts w:ascii="Arial" w:cs="Arial" w:eastAsia="Arial" w:hAnsi="Arial"/>
          <w:sz w:val="19"/>
          <w:szCs w:val="19"/>
          <w:color w:val="auto"/>
        </w:rPr>
        <w:t>.</w:t>
      </w:r>
    </w:p>
    <w:p>
      <w:pPr>
        <w:spacing w:after="0" w:line="71" w:lineRule="exact"/>
        <w:rPr>
          <w:sz w:val="20"/>
          <w:szCs w:val="20"/>
          <w:color w:val="auto"/>
        </w:rPr>
      </w:pPr>
    </w:p>
    <w:p>
      <w:pPr>
        <w:jc w:val="both"/>
        <w:ind w:firstLine="2187"/>
        <w:spacing w:after="0" w:line="268" w:lineRule="auto"/>
        <w:rPr>
          <w:sz w:val="20"/>
          <w:szCs w:val="20"/>
          <w:color w:val="auto"/>
        </w:rPr>
      </w:pPr>
      <w:r>
        <w:rPr>
          <w:rFonts w:ascii="Arial" w:cs="Arial" w:eastAsia="Arial" w:hAnsi="Arial"/>
          <w:sz w:val="19"/>
          <w:szCs w:val="19"/>
          <w:color w:val="auto"/>
        </w:rPr>
        <w:t>5.1.1 The following references in the Purchase Agreement and the associated exhibits, supplemental exhibits, and letter agreements to the Purchase Agreement to “Table 5(R1),” Table 5(R2), and Table 5(R3) is now deemed to refer to “Table 5(R4)”. Specifically, the locations of such references are (but may not be limited to)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54610</wp:posOffset>
            </wp:positionV>
            <wp:extent cx="4337685" cy="4345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37685" cy="4345940"/>
                    </a:xfrm>
                    <a:prstGeom prst="rect">
                      <a:avLst/>
                    </a:prstGeom>
                    <a:noFill/>
                  </pic:spPr>
                </pic:pic>
              </a:graphicData>
            </a:graphic>
          </wp:anchor>
        </w:drawing>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22"/>
          <w:szCs w:val="22"/>
          <w:b w:val="1"/>
          <w:bCs w:val="1"/>
          <w:u w:val="single" w:color="auto"/>
          <w:color w:val="auto"/>
        </w:rPr>
        <w:t>Location of References</w:t>
      </w:r>
      <w:r>
        <w:rPr>
          <w:rFonts w:ascii="Arial" w:cs="Arial" w:eastAsia="Arial" w:hAnsi="Arial"/>
          <w:sz w:val="22"/>
          <w:szCs w:val="22"/>
          <w:b w:val="1"/>
          <w:bCs w:val="1"/>
          <w:color w:val="auto"/>
        </w:rPr>
        <w:t>*</w:t>
      </w:r>
    </w:p>
    <w:p>
      <w:pPr>
        <w:spacing w:after="0" w:line="226"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Articles 1, 2, 3 (all sections), 4 (all sections), and Section 5.1 of the Basic</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Articles</w:t>
      </w:r>
    </w:p>
    <w:p>
      <w:pPr>
        <w:spacing w:after="0" w:line="16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Exhibit C(R1), Definitions of “Aircraft” and “Engine”</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 1 of Supplemental Exhibit AE1</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1.4.1 of Letter Agreement 6-1162-CLO-1047R4 entitled “</w:t>
      </w:r>
      <w:r>
        <w:rPr>
          <w:rFonts w:ascii="Arial" w:cs="Arial" w:eastAsia="Arial" w:hAnsi="Arial"/>
          <w:sz w:val="18"/>
          <w:szCs w:val="18"/>
          <w:color w:val="auto"/>
        </w:rPr>
        <w:t>[****]</w:t>
      </w:r>
      <w:r>
        <w:rPr>
          <w:rFonts w:ascii="Arial" w:cs="Arial" w:eastAsia="Arial" w:hAnsi="Arial"/>
          <w:sz w:val="21"/>
          <w:szCs w:val="21"/>
          <w:color w:val="auto"/>
        </w:rPr>
        <w:t>”</w:t>
      </w:r>
    </w:p>
    <w:p>
      <w:pPr>
        <w:spacing w:after="0" w:line="183"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 (definition of “Firm Aircraft”) and Attachment C(R4) of Letter</w:t>
      </w:r>
    </w:p>
    <w:p>
      <w:pPr>
        <w:ind w:left="1320"/>
        <w:spacing w:after="0"/>
        <w:rPr>
          <w:sz w:val="20"/>
          <w:szCs w:val="20"/>
          <w:color w:val="auto"/>
        </w:rPr>
      </w:pPr>
      <w:r>
        <w:rPr>
          <w:rFonts w:ascii="Arial" w:cs="Arial" w:eastAsia="Arial" w:hAnsi="Arial"/>
          <w:sz w:val="22"/>
          <w:szCs w:val="22"/>
          <w:color w:val="auto"/>
        </w:rPr>
        <w:t>Agreement 6-1162-TRW-0664R2 entitled “</w:t>
      </w:r>
      <w:r>
        <w:rPr>
          <w:rFonts w:ascii="Arial" w:cs="Arial" w:eastAsia="Arial" w:hAnsi="Arial"/>
          <w:sz w:val="19"/>
          <w:szCs w:val="19"/>
          <w:color w:val="auto"/>
        </w:rPr>
        <w:t>[****]</w:t>
      </w:r>
      <w:r>
        <w:rPr>
          <w:rFonts w:ascii="Arial" w:cs="Arial" w:eastAsia="Arial" w:hAnsi="Arial"/>
          <w:sz w:val="22"/>
          <w:szCs w:val="22"/>
          <w:color w:val="auto"/>
        </w:rPr>
        <w:t>”</w:t>
      </w:r>
    </w:p>
    <w:p>
      <w:pPr>
        <w:spacing w:after="0" w:line="154"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1.1 of LA 6-1162-TRW-0672R1 entitled “</w:t>
      </w:r>
      <w:r>
        <w:rPr>
          <w:rFonts w:ascii="Arial" w:cs="Arial" w:eastAsia="Arial" w:hAnsi="Arial"/>
          <w:sz w:val="21"/>
          <w:szCs w:val="21"/>
          <w:u w:val="single" w:color="auto"/>
          <w:color w:val="auto"/>
        </w:rPr>
        <w:t>Promotional Support</w:t>
      </w:r>
    </w:p>
    <w:p>
      <w:pPr>
        <w:ind w:left="1320"/>
        <w:spacing w:after="0"/>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61" w:lineRule="exact"/>
        <w:rPr>
          <w:sz w:val="20"/>
          <w:szCs w:val="20"/>
          <w:color w:val="auto"/>
        </w:rPr>
      </w:pPr>
    </w:p>
    <w:p>
      <w:pPr>
        <w:ind w:left="1320" w:right="3260"/>
        <w:spacing w:after="0" w:line="232" w:lineRule="auto"/>
        <w:rPr>
          <w:sz w:val="20"/>
          <w:szCs w:val="20"/>
          <w:color w:val="auto"/>
        </w:rPr>
      </w:pPr>
      <w:r>
        <w:rPr>
          <w:rFonts w:ascii="Arial" w:cs="Arial" w:eastAsia="Arial" w:hAnsi="Arial"/>
          <w:sz w:val="22"/>
          <w:szCs w:val="22"/>
          <w:color w:val="auto"/>
        </w:rPr>
        <w:t>Sections 4a2, 6, and 9.2 of Letter Agreement 6-1162-TRW-0674R4 entitled “</w:t>
      </w:r>
      <w:r>
        <w:rPr>
          <w:rFonts w:ascii="Arial" w:cs="Arial" w:eastAsia="Arial" w:hAnsi="Arial"/>
          <w:sz w:val="22"/>
          <w:szCs w:val="22"/>
          <w:u w:val="single" w:color="auto"/>
          <w:color w:val="auto"/>
        </w:rPr>
        <w:t>Business Considerations</w:t>
      </w:r>
      <w:r>
        <w:rPr>
          <w:rFonts w:ascii="Arial" w:cs="Arial" w:eastAsia="Arial" w:hAnsi="Arial"/>
          <w:sz w:val="22"/>
          <w:szCs w:val="22"/>
          <w:color w:val="auto"/>
        </w:rPr>
        <w:t>”</w:t>
      </w:r>
    </w:p>
    <w:p>
      <w:pPr>
        <w:spacing w:after="0" w:line="159" w:lineRule="exact"/>
        <w:rPr>
          <w:sz w:val="20"/>
          <w:szCs w:val="20"/>
          <w:color w:val="auto"/>
        </w:rPr>
      </w:pPr>
    </w:p>
    <w:p>
      <w:pPr>
        <w:ind w:left="1320"/>
        <w:spacing w:after="0"/>
        <w:rPr>
          <w:sz w:val="20"/>
          <w:szCs w:val="20"/>
          <w:color w:val="auto"/>
        </w:rPr>
      </w:pPr>
      <w:r>
        <w:rPr>
          <w:rFonts w:ascii="Arial" w:cs="Arial" w:eastAsia="Arial" w:hAnsi="Arial"/>
          <w:sz w:val="21"/>
          <w:szCs w:val="21"/>
          <w:color w:val="auto"/>
        </w:rPr>
        <w:t>Section 1 of Letter Agreement AAL-PA-03219-1804779 entitled “</w:t>
      </w:r>
      <w:r>
        <w:rPr>
          <w:rFonts w:ascii="Arial" w:cs="Arial" w:eastAsia="Arial" w:hAnsi="Arial"/>
          <w:sz w:val="18"/>
          <w:szCs w:val="18"/>
          <w:color w:val="auto"/>
        </w:rPr>
        <w:t>[****]</w:t>
      </w:r>
      <w:r>
        <w:rPr>
          <w:rFonts w:ascii="Arial" w:cs="Arial" w:eastAsia="Arial" w:hAnsi="Arial"/>
          <w:sz w:val="21"/>
          <w:szCs w:val="21"/>
          <w:color w:val="auto"/>
        </w:rPr>
        <w:t>”</w:t>
      </w:r>
    </w:p>
    <w:p>
      <w:pPr>
        <w:spacing w:after="0" w:line="191"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Section 1.2 of Letter Agreement AAL-PA-3219-LA1802492 entitled “</w:t>
      </w:r>
      <w:r>
        <w:rPr>
          <w:rFonts w:ascii="Arial" w:cs="Arial" w:eastAsia="Arial" w:hAnsi="Arial"/>
          <w:sz w:val="19"/>
          <w:szCs w:val="19"/>
          <w:u w:val="single" w:color="auto"/>
          <w:color w:val="auto"/>
        </w:rPr>
        <w:t>Open</w:t>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22"/>
          <w:szCs w:val="22"/>
          <w:u w:val="single" w:color="auto"/>
          <w:color w:val="auto"/>
        </w:rPr>
        <w:t>Configuration Matters</w:t>
      </w:r>
      <w:r>
        <w:rPr>
          <w:rFonts w:ascii="Arial" w:cs="Arial" w:eastAsia="Arial" w:hAnsi="Arial"/>
          <w:sz w:val="22"/>
          <w:szCs w:val="22"/>
          <w:color w:val="auto"/>
        </w:rPr>
        <w:t>”</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Section 1.3.1.1 of Letter Agreement AAL-1604503 entitled “787 Aircraft</w:t>
      </w:r>
    </w:p>
    <w:p>
      <w:pPr>
        <w:ind w:left="1280"/>
        <w:spacing w:after="0"/>
        <w:rPr>
          <w:sz w:val="20"/>
          <w:szCs w:val="20"/>
          <w:color w:val="auto"/>
        </w:rPr>
      </w:pPr>
      <w:r>
        <w:rPr>
          <w:rFonts w:ascii="Arial" w:cs="Arial" w:eastAsia="Arial" w:hAnsi="Arial"/>
          <w:sz w:val="22"/>
          <w:szCs w:val="22"/>
          <w:color w:val="auto"/>
        </w:rPr>
        <w:t>Business Matters”</w:t>
      </w:r>
    </w:p>
    <w:p>
      <w:pPr>
        <w:spacing w:after="0" w:line="94"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Sections 6 and 7 of Supplemental Agreement No. 11</w:t>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Supplemental Exhibit EE1</w:t>
      </w:r>
    </w:p>
    <w:p>
      <w:pPr>
        <w:spacing w:after="0" w:line="200" w:lineRule="exact"/>
        <w:rPr>
          <w:sz w:val="20"/>
          <w:szCs w:val="20"/>
          <w:color w:val="auto"/>
        </w:rPr>
      </w:pPr>
    </w:p>
    <w:p>
      <w:pPr>
        <w:spacing w:after="0" w:line="209" w:lineRule="exact"/>
        <w:rPr>
          <w:sz w:val="20"/>
          <w:szCs w:val="20"/>
          <w:color w:val="auto"/>
        </w:rPr>
      </w:pPr>
    </w:p>
    <w:p>
      <w:pPr>
        <w:jc w:val="both"/>
        <w:ind w:firstLine="896"/>
        <w:spacing w:after="0" w:line="268" w:lineRule="auto"/>
        <w:rPr>
          <w:sz w:val="20"/>
          <w:szCs w:val="20"/>
          <w:color w:val="auto"/>
        </w:rPr>
      </w:pPr>
      <w:r>
        <w:rPr>
          <w:rFonts w:ascii="Arial" w:cs="Arial" w:eastAsia="Arial" w:hAnsi="Arial"/>
          <w:sz w:val="19"/>
          <w:szCs w:val="19"/>
          <w:color w:val="auto"/>
        </w:rPr>
        <w:t>5.2 References in the Purchase Agreement and any supplemental agreements and associated letter agreements to the tables, exhibits, supplemental exhibits and letter agreements listed in the left column of the below table shall be deemed to refer to the corresponding tables, exhibits, supplemental exhibits and letter agreements listed in the right column of the below table.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552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22"/>
                <w:szCs w:val="22"/>
                <w:b w:val="1"/>
                <w:bCs w:val="1"/>
                <w:color w:val="auto"/>
              </w:rPr>
              <w:t>Reference</w:t>
            </w:r>
          </w:p>
        </w:tc>
        <w:tc>
          <w:tcPr>
            <w:tcW w:w="5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Replacement Reference</w:t>
            </w:r>
          </w:p>
        </w:tc>
        <w:tc>
          <w:tcPr>
            <w:tcW w:w="0" w:type="dxa"/>
            <w:vAlign w:val="bottom"/>
          </w:tcPr>
          <w:p>
            <w:pPr>
              <w:spacing w:after="0"/>
              <w:rPr>
                <w:sz w:val="1"/>
                <w:szCs w:val="1"/>
                <w:color w:val="auto"/>
              </w:rPr>
            </w:pPr>
          </w:p>
        </w:tc>
      </w:tr>
      <w:tr>
        <w:trPr>
          <w:trHeight w:val="30"/>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Letter Agreement 6-1162-TRW-0674R4</w:t>
            </w: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Letter Agreement 6-1162-TRW-0674R5</w:t>
            </w:r>
          </w:p>
        </w:tc>
        <w:tc>
          <w:tcPr>
            <w:tcW w:w="0" w:type="dxa"/>
            <w:vAlign w:val="bottom"/>
          </w:tcPr>
          <w:p>
            <w:pPr>
              <w:spacing w:after="0"/>
              <w:rPr>
                <w:sz w:val="1"/>
                <w:szCs w:val="1"/>
                <w:color w:val="auto"/>
              </w:rPr>
            </w:pPr>
          </w:p>
        </w:tc>
      </w:tr>
      <w:tr>
        <w:trPr>
          <w:trHeight w:val="81"/>
        </w:trPr>
        <w:tc>
          <w:tcPr>
            <w:tcW w:w="5520" w:type="dxa"/>
            <w:vAlign w:val="bottom"/>
            <w:tcBorders>
              <w:left w:val="single" w:sz="8" w:color="auto"/>
              <w:right w:val="single" w:sz="8" w:color="auto"/>
            </w:tcBorders>
          </w:tcPr>
          <w:p>
            <w:pPr>
              <w:spacing w:after="0"/>
              <w:rPr>
                <w:sz w:val="7"/>
                <w:szCs w:val="7"/>
                <w:color w:val="auto"/>
              </w:rPr>
            </w:pPr>
          </w:p>
        </w:tc>
        <w:tc>
          <w:tcPr>
            <w:tcW w:w="5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1"/>
        </w:trPr>
        <w:tc>
          <w:tcPr>
            <w:tcW w:w="5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Letter Agreement AAL-PA-03219-LA-1804779R1</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Letter Agreement AAL-PA-03219-LA-1804779R2</w:t>
            </w:r>
          </w:p>
        </w:tc>
        <w:tc>
          <w:tcPr>
            <w:tcW w:w="0" w:type="dxa"/>
            <w:vAlign w:val="bottom"/>
          </w:tcPr>
          <w:p>
            <w:pPr>
              <w:spacing w:after="0"/>
              <w:rPr>
                <w:sz w:val="1"/>
                <w:szCs w:val="1"/>
                <w:color w:val="auto"/>
              </w:rPr>
            </w:pPr>
          </w:p>
        </w:tc>
      </w:tr>
      <w:tr>
        <w:trPr>
          <w:trHeight w:val="31"/>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Letter Agreement AAL-PA-03219-2101557</w:t>
            </w:r>
          </w:p>
        </w:tc>
        <w:tc>
          <w:tcPr>
            <w:tcW w:w="552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color w:val="auto"/>
              </w:rPr>
              <w:t>Letter Agreement AAL-PA-03219-2101557R1</w:t>
            </w:r>
          </w:p>
        </w:tc>
        <w:tc>
          <w:tcPr>
            <w:tcW w:w="0" w:type="dxa"/>
            <w:vAlign w:val="bottom"/>
          </w:tcPr>
          <w:p>
            <w:pPr>
              <w:spacing w:after="0"/>
              <w:rPr>
                <w:sz w:val="1"/>
                <w:szCs w:val="1"/>
                <w:color w:val="auto"/>
              </w:rPr>
            </w:pPr>
          </w:p>
        </w:tc>
      </w:tr>
      <w:tr>
        <w:trPr>
          <w:trHeight w:val="81"/>
        </w:trPr>
        <w:tc>
          <w:tcPr>
            <w:tcW w:w="5520" w:type="dxa"/>
            <w:vAlign w:val="bottom"/>
            <w:tcBorders>
              <w:left w:val="single" w:sz="8" w:color="auto"/>
              <w:right w:val="single" w:sz="8" w:color="auto"/>
            </w:tcBorders>
          </w:tcPr>
          <w:p>
            <w:pPr>
              <w:spacing w:after="0"/>
              <w:rPr>
                <w:sz w:val="7"/>
                <w:szCs w:val="7"/>
                <w:color w:val="auto"/>
              </w:rPr>
            </w:pPr>
          </w:p>
        </w:tc>
        <w:tc>
          <w:tcPr>
            <w:tcW w:w="55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40" w:val="left"/>
          <w:tab w:leader="none" w:pos="1720" w:val="left"/>
        </w:tabs>
        <w:rPr>
          <w:sz w:val="20"/>
          <w:szCs w:val="20"/>
          <w:color w:val="auto"/>
        </w:rPr>
      </w:pPr>
      <w:r>
        <w:rPr>
          <w:rFonts w:ascii="Arial" w:cs="Arial" w:eastAsia="Arial" w:hAnsi="Arial"/>
          <w:sz w:val="22"/>
          <w:szCs w:val="22"/>
          <w:color w:val="auto"/>
        </w:rPr>
        <w:t>PA 3219</w:t>
        <w:tab/>
        <w:t>SA-20</w:t>
      </w:r>
      <w:r>
        <w:rPr>
          <w:sz w:val="20"/>
          <w:szCs w:val="20"/>
          <w:color w:val="auto"/>
        </w:rPr>
        <w:tab/>
      </w:r>
      <w:r>
        <w:rPr>
          <w:rFonts w:ascii="Arial" w:cs="Arial" w:eastAsia="Arial" w:hAnsi="Arial"/>
          <w:sz w:val="18"/>
          <w:szCs w:val="18"/>
          <w:color w:val="auto"/>
        </w:rPr>
        <w:t>Page 3</w:t>
      </w: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22" w:right="339" w:bottom="1440" w:gutter="0" w:footer="0" w:header="0"/>
        </w:sectPr>
      </w:pPr>
    </w:p>
    <w:bookmarkStart w:id="114" w:name="page115"/>
    <w:bookmarkEnd w:id="114"/>
    <w:p>
      <w:pPr>
        <w:ind w:left="1060"/>
        <w:spacing w:after="0"/>
        <w:rPr>
          <w:sz w:val="20"/>
          <w:szCs w:val="20"/>
          <w:color w:val="auto"/>
        </w:rPr>
      </w:pPr>
      <w:r>
        <w:rPr>
          <w:rFonts w:ascii="Arial" w:cs="Arial" w:eastAsia="Arial" w:hAnsi="Arial"/>
          <w:sz w:val="22"/>
          <w:szCs w:val="22"/>
          <w:color w:val="auto"/>
        </w:rPr>
        <w:t>5.3 Upon execution of this SA-20, Boeing [****]. Such [****]. The [****] ([****]).</w:t>
      </w:r>
    </w:p>
    <w:p>
      <w:pPr>
        <w:spacing w:after="0" w:line="206" w:lineRule="exact"/>
        <w:rPr>
          <w:sz w:val="20"/>
          <w:szCs w:val="20"/>
          <w:color w:val="auto"/>
        </w:rPr>
      </w:pPr>
    </w:p>
    <w:p>
      <w:pPr>
        <w:jc w:val="both"/>
        <w:ind w:firstLine="1053"/>
        <w:spacing w:after="0" w:line="216" w:lineRule="auto"/>
        <w:rPr>
          <w:sz w:val="20"/>
          <w:szCs w:val="20"/>
          <w:color w:val="auto"/>
        </w:rPr>
      </w:pPr>
      <w:r>
        <w:rPr>
          <w:rFonts w:ascii="Arial" w:cs="Arial" w:eastAsia="Arial" w:hAnsi="Arial"/>
          <w:sz w:val="22"/>
          <w:szCs w:val="22"/>
          <w:color w:val="auto"/>
        </w:rPr>
        <w:t>5.4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rest of this page is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940" w:val="left"/>
          <w:tab w:leader="none" w:pos="1720" w:val="left"/>
        </w:tabs>
        <w:rPr>
          <w:sz w:val="20"/>
          <w:szCs w:val="20"/>
          <w:color w:val="auto"/>
        </w:rPr>
      </w:pPr>
      <w:r>
        <w:rPr>
          <w:rFonts w:ascii="Arial" w:cs="Arial" w:eastAsia="Arial" w:hAnsi="Arial"/>
          <w:sz w:val="22"/>
          <w:szCs w:val="22"/>
          <w:color w:val="auto"/>
        </w:rPr>
        <w:t>PA 3219</w:t>
        <w:tab/>
        <w:t>SA-20</w:t>
      </w:r>
      <w:r>
        <w:rPr>
          <w:sz w:val="20"/>
          <w:szCs w:val="20"/>
          <w:color w:val="auto"/>
        </w:rPr>
        <w:tab/>
      </w:r>
      <w:r>
        <w:rPr>
          <w:rFonts w:ascii="Arial" w:cs="Arial" w:eastAsia="Arial" w:hAnsi="Arial"/>
          <w:sz w:val="18"/>
          <w:szCs w:val="18"/>
          <w:color w:val="auto"/>
        </w:rPr>
        <w:t>Page 4</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320" w:right="3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AGREED AND ACCEPTED</w:t>
      </w:r>
    </w:p>
    <w:p>
      <w:pPr>
        <w:spacing w:after="0" w:line="3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33020</wp:posOffset>
            </wp:positionV>
            <wp:extent cx="32575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33020</wp:posOffset>
            </wp:positionV>
            <wp:extent cx="32575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33020</wp:posOffset>
            </wp:positionV>
            <wp:extent cx="32575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Printed name</w:t>
      </w:r>
    </w:p>
    <w:p>
      <w:pPr>
        <w:spacing w:after="0" w:line="34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33020</wp:posOffset>
            </wp:positionV>
            <wp:extent cx="32575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AIRLINES, INC.</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33020</wp:posOffset>
            </wp:positionV>
            <wp:extent cx="3531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33020</wp:posOffset>
            </wp:positionV>
            <wp:extent cx="3531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33020</wp:posOffset>
            </wp:positionV>
            <wp:extent cx="35318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940" w:val="left"/>
          <w:tab w:leader="none" w:pos="1720" w:val="left"/>
        </w:tabs>
        <w:rPr>
          <w:sz w:val="20"/>
          <w:szCs w:val="20"/>
          <w:color w:val="auto"/>
        </w:rPr>
      </w:pPr>
      <w:r>
        <w:rPr>
          <w:rFonts w:ascii="Arial" w:cs="Arial" w:eastAsia="Arial" w:hAnsi="Arial"/>
          <w:sz w:val="22"/>
          <w:szCs w:val="22"/>
          <w:color w:val="auto"/>
        </w:rPr>
        <w:t>PA 3219</w:t>
        <w:tab/>
        <w:t>SA-20</w:t>
      </w:r>
      <w:r>
        <w:rPr>
          <w:sz w:val="20"/>
          <w:szCs w:val="20"/>
          <w:color w:val="auto"/>
        </w:rPr>
        <w:tab/>
      </w:r>
      <w:r>
        <w:rPr>
          <w:rFonts w:ascii="Arial" w:cs="Arial" w:eastAsia="Arial" w:hAnsi="Arial"/>
          <w:sz w:val="18"/>
          <w:szCs w:val="18"/>
          <w:color w:val="auto"/>
        </w:rPr>
        <w:t>Page 5</w:t>
      </w:r>
    </w:p>
    <w:p>
      <w:pPr>
        <w:jc w:val="right"/>
        <w:ind w:right="32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16" w:name="page117"/>
    <w:bookmarkEnd w:id="116"/>
    <w:tbl>
      <w:tblPr>
        <w:tblLayout w:type="fixed"/>
        <w:tblInd w:w="780" w:type="dxa"/>
        <w:tblCellMar>
          <w:top w:w="0" w:type="dxa"/>
          <w:left w:w="0" w:type="dxa"/>
          <w:bottom w:w="0" w:type="dxa"/>
          <w:right w:w="0" w:type="dxa"/>
        </w:tblCellMar>
      </w:tblPr>
      <w:tr>
        <w:trPr>
          <w:trHeight w:val="274"/>
        </w:trPr>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20" w:type="dxa"/>
            <w:vAlign w:val="bottom"/>
            <w:gridSpan w:val="2"/>
          </w:tcPr>
          <w:p>
            <w:pPr>
              <w:ind w:left="1820"/>
              <w:spacing w:after="0"/>
              <w:rPr>
                <w:sz w:val="20"/>
                <w:szCs w:val="20"/>
                <w:color w:val="auto"/>
              </w:rPr>
            </w:pPr>
            <w:r>
              <w:rPr>
                <w:rFonts w:ascii="Arial" w:cs="Arial" w:eastAsia="Arial" w:hAnsi="Arial"/>
                <w:sz w:val="22"/>
                <w:szCs w:val="22"/>
                <w:color w:val="auto"/>
              </w:rPr>
              <w:t>TABLE OF CONTENTS</w:t>
            </w:r>
          </w:p>
        </w:tc>
        <w:tc>
          <w:tcPr>
            <w:tcW w:w="920" w:type="dxa"/>
            <w:vAlign w:val="bottom"/>
            <w:vMerge w:val="restart"/>
          </w:tcPr>
          <w:p>
            <w:pPr>
              <w:jc w:val="center"/>
              <w:spacing w:after="0"/>
              <w:rPr>
                <w:sz w:val="20"/>
                <w:szCs w:val="20"/>
                <w:color w:val="auto"/>
              </w:rPr>
            </w:pPr>
            <w:r>
              <w:rPr>
                <w:rFonts w:ascii="Arial" w:cs="Arial" w:eastAsia="Arial" w:hAnsi="Arial"/>
                <w:sz w:val="22"/>
                <w:szCs w:val="22"/>
                <w:color w:val="auto"/>
                <w:w w:val="95"/>
              </w:rPr>
              <w:t>SA</w:t>
            </w:r>
          </w:p>
        </w:tc>
        <w:tc>
          <w:tcPr>
            <w:tcW w:w="0" w:type="dxa"/>
            <w:vAlign w:val="bottom"/>
          </w:tcPr>
          <w:p>
            <w:pPr>
              <w:spacing w:after="0"/>
              <w:rPr>
                <w:sz w:val="1"/>
                <w:szCs w:val="1"/>
                <w:color w:val="auto"/>
              </w:rPr>
            </w:pPr>
          </w:p>
        </w:tc>
      </w:tr>
      <w:tr>
        <w:trPr>
          <w:trHeight w:val="212"/>
        </w:trPr>
        <w:tc>
          <w:tcPr>
            <w:tcW w:w="1920" w:type="dxa"/>
            <w:vAlign w:val="bottom"/>
            <w:gridSpan w:val="3"/>
            <w:vMerge w:val="restart"/>
          </w:tcPr>
          <w:p>
            <w:pPr>
              <w:spacing w:after="0"/>
              <w:rPr>
                <w:sz w:val="20"/>
                <w:szCs w:val="20"/>
                <w:color w:val="auto"/>
              </w:rPr>
            </w:pPr>
            <w:r>
              <w:rPr>
                <w:rFonts w:ascii="Arial" w:cs="Arial" w:eastAsia="Arial" w:hAnsi="Arial"/>
                <w:sz w:val="22"/>
                <w:szCs w:val="22"/>
                <w:color w:val="auto"/>
              </w:rPr>
              <w:t>ARTICLES</w:t>
            </w:r>
          </w:p>
        </w:tc>
        <w:tc>
          <w:tcPr>
            <w:tcW w:w="32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20" w:type="dxa"/>
            <w:vAlign w:val="bottom"/>
            <w:gridSpan w:val="3"/>
            <w:vMerge w:val="continue"/>
          </w:tcPr>
          <w:p>
            <w:pPr>
              <w:spacing w:after="0"/>
              <w:rPr>
                <w:sz w:val="19"/>
                <w:szCs w:val="19"/>
                <w:color w:val="auto"/>
              </w:rPr>
            </w:pPr>
          </w:p>
        </w:tc>
        <w:tc>
          <w:tcPr>
            <w:tcW w:w="32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920" w:type="dxa"/>
            <w:vAlign w:val="bottom"/>
          </w:tcPr>
          <w:p>
            <w:pPr>
              <w:jc w:val="center"/>
              <w:spacing w:after="0" w:line="224" w:lineRule="exact"/>
              <w:rPr>
                <w:sz w:val="20"/>
                <w:szCs w:val="20"/>
                <w:color w:val="auto"/>
              </w:rPr>
            </w:pPr>
            <w:r>
              <w:rPr>
                <w:rFonts w:ascii="Arial" w:cs="Arial" w:eastAsia="Arial" w:hAnsi="Arial"/>
                <w:sz w:val="22"/>
                <w:szCs w:val="22"/>
                <w:color w:val="auto"/>
                <w:w w:val="96"/>
              </w:rPr>
              <w:t>NUMBER</w:t>
            </w:r>
          </w:p>
        </w:tc>
        <w:tc>
          <w:tcPr>
            <w:tcW w:w="0" w:type="dxa"/>
            <w:vAlign w:val="bottom"/>
          </w:tcPr>
          <w:p>
            <w:pPr>
              <w:spacing w:after="0"/>
              <w:rPr>
                <w:sz w:val="1"/>
                <w:szCs w:val="1"/>
                <w:color w:val="auto"/>
              </w:rPr>
            </w:pPr>
          </w:p>
        </w:tc>
      </w:tr>
      <w:tr>
        <w:trPr>
          <w:trHeight w:val="368"/>
        </w:trPr>
        <w:tc>
          <w:tcPr>
            <w:tcW w:w="6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6"/>
              </w:rPr>
              <w:t>1.</w:t>
            </w:r>
          </w:p>
        </w:tc>
        <w:tc>
          <w:tcPr>
            <w:tcW w:w="3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22"/>
                <w:szCs w:val="22"/>
                <w:color w:val="auto"/>
              </w:rPr>
              <w:t>Quantity, Model and Description</w:t>
            </w: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22"/>
                <w:szCs w:val="22"/>
                <w:color w:val="auto"/>
                <w:w w:val="86"/>
              </w:rPr>
              <w:t>2.</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22"/>
                <w:szCs w:val="22"/>
                <w:color w:val="auto"/>
              </w:rPr>
              <w:t>Delivery Schedule</w:t>
            </w:r>
          </w:p>
        </w:tc>
        <w:tc>
          <w:tcPr>
            <w:tcW w:w="920" w:type="dxa"/>
            <w:vAlign w:val="bottom"/>
          </w:tcPr>
          <w:p>
            <w:pPr>
              <w:jc w:val="center"/>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22"/>
                <w:szCs w:val="22"/>
                <w:color w:val="auto"/>
                <w:w w:val="86"/>
              </w:rPr>
              <w:t>3.</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22"/>
                <w:szCs w:val="22"/>
                <w:color w:val="auto"/>
              </w:rPr>
              <w:t>Price</w:t>
            </w:r>
          </w:p>
        </w:tc>
        <w:tc>
          <w:tcPr>
            <w:tcW w:w="920" w:type="dxa"/>
            <w:vAlign w:val="bottom"/>
          </w:tcPr>
          <w:p>
            <w:pPr>
              <w:jc w:val="center"/>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22"/>
                <w:szCs w:val="22"/>
                <w:color w:val="auto"/>
                <w:w w:val="86"/>
              </w:rPr>
              <w:t>4.</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22"/>
                <w:szCs w:val="22"/>
                <w:color w:val="auto"/>
              </w:rPr>
              <w:t>Payment</w:t>
            </w:r>
          </w:p>
        </w:tc>
        <w:tc>
          <w:tcPr>
            <w:tcW w:w="920" w:type="dxa"/>
            <w:vAlign w:val="bottom"/>
          </w:tcPr>
          <w:p>
            <w:pPr>
              <w:jc w:val="center"/>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333"/>
        </w:trPr>
        <w:tc>
          <w:tcPr>
            <w:tcW w:w="680" w:type="dxa"/>
            <w:vAlign w:val="bottom"/>
          </w:tcPr>
          <w:p>
            <w:pPr>
              <w:jc w:val="center"/>
              <w:spacing w:after="0"/>
              <w:rPr>
                <w:sz w:val="20"/>
                <w:szCs w:val="20"/>
                <w:color w:val="auto"/>
              </w:rPr>
            </w:pPr>
            <w:r>
              <w:rPr>
                <w:rFonts w:ascii="Arial" w:cs="Arial" w:eastAsia="Arial" w:hAnsi="Arial"/>
                <w:sz w:val="22"/>
                <w:szCs w:val="22"/>
                <w:color w:val="auto"/>
                <w:w w:val="86"/>
              </w:rPr>
              <w:t>5.</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22"/>
                <w:szCs w:val="22"/>
                <w:color w:val="auto"/>
              </w:rPr>
              <w:t>Miscellaneous</w:t>
            </w:r>
          </w:p>
        </w:tc>
        <w:tc>
          <w:tcPr>
            <w:tcW w:w="920" w:type="dxa"/>
            <w:vAlign w:val="bottom"/>
          </w:tcPr>
          <w:p>
            <w:pPr>
              <w:jc w:val="center"/>
              <w:spacing w:after="0"/>
              <w:rPr>
                <w:sz w:val="20"/>
                <w:szCs w:val="20"/>
                <w:color w:val="auto"/>
              </w:rPr>
            </w:pPr>
            <w:r>
              <w:rPr>
                <w:rFonts w:ascii="Arial" w:cs="Arial" w:eastAsia="Arial" w:hAnsi="Arial"/>
                <w:sz w:val="22"/>
                <w:szCs w:val="22"/>
                <w:color w:val="auto"/>
                <w:w w:val="89"/>
              </w:rPr>
              <w:t>SA-3</w:t>
            </w:r>
          </w:p>
        </w:tc>
        <w:tc>
          <w:tcPr>
            <w:tcW w:w="0" w:type="dxa"/>
            <w:vAlign w:val="bottom"/>
          </w:tcPr>
          <w:p>
            <w:pPr>
              <w:spacing w:after="0"/>
              <w:rPr>
                <w:sz w:val="1"/>
                <w:szCs w:val="1"/>
                <w:color w:val="auto"/>
              </w:rPr>
            </w:pPr>
          </w:p>
        </w:tc>
      </w:tr>
      <w:tr>
        <w:trPr>
          <w:trHeight w:val="274"/>
        </w:trPr>
        <w:tc>
          <w:tcPr>
            <w:tcW w:w="680" w:type="dxa"/>
            <w:vAlign w:val="bottom"/>
          </w:tcPr>
          <w:p>
            <w:pPr>
              <w:jc w:val="center"/>
              <w:spacing w:after="0"/>
              <w:rPr>
                <w:sz w:val="20"/>
                <w:szCs w:val="20"/>
                <w:color w:val="auto"/>
              </w:rPr>
            </w:pPr>
            <w:r>
              <w:rPr>
                <w:rFonts w:ascii="Arial" w:cs="Arial" w:eastAsia="Arial" w:hAnsi="Arial"/>
                <w:sz w:val="22"/>
                <w:szCs w:val="22"/>
                <w:color w:val="auto"/>
                <w:w w:val="86"/>
              </w:rPr>
              <w:t>6.</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20" w:type="dxa"/>
            <w:vAlign w:val="bottom"/>
            <w:gridSpan w:val="2"/>
          </w:tcPr>
          <w:p>
            <w:pPr>
              <w:spacing w:after="0"/>
              <w:rPr>
                <w:sz w:val="20"/>
                <w:szCs w:val="20"/>
                <w:color w:val="auto"/>
              </w:rPr>
            </w:pPr>
            <w:r>
              <w:rPr>
                <w:rFonts w:ascii="Arial" w:cs="Arial" w:eastAsia="Arial" w:hAnsi="Arial"/>
                <w:sz w:val="22"/>
                <w:szCs w:val="22"/>
                <w:color w:val="auto"/>
              </w:rPr>
              <w:t>Confidential Treatment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9"/>
        </w:trPr>
        <w:tc>
          <w:tcPr>
            <w:tcW w:w="1920" w:type="dxa"/>
            <w:vAlign w:val="bottom"/>
            <w:gridSpan w:val="3"/>
          </w:tcPr>
          <w:p>
            <w:pPr>
              <w:spacing w:after="0"/>
              <w:rPr>
                <w:sz w:val="20"/>
                <w:szCs w:val="20"/>
                <w:color w:val="auto"/>
              </w:rPr>
            </w:pPr>
            <w:r>
              <w:rPr>
                <w:rFonts w:ascii="Arial" w:cs="Arial" w:eastAsia="Arial" w:hAnsi="Arial"/>
                <w:sz w:val="22"/>
                <w:szCs w:val="22"/>
                <w:color w:val="auto"/>
              </w:rPr>
              <w:t>TABLE</w:t>
            </w:r>
          </w:p>
        </w:tc>
        <w:tc>
          <w:tcPr>
            <w:tcW w:w="3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strike w:val="1"/>
                <w:w w:val="86"/>
              </w:rPr>
              <w:t>1.</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60" w:type="dxa"/>
            <w:vAlign w:val="bottom"/>
          </w:tcPr>
          <w:p>
            <w:pPr>
              <w:spacing w:after="0"/>
              <w:rPr>
                <w:sz w:val="20"/>
                <w:szCs w:val="20"/>
                <w:color w:val="auto"/>
              </w:rPr>
            </w:pPr>
            <w:r>
              <w:rPr>
                <w:rFonts w:ascii="Arial" w:cs="Arial" w:eastAsia="Arial" w:hAnsi="Arial"/>
                <w:sz w:val="22"/>
                <w:szCs w:val="22"/>
                <w:color w:val="auto"/>
                <w:strike w:val="1"/>
                <w:w w:val="93"/>
              </w:rPr>
              <w:t>Aircraft Information Table – TRENT</w:t>
            </w:r>
          </w:p>
        </w:tc>
        <w:tc>
          <w:tcPr>
            <w:tcW w:w="4160" w:type="dxa"/>
            <w:vAlign w:val="bottom"/>
          </w:tcPr>
          <w:p>
            <w:pPr>
              <w:spacing w:after="0"/>
              <w:rPr>
                <w:sz w:val="20"/>
                <w:szCs w:val="20"/>
                <w:color w:val="auto"/>
              </w:rPr>
            </w:pPr>
            <w:r>
              <w:rPr>
                <w:rFonts w:ascii="Arial" w:cs="Arial" w:eastAsia="Arial" w:hAnsi="Arial"/>
                <w:sz w:val="22"/>
                <w:szCs w:val="22"/>
                <w:color w:val="auto"/>
              </w:rPr>
              <w:t>WITHDRAWN</w:t>
            </w:r>
          </w:p>
        </w:tc>
        <w:tc>
          <w:tcPr>
            <w:tcW w:w="920" w:type="dxa"/>
            <w:vAlign w:val="bottom"/>
          </w:tcPr>
          <w:p>
            <w:pPr>
              <w:jc w:val="center"/>
              <w:spacing w:after="0"/>
              <w:rPr>
                <w:sz w:val="20"/>
                <w:szCs w:val="20"/>
                <w:color w:val="auto"/>
              </w:rPr>
            </w:pPr>
            <w:r>
              <w:rPr>
                <w:rFonts w:ascii="Arial" w:cs="Arial" w:eastAsia="Arial" w:hAnsi="Arial"/>
                <w:sz w:val="22"/>
                <w:szCs w:val="22"/>
                <w:color w:val="auto"/>
                <w:w w:val="89"/>
              </w:rPr>
              <w:t>SA-2</w:t>
            </w:r>
          </w:p>
        </w:tc>
        <w:tc>
          <w:tcPr>
            <w:tcW w:w="0" w:type="dxa"/>
            <w:vAlign w:val="bottom"/>
          </w:tcPr>
          <w:p>
            <w:pPr>
              <w:spacing w:after="0"/>
              <w:rPr>
                <w:sz w:val="1"/>
                <w:szCs w:val="1"/>
                <w:color w:val="auto"/>
              </w:rPr>
            </w:pPr>
          </w:p>
        </w:tc>
      </w:tr>
      <w:tr>
        <w:trPr>
          <w:trHeight w:val="413"/>
        </w:trPr>
        <w:tc>
          <w:tcPr>
            <w:tcW w:w="1920" w:type="dxa"/>
            <w:vAlign w:val="bottom"/>
            <w:gridSpan w:val="3"/>
          </w:tcPr>
          <w:p>
            <w:pPr>
              <w:jc w:val="center"/>
              <w:ind w:right="1220"/>
              <w:spacing w:after="0"/>
              <w:rPr>
                <w:sz w:val="20"/>
                <w:szCs w:val="20"/>
                <w:color w:val="auto"/>
              </w:rPr>
            </w:pPr>
            <w:r>
              <w:rPr>
                <w:rFonts w:ascii="Arial" w:cs="Arial" w:eastAsia="Arial" w:hAnsi="Arial"/>
                <w:sz w:val="20"/>
                <w:szCs w:val="20"/>
                <w:color w:val="auto"/>
                <w:w w:val="91"/>
              </w:rPr>
              <w:t>1(R7)</w:t>
            </w:r>
          </w:p>
        </w:tc>
        <w:tc>
          <w:tcPr>
            <w:tcW w:w="7420" w:type="dxa"/>
            <w:vAlign w:val="bottom"/>
            <w:gridSpan w:val="2"/>
          </w:tcPr>
          <w:p>
            <w:pPr>
              <w:spacing w:after="0"/>
              <w:rPr>
                <w:sz w:val="20"/>
                <w:szCs w:val="20"/>
                <w:color w:val="auto"/>
              </w:rPr>
            </w:pPr>
            <w:r>
              <w:rPr>
                <w:rFonts w:ascii="Arial" w:cs="Arial" w:eastAsia="Arial" w:hAnsi="Arial"/>
                <w:sz w:val="20"/>
                <w:szCs w:val="20"/>
                <w:color w:val="auto"/>
              </w:rPr>
              <w:t>787-9 Aircraft Information Table – GENX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240"/>
          </w:cols>
          <w:pgMar w:left="320" w:top="1239" w:right="339" w:bottom="211" w:gutter="0" w:footer="0" w:header="0"/>
        </w:sectPr>
      </w:pP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1740" w:type="dxa"/>
            <w:vAlign w:val="bottom"/>
            <w:gridSpan w:val="4"/>
            <w:vMerge w:val="restart"/>
          </w:tcPr>
          <w:p>
            <w:pPr>
              <w:jc w:val="center"/>
              <w:ind w:right="763"/>
              <w:spacing w:after="0"/>
              <w:rPr>
                <w:sz w:val="20"/>
                <w:szCs w:val="20"/>
                <w:color w:val="auto"/>
              </w:rPr>
            </w:pPr>
            <w:r>
              <w:rPr>
                <w:rFonts w:ascii="Arial" w:cs="Arial" w:eastAsia="Arial" w:hAnsi="Arial"/>
                <w:sz w:val="22"/>
                <w:szCs w:val="22"/>
                <w:color w:val="auto"/>
                <w:w w:val="94"/>
              </w:rPr>
              <w:t>2(R1)</w:t>
            </w:r>
          </w:p>
        </w:tc>
        <w:tc>
          <w:tcPr>
            <w:tcW w:w="6660" w:type="dxa"/>
            <w:vAlign w:val="bottom"/>
            <w:gridSpan w:val="2"/>
          </w:tcPr>
          <w:p>
            <w:pPr>
              <w:ind w:left="280"/>
              <w:spacing w:after="0"/>
              <w:rPr>
                <w:sz w:val="20"/>
                <w:szCs w:val="20"/>
                <w:color w:val="auto"/>
              </w:rPr>
            </w:pPr>
            <w:r>
              <w:rPr>
                <w:rFonts w:ascii="Arial" w:cs="Arial" w:eastAsia="Arial" w:hAnsi="Arial"/>
                <w:sz w:val="22"/>
                <w:szCs w:val="22"/>
                <w:color w:val="auto"/>
              </w:rPr>
              <w:t>787-8 Aircraft Information Table – GENX</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6660" w:type="dxa"/>
            <w:vAlign w:val="bottom"/>
            <w:gridSpan w:val="2"/>
            <w:vMerge w:val="restart"/>
          </w:tcPr>
          <w:p>
            <w:pPr>
              <w:ind w:left="600"/>
              <w:spacing w:after="0"/>
              <w:rPr>
                <w:sz w:val="20"/>
                <w:szCs w:val="20"/>
                <w:color w:val="auto"/>
              </w:rPr>
            </w:pPr>
            <w:r>
              <w:rPr>
                <w:rFonts w:ascii="Arial" w:cs="Arial" w:eastAsia="Arial" w:hAnsi="Arial"/>
                <w:sz w:val="22"/>
                <w:szCs w:val="22"/>
                <w:color w:val="auto"/>
              </w:rPr>
              <w:t>([****] (12) 787-8 Aircraft)</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740" w:type="dxa"/>
            <w:vAlign w:val="bottom"/>
            <w:gridSpan w:val="4"/>
            <w:vMerge w:val="restart"/>
          </w:tcPr>
          <w:p>
            <w:pPr>
              <w:jc w:val="center"/>
              <w:ind w:right="763"/>
              <w:spacing w:after="0"/>
              <w:rPr>
                <w:sz w:val="20"/>
                <w:szCs w:val="20"/>
                <w:color w:val="auto"/>
              </w:rPr>
            </w:pPr>
            <w:r>
              <w:rPr>
                <w:rFonts w:ascii="Arial" w:cs="Arial" w:eastAsia="Arial" w:hAnsi="Arial"/>
                <w:sz w:val="22"/>
                <w:szCs w:val="22"/>
                <w:color w:val="auto"/>
                <w:w w:val="94"/>
              </w:rPr>
              <w:t>3(R1)</w:t>
            </w:r>
          </w:p>
        </w:tc>
        <w:tc>
          <w:tcPr>
            <w:tcW w:w="6660" w:type="dxa"/>
            <w:vAlign w:val="bottom"/>
            <w:gridSpan w:val="2"/>
          </w:tcPr>
          <w:p>
            <w:pPr>
              <w:ind w:left="280"/>
              <w:spacing w:after="0"/>
              <w:rPr>
                <w:sz w:val="20"/>
                <w:szCs w:val="20"/>
                <w:color w:val="auto"/>
              </w:rPr>
            </w:pPr>
            <w:r>
              <w:rPr>
                <w:rFonts w:ascii="Arial" w:cs="Arial" w:eastAsia="Arial" w:hAnsi="Arial"/>
                <w:sz w:val="22"/>
                <w:szCs w:val="22"/>
                <w:color w:val="auto"/>
              </w:rPr>
              <w:t>787-8 Aircraft Information Table – GENX</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6660" w:type="dxa"/>
            <w:vAlign w:val="bottom"/>
            <w:gridSpan w:val="2"/>
            <w:vMerge w:val="restart"/>
          </w:tcPr>
          <w:p>
            <w:pPr>
              <w:ind w:left="600"/>
              <w:spacing w:after="0"/>
              <w:rPr>
                <w:sz w:val="20"/>
                <w:szCs w:val="20"/>
                <w:color w:val="auto"/>
              </w:rPr>
            </w:pPr>
            <w:r>
              <w:rPr>
                <w:rFonts w:ascii="Arial" w:cs="Arial" w:eastAsia="Arial" w:hAnsi="Arial"/>
                <w:sz w:val="22"/>
                <w:szCs w:val="22"/>
                <w:color w:val="auto"/>
                <w:w w:val="94"/>
              </w:rPr>
              <w:t>([****] Eight (8) 787-8 Aircraft, yielding Twenty (20) 787-8 Aircraft)</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2"/>
        </w:trPr>
        <w:tc>
          <w:tcPr>
            <w:tcW w:w="1120" w:type="dxa"/>
            <w:vAlign w:val="bottom"/>
            <w:gridSpan w:val="2"/>
          </w:tcPr>
          <w:p>
            <w:pPr>
              <w:jc w:val="center"/>
              <w:ind w:left="332"/>
              <w:spacing w:after="0"/>
              <w:rPr>
                <w:sz w:val="20"/>
                <w:szCs w:val="20"/>
                <w:color w:val="auto"/>
              </w:rPr>
            </w:pPr>
            <w:r>
              <w:rPr>
                <w:rFonts w:ascii="Arial" w:cs="Arial" w:eastAsia="Arial" w:hAnsi="Arial"/>
                <w:sz w:val="22"/>
                <w:szCs w:val="22"/>
                <w:color w:val="auto"/>
                <w:w w:val="97"/>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60" w:type="dxa"/>
            <w:vAlign w:val="bottom"/>
            <w:gridSpan w:val="2"/>
          </w:tcPr>
          <w:p>
            <w:pPr>
              <w:ind w:left="28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480"/>
        </w:trPr>
        <w:tc>
          <w:tcPr>
            <w:tcW w:w="340" w:type="dxa"/>
            <w:vAlign w:val="bottom"/>
          </w:tcPr>
          <w:p>
            <w:pPr>
              <w:spacing w:after="0"/>
              <w:rPr>
                <w:sz w:val="24"/>
                <w:szCs w:val="24"/>
                <w:color w:val="auto"/>
              </w:rPr>
            </w:pPr>
          </w:p>
        </w:tc>
        <w:tc>
          <w:tcPr>
            <w:tcW w:w="1740" w:type="dxa"/>
            <w:vAlign w:val="bottom"/>
            <w:gridSpan w:val="4"/>
          </w:tcPr>
          <w:p>
            <w:pPr>
              <w:jc w:val="center"/>
              <w:ind w:right="763"/>
              <w:spacing w:after="0"/>
              <w:rPr>
                <w:sz w:val="20"/>
                <w:szCs w:val="20"/>
                <w:color w:val="auto"/>
              </w:rPr>
            </w:pPr>
            <w:r>
              <w:rPr>
                <w:rFonts w:ascii="Arial" w:cs="Arial" w:eastAsia="Arial" w:hAnsi="Arial"/>
                <w:sz w:val="20"/>
                <w:szCs w:val="20"/>
                <w:b w:val="1"/>
                <w:bCs w:val="1"/>
                <w:color w:val="auto"/>
                <w:w w:val="95"/>
              </w:rPr>
              <w:t>5(R4)</w:t>
            </w:r>
          </w:p>
        </w:tc>
        <w:tc>
          <w:tcPr>
            <w:tcW w:w="6660" w:type="dxa"/>
            <w:vAlign w:val="bottom"/>
            <w:gridSpan w:val="2"/>
          </w:tcPr>
          <w:p>
            <w:pPr>
              <w:ind w:left="280"/>
              <w:spacing w:after="0"/>
              <w:rPr>
                <w:sz w:val="20"/>
                <w:szCs w:val="20"/>
                <w:color w:val="auto"/>
              </w:rPr>
            </w:pPr>
            <w:r>
              <w:rPr>
                <w:rFonts w:ascii="Arial" w:cs="Arial" w:eastAsia="Arial" w:hAnsi="Arial"/>
                <w:sz w:val="20"/>
                <w:szCs w:val="20"/>
                <w:b w:val="1"/>
                <w:bCs w:val="1"/>
                <w:color w:val="auto"/>
              </w:rPr>
              <w:t xml:space="preserve">2018 787-9 </w:t>
            </w:r>
            <w:r>
              <w:rPr>
                <w:rFonts w:ascii="Arial" w:cs="Arial" w:eastAsia="Arial" w:hAnsi="Arial"/>
                <w:sz w:val="21"/>
                <w:szCs w:val="21"/>
                <w:color w:val="auto"/>
              </w:rPr>
              <w:t>[****]</w:t>
            </w:r>
            <w:r>
              <w:rPr>
                <w:rFonts w:ascii="Arial" w:cs="Arial" w:eastAsia="Arial" w:hAnsi="Arial"/>
                <w:sz w:val="20"/>
                <w:szCs w:val="20"/>
                <w:b w:val="1"/>
                <w:bCs w:val="1"/>
                <w:color w:val="auto"/>
              </w:rPr>
              <w:t xml:space="preserve"> Aircraft Information Table – GENX</w:t>
            </w:r>
          </w:p>
        </w:tc>
        <w:tc>
          <w:tcPr>
            <w:tcW w:w="0" w:type="dxa"/>
            <w:vAlign w:val="bottom"/>
          </w:tcPr>
          <w:p>
            <w:pPr>
              <w:spacing w:after="0"/>
              <w:rPr>
                <w:sz w:val="1"/>
                <w:szCs w:val="1"/>
                <w:color w:val="auto"/>
              </w:rPr>
            </w:pPr>
          </w:p>
        </w:tc>
      </w:tr>
      <w:tr>
        <w:trPr>
          <w:trHeight w:val="303"/>
        </w:trPr>
        <w:tc>
          <w:tcPr>
            <w:tcW w:w="340" w:type="dxa"/>
            <w:vAlign w:val="bottom"/>
          </w:tcPr>
          <w:p>
            <w:pPr>
              <w:spacing w:after="0"/>
              <w:rPr>
                <w:sz w:val="24"/>
                <w:szCs w:val="24"/>
                <w:color w:val="auto"/>
              </w:rPr>
            </w:pPr>
          </w:p>
        </w:tc>
        <w:tc>
          <w:tcPr>
            <w:tcW w:w="1740" w:type="dxa"/>
            <w:vAlign w:val="bottom"/>
            <w:gridSpan w:val="4"/>
          </w:tcPr>
          <w:p>
            <w:pPr>
              <w:jc w:val="center"/>
              <w:ind w:right="763"/>
              <w:spacing w:after="0"/>
              <w:rPr>
                <w:sz w:val="20"/>
                <w:szCs w:val="20"/>
                <w:color w:val="auto"/>
              </w:rPr>
            </w:pPr>
            <w:r>
              <w:rPr>
                <w:rFonts w:ascii="Arial" w:cs="Arial" w:eastAsia="Arial" w:hAnsi="Arial"/>
                <w:sz w:val="20"/>
                <w:szCs w:val="20"/>
                <w:color w:val="auto"/>
                <w:w w:val="87"/>
              </w:rPr>
              <w:t>6R3</w:t>
            </w:r>
          </w:p>
        </w:tc>
        <w:tc>
          <w:tcPr>
            <w:tcW w:w="6660" w:type="dxa"/>
            <w:vAlign w:val="bottom"/>
            <w:gridSpan w:val="2"/>
          </w:tcPr>
          <w:p>
            <w:pPr>
              <w:ind w:left="280"/>
              <w:spacing w:after="0"/>
              <w:rPr>
                <w:sz w:val="20"/>
                <w:szCs w:val="20"/>
                <w:color w:val="auto"/>
              </w:rPr>
            </w:pPr>
            <w:r>
              <w:rPr>
                <w:rFonts w:ascii="Arial" w:cs="Arial" w:eastAsia="Arial" w:hAnsi="Arial"/>
                <w:sz w:val="20"/>
                <w:szCs w:val="20"/>
                <w:color w:val="auto"/>
              </w:rPr>
              <w:t xml:space="preserve">2018 787-8 </w:t>
            </w:r>
            <w:r>
              <w:rPr>
                <w:rFonts w:ascii="Arial" w:cs="Arial" w:eastAsia="Arial" w:hAnsi="Arial"/>
                <w:sz w:val="21"/>
                <w:szCs w:val="21"/>
                <w:color w:val="auto"/>
              </w:rPr>
              <w:t>[****]</w:t>
            </w:r>
            <w:r>
              <w:rPr>
                <w:rFonts w:ascii="Arial" w:cs="Arial" w:eastAsia="Arial" w:hAnsi="Arial"/>
                <w:sz w:val="20"/>
                <w:szCs w:val="20"/>
                <w:color w:val="auto"/>
              </w:rPr>
              <w:t xml:space="preserve"> Aircraft Information Table-GENX</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1740" w:type="dxa"/>
            <w:vAlign w:val="bottom"/>
            <w:gridSpan w:val="4"/>
          </w:tcPr>
          <w:p>
            <w:pPr>
              <w:jc w:val="center"/>
              <w:ind w:right="763"/>
              <w:spacing w:after="0"/>
              <w:rPr>
                <w:sz w:val="20"/>
                <w:szCs w:val="20"/>
                <w:color w:val="auto"/>
              </w:rPr>
            </w:pPr>
            <w:r>
              <w:rPr>
                <w:rFonts w:ascii="Arial" w:cs="Arial" w:eastAsia="Arial" w:hAnsi="Arial"/>
                <w:sz w:val="22"/>
                <w:szCs w:val="22"/>
                <w:color w:val="auto"/>
                <w:w w:val="94"/>
              </w:rPr>
              <w:t>7(R2)</w:t>
            </w:r>
          </w:p>
        </w:tc>
        <w:tc>
          <w:tcPr>
            <w:tcW w:w="6660" w:type="dxa"/>
            <w:vAlign w:val="bottom"/>
            <w:gridSpan w:val="2"/>
          </w:tcPr>
          <w:p>
            <w:pPr>
              <w:ind w:left="280"/>
              <w:spacing w:after="0"/>
              <w:rPr>
                <w:sz w:val="20"/>
                <w:szCs w:val="20"/>
                <w:color w:val="auto"/>
              </w:rPr>
            </w:pPr>
            <w:r>
              <w:rPr>
                <w:rFonts w:ascii="Arial" w:cs="Arial" w:eastAsia="Arial" w:hAnsi="Arial"/>
                <w:sz w:val="20"/>
                <w:szCs w:val="20"/>
                <w:color w:val="auto"/>
              </w:rPr>
              <w:t xml:space="preserve">2018 </w:t>
            </w:r>
            <w:r>
              <w:rPr>
                <w:rFonts w:ascii="Arial" w:cs="Arial" w:eastAsia="Arial" w:hAnsi="Arial"/>
                <w:sz w:val="21"/>
                <w:szCs w:val="21"/>
                <w:color w:val="auto"/>
              </w:rPr>
              <w:t>[****]</w:t>
            </w:r>
            <w:r>
              <w:rPr>
                <w:rFonts w:ascii="Arial" w:cs="Arial" w:eastAsia="Arial" w:hAnsi="Arial"/>
                <w:sz w:val="20"/>
                <w:szCs w:val="20"/>
                <w:color w:val="auto"/>
              </w:rPr>
              <w:t xml:space="preserve"> 787-9 </w:t>
            </w:r>
            <w:r>
              <w:rPr>
                <w:rFonts w:ascii="Arial" w:cs="Arial" w:eastAsia="Arial" w:hAnsi="Arial"/>
                <w:sz w:val="21"/>
                <w:szCs w:val="21"/>
                <w:color w:val="auto"/>
              </w:rPr>
              <w:t>[****]</w:t>
            </w:r>
            <w:r>
              <w:rPr>
                <w:rFonts w:ascii="Arial" w:cs="Arial" w:eastAsia="Arial" w:hAnsi="Arial"/>
                <w:sz w:val="20"/>
                <w:szCs w:val="20"/>
                <w:color w:val="auto"/>
              </w:rPr>
              <w:t xml:space="preserve"> Aircraft Information Table – GENX</w:t>
            </w:r>
          </w:p>
        </w:tc>
        <w:tc>
          <w:tcPr>
            <w:tcW w:w="0" w:type="dxa"/>
            <w:vAlign w:val="bottom"/>
          </w:tcPr>
          <w:p>
            <w:pPr>
              <w:spacing w:after="0"/>
              <w:rPr>
                <w:sz w:val="1"/>
                <w:szCs w:val="1"/>
                <w:color w:val="auto"/>
              </w:rPr>
            </w:pPr>
          </w:p>
        </w:tc>
      </w:tr>
      <w:tr>
        <w:trPr>
          <w:trHeight w:val="773"/>
        </w:trPr>
        <w:tc>
          <w:tcPr>
            <w:tcW w:w="34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EXHIBIT</w:t>
            </w:r>
          </w:p>
        </w:tc>
        <w:tc>
          <w:tcPr>
            <w:tcW w:w="8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1740" w:type="dxa"/>
            <w:vAlign w:val="bottom"/>
            <w:gridSpan w:val="4"/>
          </w:tcPr>
          <w:p>
            <w:pPr>
              <w:jc w:val="center"/>
              <w:ind w:right="763"/>
              <w:spacing w:after="0"/>
              <w:rPr>
                <w:sz w:val="20"/>
                <w:szCs w:val="20"/>
                <w:color w:val="auto"/>
              </w:rPr>
            </w:pPr>
            <w:r>
              <w:rPr>
                <w:rFonts w:ascii="Arial" w:cs="Arial" w:eastAsia="Arial" w:hAnsi="Arial"/>
                <w:sz w:val="20"/>
                <w:szCs w:val="20"/>
                <w:color w:val="auto"/>
                <w:w w:val="96"/>
              </w:rPr>
              <w:t>A(R3).</w:t>
            </w:r>
          </w:p>
        </w:tc>
        <w:tc>
          <w:tcPr>
            <w:tcW w:w="6660" w:type="dxa"/>
            <w:vAlign w:val="bottom"/>
            <w:gridSpan w:val="2"/>
          </w:tcPr>
          <w:p>
            <w:pPr>
              <w:ind w:left="280"/>
              <w:spacing w:after="0"/>
              <w:rPr>
                <w:sz w:val="20"/>
                <w:szCs w:val="20"/>
                <w:color w:val="auto"/>
              </w:rPr>
            </w:pPr>
            <w:r>
              <w:rPr>
                <w:rFonts w:ascii="Arial" w:cs="Arial" w:eastAsia="Arial" w:hAnsi="Arial"/>
                <w:sz w:val="20"/>
                <w:szCs w:val="20"/>
                <w:color w:val="auto"/>
              </w:rPr>
              <w:t xml:space="preserve">Aircraft Configuration for </w:t>
            </w:r>
            <w:r>
              <w:rPr>
                <w:rFonts w:ascii="Arial" w:cs="Arial" w:eastAsia="Arial" w:hAnsi="Arial"/>
                <w:sz w:val="21"/>
                <w:szCs w:val="21"/>
                <w:color w:val="auto"/>
              </w:rPr>
              <w:t>[****]</w:t>
            </w:r>
            <w:r>
              <w:rPr>
                <w:rFonts w:ascii="Arial" w:cs="Arial" w:eastAsia="Arial" w:hAnsi="Arial"/>
                <w:sz w:val="20"/>
                <w:szCs w:val="20"/>
                <w:color w:val="auto"/>
              </w:rPr>
              <w:t xml:space="preserve"> Aircraft</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740" w:type="dxa"/>
            <w:vAlign w:val="bottom"/>
            <w:gridSpan w:val="4"/>
          </w:tcPr>
          <w:p>
            <w:pPr>
              <w:jc w:val="center"/>
              <w:ind w:right="743"/>
              <w:spacing w:after="0"/>
              <w:rPr>
                <w:sz w:val="20"/>
                <w:szCs w:val="20"/>
                <w:color w:val="auto"/>
              </w:rPr>
            </w:pPr>
            <w:r>
              <w:rPr>
                <w:rFonts w:ascii="Arial" w:cs="Arial" w:eastAsia="Arial" w:hAnsi="Arial"/>
                <w:sz w:val="22"/>
                <w:szCs w:val="22"/>
                <w:color w:val="auto"/>
                <w:w w:val="94"/>
              </w:rPr>
              <w:t>A2(R5)</w:t>
            </w:r>
          </w:p>
        </w:tc>
        <w:tc>
          <w:tcPr>
            <w:tcW w:w="6660" w:type="dxa"/>
            <w:vAlign w:val="bottom"/>
            <w:gridSpan w:val="2"/>
          </w:tcPr>
          <w:p>
            <w:pPr>
              <w:ind w:left="280"/>
              <w:spacing w:after="0"/>
              <w:rPr>
                <w:sz w:val="20"/>
                <w:szCs w:val="20"/>
                <w:color w:val="auto"/>
              </w:rPr>
            </w:pPr>
            <w:r>
              <w:rPr>
                <w:rFonts w:ascii="Arial" w:cs="Arial" w:eastAsia="Arial" w:hAnsi="Arial"/>
                <w:sz w:val="22"/>
                <w:szCs w:val="22"/>
                <w:color w:val="auto"/>
              </w:rPr>
              <w:t>Aircraft Configuration for [****] Aircraft</w:t>
            </w: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1740" w:type="dxa"/>
            <w:vAlign w:val="bottom"/>
            <w:gridSpan w:val="4"/>
          </w:tcPr>
          <w:p>
            <w:pPr>
              <w:jc w:val="center"/>
              <w:ind w:right="763"/>
              <w:spacing w:after="0"/>
              <w:rPr>
                <w:sz w:val="20"/>
                <w:szCs w:val="20"/>
                <w:color w:val="auto"/>
              </w:rPr>
            </w:pPr>
            <w:r>
              <w:rPr>
                <w:rFonts w:ascii="Arial" w:cs="Arial" w:eastAsia="Arial" w:hAnsi="Arial"/>
                <w:sz w:val="22"/>
                <w:szCs w:val="22"/>
                <w:color w:val="auto"/>
                <w:w w:val="94"/>
              </w:rPr>
              <w:t>B(R1).</w:t>
            </w:r>
          </w:p>
        </w:tc>
        <w:tc>
          <w:tcPr>
            <w:tcW w:w="6660" w:type="dxa"/>
            <w:vAlign w:val="bottom"/>
            <w:gridSpan w:val="2"/>
          </w:tcPr>
          <w:p>
            <w:pPr>
              <w:ind w:left="280"/>
              <w:spacing w:after="0"/>
              <w:rPr>
                <w:sz w:val="20"/>
                <w:szCs w:val="20"/>
                <w:color w:val="auto"/>
              </w:rPr>
            </w:pPr>
            <w:r>
              <w:rPr>
                <w:rFonts w:ascii="Arial" w:cs="Arial" w:eastAsia="Arial" w:hAnsi="Arial"/>
                <w:sz w:val="22"/>
                <w:szCs w:val="22"/>
                <w:color w:val="auto"/>
              </w:rPr>
              <w:t>Aircraft Delivery Requirements and Responsibilities</w:t>
            </w: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1740" w:type="dxa"/>
            <w:vAlign w:val="bottom"/>
            <w:gridSpan w:val="4"/>
          </w:tcPr>
          <w:p>
            <w:pPr>
              <w:jc w:val="center"/>
              <w:ind w:right="763"/>
              <w:spacing w:after="0"/>
              <w:rPr>
                <w:sz w:val="20"/>
                <w:szCs w:val="20"/>
                <w:color w:val="auto"/>
              </w:rPr>
            </w:pPr>
            <w:r>
              <w:rPr>
                <w:rFonts w:ascii="Arial" w:cs="Arial" w:eastAsia="Arial" w:hAnsi="Arial"/>
                <w:sz w:val="22"/>
                <w:szCs w:val="22"/>
                <w:color w:val="auto"/>
                <w:w w:val="92"/>
              </w:rPr>
              <w:t>C(R1).</w:t>
            </w:r>
          </w:p>
        </w:tc>
        <w:tc>
          <w:tcPr>
            <w:tcW w:w="6660" w:type="dxa"/>
            <w:vAlign w:val="bottom"/>
            <w:gridSpan w:val="2"/>
          </w:tcPr>
          <w:p>
            <w:pPr>
              <w:ind w:left="280"/>
              <w:spacing w:after="0"/>
              <w:rPr>
                <w:sz w:val="20"/>
                <w:szCs w:val="20"/>
                <w:color w:val="auto"/>
              </w:rPr>
            </w:pPr>
            <w:r>
              <w:rPr>
                <w:rFonts w:ascii="Arial" w:cs="Arial" w:eastAsia="Arial" w:hAnsi="Arial"/>
                <w:sz w:val="22"/>
                <w:szCs w:val="22"/>
                <w:color w:val="auto"/>
              </w:rPr>
              <w:t>Defined Terms</w:t>
            </w:r>
          </w:p>
        </w:tc>
        <w:tc>
          <w:tcPr>
            <w:tcW w:w="0" w:type="dxa"/>
            <w:vAlign w:val="bottom"/>
          </w:tcPr>
          <w:p>
            <w:pPr>
              <w:spacing w:after="0"/>
              <w:rPr>
                <w:sz w:val="1"/>
                <w:szCs w:val="1"/>
                <w:color w:val="auto"/>
              </w:rPr>
            </w:pPr>
          </w:p>
        </w:tc>
      </w:tr>
      <w:tr>
        <w:trPr>
          <w:trHeight w:val="773"/>
        </w:trPr>
        <w:tc>
          <w:tcPr>
            <w:tcW w:w="270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94"/>
              </w:rPr>
              <w:t>SUPPLEMENTAL EXHIBITS</w:t>
            </w:r>
          </w:p>
        </w:tc>
        <w:tc>
          <w:tcPr>
            <w:tcW w:w="6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40" w:type="dxa"/>
            <w:vAlign w:val="bottom"/>
          </w:tcPr>
          <w:p>
            <w:pPr>
              <w:spacing w:after="0"/>
              <w:rPr>
                <w:sz w:val="24"/>
                <w:szCs w:val="24"/>
                <w:color w:val="auto"/>
              </w:rPr>
            </w:pPr>
          </w:p>
        </w:tc>
        <w:tc>
          <w:tcPr>
            <w:tcW w:w="1740" w:type="dxa"/>
            <w:vAlign w:val="bottom"/>
            <w:gridSpan w:val="4"/>
          </w:tcPr>
          <w:p>
            <w:pPr>
              <w:jc w:val="center"/>
              <w:ind w:left="154"/>
              <w:spacing w:after="0"/>
              <w:rPr>
                <w:sz w:val="20"/>
                <w:szCs w:val="20"/>
                <w:color w:val="auto"/>
              </w:rPr>
            </w:pPr>
            <w:r>
              <w:rPr>
                <w:rFonts w:ascii="Arial" w:cs="Arial" w:eastAsia="Arial" w:hAnsi="Arial"/>
                <w:sz w:val="22"/>
                <w:szCs w:val="22"/>
                <w:color w:val="auto"/>
                <w:w w:val="92"/>
              </w:rPr>
              <w:t>AE1.</w:t>
            </w:r>
          </w:p>
        </w:tc>
        <w:tc>
          <w:tcPr>
            <w:tcW w:w="6660" w:type="dxa"/>
            <w:vAlign w:val="bottom"/>
            <w:gridSpan w:val="2"/>
          </w:tcPr>
          <w:p>
            <w:pPr>
              <w:ind w:left="14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40" w:type="dxa"/>
            <w:vAlign w:val="bottom"/>
            <w:gridSpan w:val="4"/>
          </w:tcPr>
          <w:p>
            <w:pPr>
              <w:jc w:val="center"/>
              <w:ind w:left="154"/>
              <w:spacing w:after="0"/>
              <w:rPr>
                <w:sz w:val="20"/>
                <w:szCs w:val="20"/>
                <w:color w:val="auto"/>
              </w:rPr>
            </w:pPr>
            <w:r>
              <w:rPr>
                <w:rFonts w:ascii="Arial" w:cs="Arial" w:eastAsia="Arial" w:hAnsi="Arial"/>
                <w:sz w:val="22"/>
                <w:szCs w:val="22"/>
                <w:color w:val="auto"/>
                <w:w w:val="92"/>
              </w:rPr>
              <w:t>BFE1(R1).</w:t>
            </w:r>
          </w:p>
        </w:tc>
        <w:tc>
          <w:tcPr>
            <w:tcW w:w="620" w:type="dxa"/>
            <w:vAlign w:val="bottom"/>
          </w:tcPr>
          <w:p>
            <w:pPr>
              <w:spacing w:after="0"/>
              <w:rPr>
                <w:sz w:val="24"/>
                <w:szCs w:val="24"/>
                <w:color w:val="auto"/>
              </w:rPr>
            </w:pPr>
          </w:p>
        </w:tc>
        <w:tc>
          <w:tcPr>
            <w:tcW w:w="6040" w:type="dxa"/>
            <w:vAlign w:val="bottom"/>
          </w:tcPr>
          <w:p>
            <w:pPr>
              <w:ind w:left="780"/>
              <w:spacing w:after="0"/>
              <w:rPr>
                <w:sz w:val="20"/>
                <w:szCs w:val="20"/>
                <w:color w:val="auto"/>
              </w:rPr>
            </w:pPr>
            <w:r>
              <w:rPr>
                <w:rFonts w:ascii="Arial" w:cs="Arial" w:eastAsia="Arial" w:hAnsi="Arial"/>
                <w:sz w:val="22"/>
                <w:szCs w:val="22"/>
                <w:color w:val="auto"/>
              </w:rPr>
              <w:t>Buyer Furnished Equipment Variables 787-9</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740" w:type="dxa"/>
            <w:vAlign w:val="bottom"/>
            <w:gridSpan w:val="4"/>
          </w:tcPr>
          <w:p>
            <w:pPr>
              <w:jc w:val="center"/>
              <w:ind w:left="154"/>
              <w:spacing w:after="0"/>
              <w:rPr>
                <w:sz w:val="20"/>
                <w:szCs w:val="20"/>
                <w:color w:val="auto"/>
              </w:rPr>
            </w:pPr>
            <w:r>
              <w:rPr>
                <w:rFonts w:ascii="Arial" w:cs="Arial" w:eastAsia="Arial" w:hAnsi="Arial"/>
                <w:sz w:val="22"/>
                <w:szCs w:val="22"/>
                <w:color w:val="auto"/>
                <w:w w:val="91"/>
              </w:rPr>
              <w:t>BFE2.</w:t>
            </w:r>
          </w:p>
        </w:tc>
        <w:tc>
          <w:tcPr>
            <w:tcW w:w="620" w:type="dxa"/>
            <w:vAlign w:val="bottom"/>
          </w:tcPr>
          <w:p>
            <w:pPr>
              <w:spacing w:after="0"/>
              <w:rPr>
                <w:sz w:val="24"/>
                <w:szCs w:val="24"/>
                <w:color w:val="auto"/>
              </w:rPr>
            </w:pPr>
          </w:p>
        </w:tc>
        <w:tc>
          <w:tcPr>
            <w:tcW w:w="6040" w:type="dxa"/>
            <w:vAlign w:val="bottom"/>
          </w:tcPr>
          <w:p>
            <w:pPr>
              <w:ind w:left="780"/>
              <w:spacing w:after="0"/>
              <w:rPr>
                <w:sz w:val="20"/>
                <w:szCs w:val="20"/>
                <w:color w:val="auto"/>
              </w:rPr>
            </w:pPr>
            <w:r>
              <w:rPr>
                <w:rFonts w:ascii="Arial" w:cs="Arial" w:eastAsia="Arial" w:hAnsi="Arial"/>
                <w:sz w:val="22"/>
                <w:szCs w:val="22"/>
                <w:color w:val="auto"/>
              </w:rPr>
              <w:t>Buyer Furnished Equipment Variables 787-8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gridSpan w:val="3"/>
          </w:tcPr>
          <w:p>
            <w:pPr>
              <w:jc w:val="center"/>
              <w:ind w:right="423"/>
              <w:spacing w:after="0"/>
              <w:rPr>
                <w:sz w:val="20"/>
                <w:szCs w:val="20"/>
                <w:color w:val="auto"/>
              </w:rPr>
            </w:pPr>
            <w:r>
              <w:rPr>
                <w:rFonts w:ascii="Arial" w:cs="Arial" w:eastAsia="Arial" w:hAnsi="Arial"/>
                <w:sz w:val="22"/>
                <w:szCs w:val="22"/>
                <w:color w:val="auto"/>
                <w:w w:val="89"/>
              </w:rPr>
              <w:t>CS1.</w:t>
            </w:r>
          </w:p>
        </w:tc>
        <w:tc>
          <w:tcPr>
            <w:tcW w:w="620" w:type="dxa"/>
            <w:vAlign w:val="bottom"/>
          </w:tcPr>
          <w:p>
            <w:pPr>
              <w:spacing w:after="0"/>
              <w:rPr>
                <w:sz w:val="24"/>
                <w:szCs w:val="24"/>
                <w:color w:val="auto"/>
              </w:rPr>
            </w:pPr>
          </w:p>
        </w:tc>
        <w:tc>
          <w:tcPr>
            <w:tcW w:w="6040" w:type="dxa"/>
            <w:vAlign w:val="bottom"/>
          </w:tcPr>
          <w:p>
            <w:pPr>
              <w:ind w:left="780"/>
              <w:spacing w:after="0"/>
              <w:rPr>
                <w:sz w:val="20"/>
                <w:szCs w:val="20"/>
                <w:color w:val="auto"/>
              </w:rPr>
            </w:pPr>
            <w:r>
              <w:rPr>
                <w:rFonts w:ascii="Arial" w:cs="Arial" w:eastAsia="Arial" w:hAnsi="Arial"/>
                <w:sz w:val="22"/>
                <w:szCs w:val="22"/>
                <w:color w:val="auto"/>
              </w:rPr>
              <w:t>787 Customer Support Document</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gridSpan w:val="3"/>
          </w:tcPr>
          <w:p>
            <w:pPr>
              <w:jc w:val="center"/>
              <w:ind w:right="423"/>
              <w:spacing w:after="0"/>
              <w:rPr>
                <w:sz w:val="20"/>
                <w:szCs w:val="20"/>
                <w:color w:val="auto"/>
              </w:rPr>
            </w:pPr>
            <w:r>
              <w:rPr>
                <w:rFonts w:ascii="Arial" w:cs="Arial" w:eastAsia="Arial" w:hAnsi="Arial"/>
                <w:sz w:val="22"/>
                <w:szCs w:val="22"/>
                <w:color w:val="auto"/>
                <w:w w:val="92"/>
              </w:rPr>
              <w:t>EE1.</w:t>
            </w:r>
          </w:p>
        </w:tc>
        <w:tc>
          <w:tcPr>
            <w:tcW w:w="6660" w:type="dxa"/>
            <w:vAlign w:val="bottom"/>
            <w:gridSpan w:val="2"/>
          </w:tcPr>
          <w:p>
            <w:pPr>
              <w:ind w:left="14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22"/>
                <w:szCs w:val="22"/>
                <w:color w:val="auto"/>
                <w:strike w:val="1"/>
                <w:w w:val="86"/>
              </w:rPr>
              <w:t>EE1</w:t>
            </w:r>
          </w:p>
        </w:tc>
        <w:tc>
          <w:tcPr>
            <w:tcW w:w="580" w:type="dxa"/>
            <w:vAlign w:val="bottom"/>
          </w:tcPr>
          <w:p>
            <w:pPr>
              <w:jc w:val="right"/>
              <w:ind w:right="423"/>
              <w:spacing w:after="0"/>
              <w:rPr>
                <w:sz w:val="20"/>
                <w:szCs w:val="20"/>
                <w:color w:val="auto"/>
              </w:rPr>
            </w:pPr>
            <w:r>
              <w:rPr>
                <w:rFonts w:ascii="Arial" w:cs="Arial" w:eastAsia="Arial" w:hAnsi="Arial"/>
                <w:sz w:val="19"/>
                <w:szCs w:val="19"/>
                <w:color w:val="auto"/>
                <w:w w:val="74"/>
              </w:rPr>
              <w:t>.</w:t>
            </w:r>
          </w:p>
        </w:tc>
        <w:tc>
          <w:tcPr>
            <w:tcW w:w="620" w:type="dxa"/>
            <w:vAlign w:val="bottom"/>
          </w:tcPr>
          <w:p>
            <w:pPr>
              <w:spacing w:after="0"/>
              <w:rPr>
                <w:sz w:val="24"/>
                <w:szCs w:val="24"/>
                <w:color w:val="auto"/>
              </w:rPr>
            </w:pPr>
          </w:p>
        </w:tc>
        <w:tc>
          <w:tcPr>
            <w:tcW w:w="6040" w:type="dxa"/>
            <w:vAlign w:val="bottom"/>
          </w:tcPr>
          <w:p>
            <w:pPr>
              <w:ind w:left="780"/>
              <w:spacing w:after="0"/>
              <w:rPr>
                <w:sz w:val="20"/>
                <w:szCs w:val="20"/>
                <w:color w:val="auto"/>
              </w:rPr>
            </w:pPr>
            <w:r>
              <w:rPr>
                <w:rFonts w:ascii="Arial" w:cs="Arial" w:eastAsia="Arial" w:hAnsi="Arial"/>
                <w:sz w:val="22"/>
                <w:szCs w:val="22"/>
                <w:color w:val="auto"/>
              </w:rPr>
              <w:t>[****] WITHDRAWN</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gridSpan w:val="3"/>
          </w:tcPr>
          <w:p>
            <w:pPr>
              <w:jc w:val="center"/>
              <w:ind w:right="423"/>
              <w:spacing w:after="0"/>
              <w:rPr>
                <w:sz w:val="20"/>
                <w:szCs w:val="20"/>
                <w:color w:val="auto"/>
              </w:rPr>
            </w:pPr>
            <w:r>
              <w:rPr>
                <w:rFonts w:ascii="Arial" w:cs="Arial" w:eastAsia="Arial" w:hAnsi="Arial"/>
                <w:sz w:val="22"/>
                <w:szCs w:val="22"/>
                <w:color w:val="auto"/>
                <w:w w:val="92"/>
              </w:rPr>
              <w:t>EE2.</w:t>
            </w:r>
          </w:p>
        </w:tc>
        <w:tc>
          <w:tcPr>
            <w:tcW w:w="6660" w:type="dxa"/>
            <w:vAlign w:val="bottom"/>
            <w:gridSpan w:val="2"/>
          </w:tcPr>
          <w:p>
            <w:pPr>
              <w:ind w:left="14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-356870</wp:posOffset>
            </wp:positionV>
            <wp:extent cx="342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Table of Contents</w:t>
      </w:r>
      <w:r>
        <w:rPr>
          <w:sz w:val="20"/>
          <w:szCs w:val="20"/>
          <w:color w:val="auto"/>
        </w:rPr>
        <w:tab/>
      </w:r>
      <w:r>
        <w:rPr>
          <w:rFonts w:ascii="Arial" w:cs="Arial" w:eastAsia="Arial" w:hAnsi="Arial"/>
          <w:sz w:val="18"/>
          <w:szCs w:val="18"/>
          <w:color w:val="auto"/>
        </w:rPr>
        <w:t>Page 1</w:t>
      </w:r>
    </w:p>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Arial" w:cs="Arial" w:eastAsia="Arial" w:hAnsi="Arial"/>
          <w:sz w:val="22"/>
          <w:szCs w:val="22"/>
          <w:color w:val="auto"/>
        </w:rPr>
        <w:t>SA-5</w:t>
      </w:r>
    </w:p>
    <w:p>
      <w:pPr>
        <w:spacing w:after="0" w:line="200" w:lineRule="exact"/>
        <w:rPr>
          <w:sz w:val="20"/>
          <w:szCs w:val="20"/>
          <w:color w:val="auto"/>
        </w:rPr>
      </w:pPr>
    </w:p>
    <w:p>
      <w:pPr>
        <w:spacing w:after="0" w:line="236"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SA-5</w:t>
      </w:r>
    </w:p>
    <w:p>
      <w:pPr>
        <w:spacing w:after="0" w:line="200" w:lineRule="exact"/>
        <w:rPr>
          <w:sz w:val="20"/>
          <w:szCs w:val="20"/>
          <w:color w:val="auto"/>
        </w:rPr>
      </w:pPr>
    </w:p>
    <w:p>
      <w:pPr>
        <w:spacing w:after="0" w:line="236"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SA-6</w:t>
      </w:r>
    </w:p>
    <w:p>
      <w:pPr>
        <w:spacing w:after="0" w:line="200" w:lineRule="exact"/>
        <w:rPr>
          <w:sz w:val="20"/>
          <w:szCs w:val="20"/>
          <w:color w:val="auto"/>
        </w:rPr>
      </w:pPr>
    </w:p>
    <w:p>
      <w:pPr>
        <w:spacing w:after="0" w:line="270"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auto"/>
        </w:rPr>
        <w:t>SA-20</w:t>
      </w:r>
    </w:p>
    <w:p>
      <w:pPr>
        <w:spacing w:after="0" w:line="45"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SA-18</w:t>
      </w:r>
    </w:p>
    <w:p>
      <w:pPr>
        <w:ind w:left="1060"/>
        <w:spacing w:after="0"/>
        <w:rPr>
          <w:sz w:val="20"/>
          <w:szCs w:val="20"/>
          <w:color w:val="auto"/>
        </w:rPr>
      </w:pPr>
      <w:r>
        <w:rPr>
          <w:rFonts w:ascii="Arial" w:cs="Arial" w:eastAsia="Arial" w:hAnsi="Arial"/>
          <w:sz w:val="22"/>
          <w:szCs w:val="22"/>
          <w:color w:val="auto"/>
        </w:rPr>
        <w:t>SA-19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SA-11</w:t>
      </w:r>
    </w:p>
    <w:p>
      <w:pPr>
        <w:spacing w:after="0" w:line="103"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SA-12</w:t>
      </w:r>
    </w:p>
    <w:p>
      <w:pPr>
        <w:spacing w:after="0" w:line="112"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SA-3</w:t>
      </w:r>
    </w:p>
    <w:p>
      <w:pPr>
        <w:spacing w:after="0" w:line="8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SA-3</w:t>
      </w:r>
    </w:p>
    <w:p>
      <w:pPr>
        <w:spacing w:after="0" w:line="179"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SA-2</w:t>
      </w:r>
    </w:p>
    <w:p>
      <w:pPr>
        <w:spacing w:after="0" w:line="179"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19"/>
          <w:szCs w:val="19"/>
          <w:color w:val="auto"/>
        </w:rPr>
        <w:t>SA-20</w:t>
      </w:r>
    </w:p>
    <w:p>
      <w:pPr>
        <w:sectPr>
          <w:pgSz w:w="11900" w:h="16838" w:orient="portrait"/>
          <w:cols w:equalWidth="0" w:num="2">
            <w:col w:w="9080" w:space="160"/>
            <w:col w:w="2000"/>
          </w:cols>
          <w:pgMar w:left="320" w:top="1239" w:right="339" w:bottom="211"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9"/>
          <w:szCs w:val="19"/>
          <w:color w:val="auto"/>
        </w:rPr>
        <w:t>TABLE OF CONTENTS, continued</w:t>
      </w:r>
    </w:p>
    <w:p>
      <w:pPr>
        <w:sectPr>
          <w:pgSz w:w="11900" w:h="16838" w:orient="portrait"/>
          <w:cols w:equalWidth="0" w:num="1">
            <w:col w:w="11240"/>
          </w:cols>
          <w:pgMar w:left="320" w:top="321" w:right="339" w:bottom="9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20"/>
        <w:spacing w:after="0"/>
        <w:tabs>
          <w:tab w:leader="none" w:pos="3800" w:val="left"/>
        </w:tabs>
        <w:rPr>
          <w:sz w:val="20"/>
          <w:szCs w:val="20"/>
          <w:color w:val="auto"/>
        </w:rPr>
      </w:pPr>
      <w:r>
        <w:rPr>
          <w:rFonts w:ascii="Arial" w:cs="Arial" w:eastAsia="Arial" w:hAnsi="Arial"/>
          <w:sz w:val="22"/>
          <w:szCs w:val="22"/>
          <w:color w:val="auto"/>
        </w:rPr>
        <w:t>SLP1.</w:t>
      </w:r>
      <w:r>
        <w:rPr>
          <w:sz w:val="20"/>
          <w:szCs w:val="20"/>
          <w:color w:val="auto"/>
        </w:rPr>
        <w:tab/>
      </w:r>
      <w:r>
        <w:rPr>
          <w:rFonts w:ascii="Arial" w:cs="Arial" w:eastAsia="Arial" w:hAnsi="Arial"/>
          <w:sz w:val="22"/>
          <w:szCs w:val="22"/>
          <w:color w:val="auto"/>
        </w:rPr>
        <w:t>Service Life Policy Components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3600" w:type="dxa"/>
            <w:vAlign w:val="bottom"/>
            <w:gridSpan w:val="2"/>
          </w:tcPr>
          <w:p>
            <w:pPr>
              <w:spacing w:after="0"/>
              <w:rPr>
                <w:sz w:val="20"/>
                <w:szCs w:val="20"/>
                <w:color w:val="auto"/>
              </w:rPr>
            </w:pPr>
            <w:r>
              <w:rPr>
                <w:rFonts w:ascii="Arial" w:cs="Arial" w:eastAsia="Arial" w:hAnsi="Arial"/>
                <w:sz w:val="22"/>
                <w:szCs w:val="22"/>
                <w:color w:val="auto"/>
              </w:rPr>
              <w:t>LETTER AGREEMENTS</w:t>
            </w: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3"/>
        </w:trPr>
        <w:tc>
          <w:tcPr>
            <w:tcW w:w="23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3219-01</w:t>
            </w:r>
          </w:p>
        </w:tc>
        <w:tc>
          <w:tcPr>
            <w:tcW w:w="130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300" w:type="dxa"/>
            <w:vAlign w:val="bottom"/>
          </w:tcPr>
          <w:p>
            <w:pPr>
              <w:spacing w:after="0"/>
              <w:rPr>
                <w:sz w:val="20"/>
                <w:szCs w:val="20"/>
                <w:color w:val="auto"/>
              </w:rPr>
            </w:pPr>
            <w:r>
              <w:rPr>
                <w:rFonts w:ascii="Arial" w:cs="Arial" w:eastAsia="Arial" w:hAnsi="Arial"/>
                <w:sz w:val="22"/>
                <w:szCs w:val="22"/>
                <w:color w:val="auto"/>
              </w:rPr>
              <w:t>3219-02</w:t>
            </w:r>
          </w:p>
        </w:tc>
        <w:tc>
          <w:tcPr>
            <w:tcW w:w="1300" w:type="dxa"/>
            <w:vAlign w:val="bottom"/>
          </w:tcPr>
          <w:p>
            <w:pPr>
              <w:spacing w:after="0"/>
              <w:rPr>
                <w:sz w:val="24"/>
                <w:szCs w:val="24"/>
                <w:color w:val="auto"/>
              </w:rPr>
            </w:pPr>
          </w:p>
        </w:tc>
        <w:tc>
          <w:tcPr>
            <w:tcW w:w="5220" w:type="dxa"/>
            <w:vAlign w:val="bottom"/>
            <w:gridSpan w:val="6"/>
          </w:tcPr>
          <w:p>
            <w:pPr>
              <w:ind w:left="80"/>
              <w:spacing w:after="0"/>
              <w:rPr>
                <w:sz w:val="20"/>
                <w:szCs w:val="20"/>
                <w:color w:val="auto"/>
              </w:rPr>
            </w:pPr>
            <w:r>
              <w:rPr>
                <w:rFonts w:ascii="Arial" w:cs="Arial" w:eastAsia="Arial" w:hAnsi="Arial"/>
                <w:sz w:val="22"/>
                <w:szCs w:val="22"/>
                <w:color w:val="auto"/>
              </w:rPr>
              <w:t>Special Terms – Seats and In-Flight Entertainment</w:t>
            </w:r>
          </w:p>
        </w:tc>
        <w:tc>
          <w:tcPr>
            <w:tcW w:w="0" w:type="dxa"/>
            <w:vAlign w:val="bottom"/>
          </w:tcPr>
          <w:p>
            <w:pPr>
              <w:spacing w:after="0"/>
              <w:rPr>
                <w:sz w:val="1"/>
                <w:szCs w:val="1"/>
                <w:color w:val="auto"/>
              </w:rPr>
            </w:pPr>
          </w:p>
        </w:tc>
      </w:tr>
      <w:tr>
        <w:trPr>
          <w:trHeight w:val="473"/>
        </w:trPr>
        <w:tc>
          <w:tcPr>
            <w:tcW w:w="2300" w:type="dxa"/>
            <w:vAlign w:val="bottom"/>
          </w:tcPr>
          <w:p>
            <w:pPr>
              <w:spacing w:after="0"/>
              <w:rPr>
                <w:sz w:val="20"/>
                <w:szCs w:val="20"/>
                <w:color w:val="auto"/>
              </w:rPr>
            </w:pPr>
            <w:r>
              <w:rPr>
                <w:rFonts w:ascii="Arial" w:cs="Arial" w:eastAsia="Arial" w:hAnsi="Arial"/>
                <w:sz w:val="22"/>
                <w:szCs w:val="22"/>
                <w:color w:val="auto"/>
              </w:rPr>
              <w:t>3219-04</w:t>
            </w:r>
          </w:p>
        </w:tc>
        <w:tc>
          <w:tcPr>
            <w:tcW w:w="130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600" w:type="dxa"/>
            <w:vAlign w:val="bottom"/>
            <w:gridSpan w:val="2"/>
          </w:tcPr>
          <w:p>
            <w:pPr>
              <w:spacing w:after="0"/>
              <w:rPr>
                <w:sz w:val="20"/>
                <w:szCs w:val="20"/>
                <w:color w:val="auto"/>
              </w:rPr>
            </w:pPr>
            <w:r>
              <w:rPr>
                <w:rFonts w:ascii="Arial" w:cs="Arial" w:eastAsia="Arial" w:hAnsi="Arial"/>
                <w:sz w:val="22"/>
                <w:szCs w:val="22"/>
                <w:color w:val="auto"/>
              </w:rPr>
              <w:t>3219-05R1</w:t>
            </w:r>
          </w:p>
        </w:tc>
        <w:tc>
          <w:tcPr>
            <w:tcW w:w="5220" w:type="dxa"/>
            <w:vAlign w:val="bottom"/>
            <w:gridSpan w:val="6"/>
          </w:tcPr>
          <w:p>
            <w:pPr>
              <w:ind w:left="80"/>
              <w:spacing w:after="0"/>
              <w:rPr>
                <w:sz w:val="20"/>
                <w:szCs w:val="20"/>
                <w:color w:val="auto"/>
              </w:rPr>
            </w:pPr>
            <w:r>
              <w:rPr>
                <w:rFonts w:ascii="Arial" w:cs="Arial" w:eastAsia="Arial" w:hAnsi="Arial"/>
                <w:sz w:val="22"/>
                <w:szCs w:val="22"/>
                <w:color w:val="auto"/>
              </w:rPr>
              <w:t>Spare Parts Commitments</w:t>
            </w:r>
          </w:p>
        </w:tc>
        <w:tc>
          <w:tcPr>
            <w:tcW w:w="0" w:type="dxa"/>
            <w:vAlign w:val="bottom"/>
          </w:tcPr>
          <w:p>
            <w:pPr>
              <w:spacing w:after="0"/>
              <w:rPr>
                <w:sz w:val="1"/>
                <w:szCs w:val="1"/>
                <w:color w:val="auto"/>
              </w:rPr>
            </w:pPr>
          </w:p>
        </w:tc>
      </w:tr>
      <w:tr>
        <w:trPr>
          <w:trHeight w:val="473"/>
        </w:trPr>
        <w:tc>
          <w:tcPr>
            <w:tcW w:w="3600" w:type="dxa"/>
            <w:vAlign w:val="bottom"/>
            <w:gridSpan w:val="2"/>
          </w:tcPr>
          <w:p>
            <w:pPr>
              <w:spacing w:after="0"/>
              <w:rPr>
                <w:sz w:val="20"/>
                <w:szCs w:val="20"/>
                <w:color w:val="auto"/>
              </w:rPr>
            </w:pPr>
            <w:r>
              <w:rPr>
                <w:rFonts w:ascii="Arial" w:cs="Arial" w:eastAsia="Arial" w:hAnsi="Arial"/>
                <w:sz w:val="22"/>
                <w:szCs w:val="22"/>
                <w:color w:val="auto"/>
              </w:rPr>
              <w:t>3219-06R1</w:t>
            </w:r>
          </w:p>
        </w:tc>
        <w:tc>
          <w:tcPr>
            <w:tcW w:w="5220" w:type="dxa"/>
            <w:vAlign w:val="bottom"/>
            <w:gridSpan w:val="6"/>
          </w:tcPr>
          <w:p>
            <w:pPr>
              <w:ind w:left="80"/>
              <w:spacing w:after="0"/>
              <w:rPr>
                <w:sz w:val="20"/>
                <w:szCs w:val="20"/>
                <w:color w:val="auto"/>
              </w:rPr>
            </w:pPr>
            <w:r>
              <w:rPr>
                <w:rFonts w:ascii="Arial" w:cs="Arial" w:eastAsia="Arial" w:hAnsi="Arial"/>
                <w:sz w:val="22"/>
                <w:szCs w:val="22"/>
                <w:color w:val="auto"/>
              </w:rPr>
              <w:t>Spare Parts Initial Provisioning</w:t>
            </w:r>
          </w:p>
        </w:tc>
        <w:tc>
          <w:tcPr>
            <w:tcW w:w="0" w:type="dxa"/>
            <w:vAlign w:val="bottom"/>
          </w:tcPr>
          <w:p>
            <w:pPr>
              <w:spacing w:after="0"/>
              <w:rPr>
                <w:sz w:val="1"/>
                <w:szCs w:val="1"/>
                <w:color w:val="auto"/>
              </w:rPr>
            </w:pPr>
          </w:p>
        </w:tc>
      </w:tr>
      <w:tr>
        <w:trPr>
          <w:trHeight w:val="473"/>
        </w:trPr>
        <w:tc>
          <w:tcPr>
            <w:tcW w:w="2300" w:type="dxa"/>
            <w:vAlign w:val="bottom"/>
          </w:tcPr>
          <w:p>
            <w:pPr>
              <w:spacing w:after="0"/>
              <w:rPr>
                <w:sz w:val="20"/>
                <w:szCs w:val="20"/>
                <w:color w:val="auto"/>
              </w:rPr>
            </w:pPr>
            <w:r>
              <w:rPr>
                <w:rFonts w:ascii="Arial" w:cs="Arial" w:eastAsia="Arial" w:hAnsi="Arial"/>
                <w:sz w:val="22"/>
                <w:szCs w:val="22"/>
                <w:color w:val="auto"/>
                <w:strike w:val="1"/>
              </w:rPr>
              <w:t>3219-08R2</w:t>
            </w:r>
          </w:p>
        </w:tc>
        <w:tc>
          <w:tcPr>
            <w:tcW w:w="1300" w:type="dxa"/>
            <w:vAlign w:val="bottom"/>
          </w:tcPr>
          <w:p>
            <w:pPr>
              <w:spacing w:after="0"/>
              <w:rPr>
                <w:sz w:val="24"/>
                <w:szCs w:val="24"/>
                <w:color w:val="auto"/>
              </w:rPr>
            </w:pPr>
          </w:p>
        </w:tc>
        <w:tc>
          <w:tcPr>
            <w:tcW w:w="2520" w:type="dxa"/>
            <w:vAlign w:val="bottom"/>
            <w:gridSpan w:val="3"/>
          </w:tcPr>
          <w:p>
            <w:pPr>
              <w:ind w:left="80"/>
              <w:spacing w:after="0"/>
              <w:rPr>
                <w:sz w:val="20"/>
                <w:szCs w:val="20"/>
                <w:color w:val="auto"/>
              </w:rPr>
            </w:pPr>
            <w:r>
              <w:rPr>
                <w:rFonts w:ascii="Arial" w:cs="Arial" w:eastAsia="Arial" w:hAnsi="Arial"/>
                <w:sz w:val="22"/>
                <w:szCs w:val="22"/>
                <w:color w:val="auto"/>
                <w:strike w:val="1"/>
                <w:w w:val="89"/>
              </w:rPr>
              <w:t>Open Configuration Matters</w:t>
            </w:r>
          </w:p>
        </w:tc>
        <w:tc>
          <w:tcPr>
            <w:tcW w:w="2700" w:type="dxa"/>
            <w:vAlign w:val="bottom"/>
            <w:gridSpan w:val="3"/>
          </w:tcPr>
          <w:p>
            <w:pPr>
              <w:ind w:left="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20"/>
        </w:trPr>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Arial" w:cs="Arial" w:eastAsia="Arial" w:hAnsi="Arial"/>
                <w:sz w:val="22"/>
                <w:szCs w:val="22"/>
                <w:color w:val="auto"/>
                <w:strike w:val="1"/>
              </w:rPr>
              <w:t>6-1162-AKP-071R1</w:t>
            </w:r>
          </w:p>
        </w:tc>
        <w:tc>
          <w:tcPr>
            <w:tcW w:w="1300" w:type="dxa"/>
            <w:vAlign w:val="bottom"/>
          </w:tcPr>
          <w:p>
            <w:pPr>
              <w:spacing w:after="0"/>
              <w:rPr>
                <w:sz w:val="23"/>
                <w:szCs w:val="23"/>
                <w:color w:val="auto"/>
              </w:rPr>
            </w:pPr>
          </w:p>
        </w:tc>
        <w:tc>
          <w:tcPr>
            <w:tcW w:w="5220" w:type="dxa"/>
            <w:vAlign w:val="bottom"/>
            <w:gridSpan w:val="6"/>
          </w:tcPr>
          <w:p>
            <w:pPr>
              <w:ind w:left="400"/>
              <w:spacing w:after="0"/>
              <w:rPr>
                <w:sz w:val="20"/>
                <w:szCs w:val="20"/>
                <w:color w:val="auto"/>
              </w:rPr>
            </w:pPr>
            <w:r>
              <w:rPr>
                <w:rFonts w:ascii="Arial" w:cs="Arial" w:eastAsia="Arial" w:hAnsi="Arial"/>
                <w:sz w:val="22"/>
                <w:szCs w:val="22"/>
                <w:color w:val="auto"/>
              </w:rPr>
              <w:t>Terminated per AAL-PA-1977-LA-1105595</w:t>
            </w:r>
          </w:p>
        </w:tc>
        <w:tc>
          <w:tcPr>
            <w:tcW w:w="0" w:type="dxa"/>
            <w:vAlign w:val="bottom"/>
          </w:tcPr>
          <w:p>
            <w:pPr>
              <w:spacing w:after="0"/>
              <w:rPr>
                <w:sz w:val="1"/>
                <w:szCs w:val="1"/>
                <w:color w:val="auto"/>
              </w:rPr>
            </w:pPr>
          </w:p>
        </w:tc>
      </w:tr>
      <w:tr>
        <w:trPr>
          <w:trHeight w:val="320"/>
        </w:trPr>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Arial" w:cs="Arial" w:eastAsia="Arial" w:hAnsi="Arial"/>
                <w:sz w:val="22"/>
                <w:szCs w:val="22"/>
                <w:color w:val="auto"/>
                <w:strike w:val="1"/>
              </w:rPr>
              <w:t>6-1162-AKP-072R2</w:t>
            </w:r>
          </w:p>
        </w:tc>
        <w:tc>
          <w:tcPr>
            <w:tcW w:w="1300" w:type="dxa"/>
            <w:vAlign w:val="bottom"/>
          </w:tcPr>
          <w:p>
            <w:pPr>
              <w:spacing w:after="0"/>
              <w:rPr>
                <w:sz w:val="23"/>
                <w:szCs w:val="23"/>
                <w:color w:val="auto"/>
              </w:rPr>
            </w:pPr>
          </w:p>
        </w:tc>
        <w:tc>
          <w:tcPr>
            <w:tcW w:w="5220" w:type="dxa"/>
            <w:vAlign w:val="bottom"/>
            <w:gridSpan w:val="6"/>
          </w:tcPr>
          <w:p>
            <w:pPr>
              <w:ind w:left="400"/>
              <w:spacing w:after="0"/>
              <w:rPr>
                <w:sz w:val="20"/>
                <w:szCs w:val="20"/>
                <w:color w:val="auto"/>
              </w:rPr>
            </w:pPr>
            <w:r>
              <w:rPr>
                <w:rFonts w:ascii="Arial" w:cs="Arial" w:eastAsia="Arial" w:hAnsi="Arial"/>
                <w:sz w:val="22"/>
                <w:szCs w:val="22"/>
                <w:color w:val="auto"/>
              </w:rPr>
              <w:t>Terminated per AAL-PA-1977-LA-1105595</w:t>
            </w:r>
          </w:p>
        </w:tc>
        <w:tc>
          <w:tcPr>
            <w:tcW w:w="0" w:type="dxa"/>
            <w:vAlign w:val="bottom"/>
          </w:tcPr>
          <w:p>
            <w:pPr>
              <w:spacing w:after="0"/>
              <w:rPr>
                <w:sz w:val="1"/>
                <w:szCs w:val="1"/>
                <w:color w:val="auto"/>
              </w:rPr>
            </w:pPr>
          </w:p>
        </w:tc>
      </w:tr>
      <w:tr>
        <w:trPr>
          <w:trHeight w:val="378"/>
        </w:trPr>
        <w:tc>
          <w:tcPr>
            <w:tcW w:w="3600" w:type="dxa"/>
            <w:vAlign w:val="bottom"/>
            <w:gridSpan w:val="2"/>
            <w:vMerge w:val="restart"/>
          </w:tcPr>
          <w:p>
            <w:pPr>
              <w:spacing w:after="0"/>
              <w:rPr>
                <w:sz w:val="20"/>
                <w:szCs w:val="20"/>
                <w:color w:val="auto"/>
              </w:rPr>
            </w:pPr>
            <w:r>
              <w:rPr>
                <w:rFonts w:ascii="Arial" w:cs="Arial" w:eastAsia="Arial" w:hAnsi="Arial"/>
                <w:sz w:val="22"/>
                <w:szCs w:val="22"/>
                <w:color w:val="auto"/>
              </w:rPr>
              <w:t>6-1162-AKP-073R1</w:t>
            </w:r>
          </w:p>
        </w:tc>
        <w:tc>
          <w:tcPr>
            <w:tcW w:w="5220" w:type="dxa"/>
            <w:vAlign w:val="bottom"/>
            <w:gridSpan w:val="6"/>
          </w:tcPr>
          <w:p>
            <w:pPr>
              <w:ind w:left="80"/>
              <w:spacing w:after="0"/>
              <w:rPr>
                <w:sz w:val="20"/>
                <w:szCs w:val="20"/>
                <w:color w:val="auto"/>
              </w:rPr>
            </w:pPr>
            <w:r>
              <w:rPr>
                <w:rFonts w:ascii="Arial" w:cs="Arial" w:eastAsia="Arial" w:hAnsi="Arial"/>
                <w:sz w:val="22"/>
                <w:szCs w:val="22"/>
                <w:color w:val="auto"/>
              </w:rPr>
              <w:t>Accident Claims and Litigation</w:t>
            </w:r>
          </w:p>
        </w:tc>
        <w:tc>
          <w:tcPr>
            <w:tcW w:w="0" w:type="dxa"/>
            <w:vAlign w:val="bottom"/>
          </w:tcPr>
          <w:p>
            <w:pPr>
              <w:spacing w:after="0"/>
              <w:rPr>
                <w:sz w:val="1"/>
                <w:szCs w:val="1"/>
                <w:color w:val="auto"/>
              </w:rPr>
            </w:pPr>
          </w:p>
        </w:tc>
      </w:tr>
      <w:tr>
        <w:trPr>
          <w:trHeight w:val="108"/>
        </w:trPr>
        <w:tc>
          <w:tcPr>
            <w:tcW w:w="360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4"/>
        </w:trPr>
        <w:tc>
          <w:tcPr>
            <w:tcW w:w="2300" w:type="dxa"/>
            <w:vAlign w:val="bottom"/>
          </w:tcPr>
          <w:p>
            <w:pPr>
              <w:spacing w:after="0"/>
              <w:rPr>
                <w:sz w:val="20"/>
                <w:szCs w:val="20"/>
                <w:color w:val="auto"/>
              </w:rPr>
            </w:pPr>
            <w:r>
              <w:rPr>
                <w:rFonts w:ascii="Arial" w:cs="Arial" w:eastAsia="Arial" w:hAnsi="Arial"/>
                <w:sz w:val="22"/>
                <w:szCs w:val="22"/>
                <w:color w:val="auto"/>
                <w:strike w:val="1"/>
              </w:rPr>
              <w:t>6-1162-CLO-1031R1</w:t>
            </w:r>
          </w:p>
        </w:tc>
        <w:tc>
          <w:tcPr>
            <w:tcW w:w="1300" w:type="dxa"/>
            <w:vAlign w:val="bottom"/>
          </w:tcPr>
          <w:p>
            <w:pPr>
              <w:spacing w:after="0"/>
              <w:rPr>
                <w:sz w:val="24"/>
                <w:szCs w:val="24"/>
                <w:color w:val="auto"/>
              </w:rPr>
            </w:pPr>
          </w:p>
        </w:tc>
        <w:tc>
          <w:tcPr>
            <w:tcW w:w="5220" w:type="dxa"/>
            <w:vAlign w:val="bottom"/>
            <w:gridSpan w:val="6"/>
          </w:tcPr>
          <w:p>
            <w:pPr>
              <w:ind w:left="8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20"/>
        </w:trPr>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Arial" w:cs="Arial" w:eastAsia="Arial" w:hAnsi="Arial"/>
                <w:sz w:val="22"/>
                <w:szCs w:val="22"/>
                <w:color w:val="auto"/>
                <w:strike w:val="1"/>
              </w:rPr>
              <w:t>6-1162-CLO-1032R1</w:t>
            </w:r>
          </w:p>
        </w:tc>
        <w:tc>
          <w:tcPr>
            <w:tcW w:w="1300" w:type="dxa"/>
            <w:vAlign w:val="bottom"/>
          </w:tcPr>
          <w:p>
            <w:pPr>
              <w:spacing w:after="0"/>
              <w:rPr>
                <w:sz w:val="23"/>
                <w:szCs w:val="23"/>
                <w:color w:val="auto"/>
              </w:rPr>
            </w:pPr>
          </w:p>
        </w:tc>
        <w:tc>
          <w:tcPr>
            <w:tcW w:w="5220" w:type="dxa"/>
            <w:vAlign w:val="bottom"/>
            <w:gridSpan w:val="6"/>
          </w:tcPr>
          <w:p>
            <w:pPr>
              <w:ind w:left="400"/>
              <w:spacing w:after="0"/>
              <w:rPr>
                <w:sz w:val="20"/>
                <w:szCs w:val="20"/>
                <w:color w:val="auto"/>
              </w:rPr>
            </w:pPr>
            <w:r>
              <w:rPr>
                <w:rFonts w:ascii="Arial" w:cs="Arial" w:eastAsia="Arial" w:hAnsi="Arial"/>
                <w:sz w:val="22"/>
                <w:szCs w:val="22"/>
                <w:color w:val="auto"/>
              </w:rPr>
              <w:t>Terminated</w:t>
            </w:r>
          </w:p>
        </w:tc>
        <w:tc>
          <w:tcPr>
            <w:tcW w:w="0" w:type="dxa"/>
            <w:vAlign w:val="bottom"/>
          </w:tcPr>
          <w:p>
            <w:pPr>
              <w:spacing w:after="0"/>
              <w:rPr>
                <w:sz w:val="1"/>
                <w:szCs w:val="1"/>
                <w:color w:val="auto"/>
              </w:rPr>
            </w:pPr>
          </w:p>
        </w:tc>
      </w:tr>
      <w:tr>
        <w:trPr>
          <w:trHeight w:val="378"/>
        </w:trPr>
        <w:tc>
          <w:tcPr>
            <w:tcW w:w="3600" w:type="dxa"/>
            <w:vAlign w:val="bottom"/>
            <w:gridSpan w:val="2"/>
          </w:tcPr>
          <w:p>
            <w:pPr>
              <w:spacing w:after="0"/>
              <w:rPr>
                <w:sz w:val="20"/>
                <w:szCs w:val="20"/>
                <w:color w:val="auto"/>
              </w:rPr>
            </w:pPr>
            <w:r>
              <w:rPr>
                <w:rFonts w:ascii="Arial" w:cs="Arial" w:eastAsia="Arial" w:hAnsi="Arial"/>
                <w:sz w:val="22"/>
                <w:szCs w:val="22"/>
                <w:color w:val="auto"/>
              </w:rPr>
              <w:t>6-1162-CLO-1039</w:t>
            </w:r>
          </w:p>
        </w:tc>
        <w:tc>
          <w:tcPr>
            <w:tcW w:w="1220" w:type="dxa"/>
            <w:vAlign w:val="bottom"/>
          </w:tcPr>
          <w:p>
            <w:pPr>
              <w:ind w:left="8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00" w:type="dxa"/>
            <w:vAlign w:val="bottom"/>
            <w:gridSpan w:val="2"/>
          </w:tcPr>
          <w:p>
            <w:pPr>
              <w:spacing w:after="0"/>
              <w:rPr>
                <w:sz w:val="20"/>
                <w:szCs w:val="20"/>
                <w:color w:val="auto"/>
              </w:rPr>
            </w:pPr>
            <w:r>
              <w:rPr>
                <w:rFonts w:ascii="Arial" w:cs="Arial" w:eastAsia="Arial" w:hAnsi="Arial"/>
                <w:sz w:val="22"/>
                <w:szCs w:val="22"/>
                <w:color w:val="auto"/>
              </w:rPr>
              <w:t>6-1162-CLO-1042</w:t>
            </w:r>
          </w:p>
        </w:tc>
        <w:tc>
          <w:tcPr>
            <w:tcW w:w="1220" w:type="dxa"/>
            <w:vAlign w:val="bottom"/>
          </w:tcPr>
          <w:p>
            <w:pPr>
              <w:ind w:left="8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00" w:type="dxa"/>
            <w:vAlign w:val="bottom"/>
            <w:gridSpan w:val="2"/>
          </w:tcPr>
          <w:p>
            <w:pPr>
              <w:spacing w:after="0"/>
              <w:rPr>
                <w:sz w:val="20"/>
                <w:szCs w:val="20"/>
                <w:color w:val="auto"/>
              </w:rPr>
            </w:pPr>
            <w:r>
              <w:rPr>
                <w:rFonts w:ascii="Arial" w:cs="Arial" w:eastAsia="Arial" w:hAnsi="Arial"/>
                <w:sz w:val="22"/>
                <w:szCs w:val="22"/>
                <w:color w:val="auto"/>
              </w:rPr>
              <w:t>6-1162-CLO-1043R1</w:t>
            </w:r>
          </w:p>
        </w:tc>
        <w:tc>
          <w:tcPr>
            <w:tcW w:w="5220" w:type="dxa"/>
            <w:vAlign w:val="bottom"/>
            <w:gridSpan w:val="6"/>
          </w:tcPr>
          <w:p>
            <w:pPr>
              <w:ind w:left="80"/>
              <w:spacing w:after="0"/>
              <w:rPr>
                <w:sz w:val="20"/>
                <w:szCs w:val="20"/>
                <w:color w:val="auto"/>
              </w:rPr>
            </w:pPr>
            <w:r>
              <w:rPr>
                <w:rFonts w:ascii="Arial" w:cs="Arial" w:eastAsia="Arial" w:hAnsi="Arial"/>
                <w:sz w:val="22"/>
                <w:szCs w:val="22"/>
                <w:color w:val="auto"/>
              </w:rPr>
              <w:t>787 Inspection Process</w:t>
            </w:r>
          </w:p>
        </w:tc>
        <w:tc>
          <w:tcPr>
            <w:tcW w:w="0" w:type="dxa"/>
            <w:vAlign w:val="bottom"/>
          </w:tcPr>
          <w:p>
            <w:pPr>
              <w:spacing w:after="0"/>
              <w:rPr>
                <w:sz w:val="1"/>
                <w:szCs w:val="1"/>
                <w:color w:val="auto"/>
              </w:rPr>
            </w:pPr>
          </w:p>
        </w:tc>
      </w:tr>
      <w:tr>
        <w:trPr>
          <w:trHeight w:val="378"/>
        </w:trPr>
        <w:tc>
          <w:tcPr>
            <w:tcW w:w="3600" w:type="dxa"/>
            <w:vAlign w:val="bottom"/>
            <w:gridSpan w:val="2"/>
          </w:tcPr>
          <w:p>
            <w:pPr>
              <w:spacing w:after="0"/>
              <w:rPr>
                <w:sz w:val="20"/>
                <w:szCs w:val="20"/>
                <w:color w:val="auto"/>
              </w:rPr>
            </w:pPr>
            <w:r>
              <w:rPr>
                <w:rFonts w:ascii="Arial" w:cs="Arial" w:eastAsia="Arial" w:hAnsi="Arial"/>
                <w:sz w:val="22"/>
                <w:szCs w:val="22"/>
                <w:color w:val="auto"/>
              </w:rPr>
              <w:t>6-1162-CLO-1045R1</w:t>
            </w:r>
          </w:p>
        </w:tc>
        <w:tc>
          <w:tcPr>
            <w:tcW w:w="1220" w:type="dxa"/>
            <w:vAlign w:val="bottom"/>
          </w:tcPr>
          <w:p>
            <w:pPr>
              <w:ind w:left="6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20" w:type="dxa"/>
            <w:vAlign w:val="bottom"/>
            <w:gridSpan w:val="6"/>
          </w:tcPr>
          <w:p>
            <w:pPr>
              <w:ind w:left="80"/>
              <w:spacing w:after="0"/>
              <w:rPr>
                <w:sz w:val="20"/>
                <w:szCs w:val="20"/>
                <w:color w:val="auto"/>
              </w:rPr>
            </w:pPr>
            <w:r>
              <w:rPr>
                <w:rFonts w:ascii="Arial" w:cs="Arial" w:eastAsia="Arial" w:hAnsi="Arial"/>
                <w:sz w:val="22"/>
                <w:szCs w:val="22"/>
                <w:color w:val="auto"/>
                <w:strike w:val="1"/>
                <w:w w:val="96"/>
              </w:rPr>
              <w:t>SA-eE, COTS Software and End User License Matters</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0"/>
                <w:szCs w:val="20"/>
                <w:color w:val="auto"/>
              </w:rPr>
            </w:pPr>
            <w:r>
              <w:rPr>
                <w:rFonts w:ascii="Arial" w:cs="Arial" w:eastAsia="Arial" w:hAnsi="Arial"/>
                <w:sz w:val="22"/>
                <w:szCs w:val="22"/>
                <w:color w:val="auto"/>
                <w:strike w:val="1"/>
              </w:rPr>
              <w:t>6-1162-CLO-1046</w:t>
            </w:r>
          </w:p>
        </w:tc>
        <w:tc>
          <w:tcPr>
            <w:tcW w:w="1300" w:type="dxa"/>
            <w:vAlign w:val="bottom"/>
          </w:tcPr>
          <w:p>
            <w:pPr>
              <w:spacing w:after="0"/>
              <w:rPr>
                <w:sz w:val="23"/>
                <w:szCs w:val="23"/>
                <w:color w:val="auto"/>
              </w:rPr>
            </w:pPr>
          </w:p>
        </w:tc>
        <w:tc>
          <w:tcPr>
            <w:tcW w:w="5220" w:type="dxa"/>
            <w:vAlign w:val="bottom"/>
            <w:gridSpan w:val="6"/>
          </w:tcPr>
          <w:p>
            <w:pPr>
              <w:ind w:left="8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78"/>
        </w:trPr>
        <w:tc>
          <w:tcPr>
            <w:tcW w:w="3600" w:type="dxa"/>
            <w:vAlign w:val="bottom"/>
            <w:gridSpan w:val="2"/>
          </w:tcPr>
          <w:p>
            <w:pPr>
              <w:spacing w:after="0"/>
              <w:rPr>
                <w:sz w:val="20"/>
                <w:szCs w:val="20"/>
                <w:color w:val="auto"/>
              </w:rPr>
            </w:pPr>
            <w:r>
              <w:rPr>
                <w:rFonts w:ascii="Arial" w:cs="Arial" w:eastAsia="Arial" w:hAnsi="Arial"/>
                <w:sz w:val="22"/>
                <w:szCs w:val="22"/>
                <w:color w:val="auto"/>
              </w:rPr>
              <w:t>6-1162-CLO-1047R4</w:t>
            </w:r>
          </w:p>
        </w:tc>
        <w:tc>
          <w:tcPr>
            <w:tcW w:w="1220" w:type="dxa"/>
            <w:vAlign w:val="bottom"/>
          </w:tcPr>
          <w:p>
            <w:pPr>
              <w:ind w:left="8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0"/>
                <w:szCs w:val="20"/>
                <w:color w:val="auto"/>
              </w:rPr>
            </w:pPr>
            <w:r>
              <w:rPr>
                <w:rFonts w:ascii="Arial" w:cs="Arial" w:eastAsia="Arial" w:hAnsi="Arial"/>
                <w:sz w:val="22"/>
                <w:szCs w:val="22"/>
                <w:color w:val="auto"/>
                <w:strike w:val="1"/>
              </w:rPr>
              <w:t>6-1162-CLO-1048</w:t>
            </w:r>
          </w:p>
        </w:tc>
        <w:tc>
          <w:tcPr>
            <w:tcW w:w="130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22"/>
                <w:szCs w:val="22"/>
                <w:color w:val="auto"/>
                <w:strike w:val="1"/>
                <w:w w:val="88"/>
              </w:rPr>
              <w:t>Final Matters</w:t>
            </w:r>
          </w:p>
        </w:tc>
        <w:tc>
          <w:tcPr>
            <w:tcW w:w="4000" w:type="dxa"/>
            <w:vAlign w:val="bottom"/>
            <w:gridSpan w:val="5"/>
          </w:tcPr>
          <w:p>
            <w:pPr>
              <w:ind w:left="22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78"/>
        </w:trPr>
        <w:tc>
          <w:tcPr>
            <w:tcW w:w="3600" w:type="dxa"/>
            <w:vAlign w:val="bottom"/>
            <w:gridSpan w:val="2"/>
          </w:tcPr>
          <w:p>
            <w:pPr>
              <w:spacing w:after="0"/>
              <w:rPr>
                <w:sz w:val="20"/>
                <w:szCs w:val="20"/>
                <w:color w:val="auto"/>
              </w:rPr>
            </w:pPr>
            <w:r>
              <w:rPr>
                <w:rFonts w:ascii="Arial" w:cs="Arial" w:eastAsia="Arial" w:hAnsi="Arial"/>
                <w:sz w:val="22"/>
                <w:szCs w:val="22"/>
                <w:color w:val="auto"/>
              </w:rPr>
              <w:t>6-1162-CLO-1049R2</w:t>
            </w:r>
          </w:p>
        </w:tc>
        <w:tc>
          <w:tcPr>
            <w:tcW w:w="5220" w:type="dxa"/>
            <w:vAlign w:val="bottom"/>
            <w:gridSpan w:val="6"/>
          </w:tcPr>
          <w:p>
            <w:pPr>
              <w:ind w:left="80"/>
              <w:spacing w:after="0"/>
              <w:rPr>
                <w:sz w:val="20"/>
                <w:szCs w:val="20"/>
                <w:color w:val="auto"/>
              </w:rPr>
            </w:pPr>
            <w:r>
              <w:rPr>
                <w:rFonts w:ascii="Arial" w:cs="Arial" w:eastAsia="Arial" w:hAnsi="Arial"/>
                <w:sz w:val="22"/>
                <w:szCs w:val="22"/>
                <w:color w:val="auto"/>
              </w:rPr>
              <w:t>CS1 Matters</w:t>
            </w:r>
          </w:p>
        </w:tc>
        <w:tc>
          <w:tcPr>
            <w:tcW w:w="0" w:type="dxa"/>
            <w:vAlign w:val="bottom"/>
          </w:tcPr>
          <w:p>
            <w:pPr>
              <w:spacing w:after="0"/>
              <w:rPr>
                <w:sz w:val="1"/>
                <w:szCs w:val="1"/>
                <w:color w:val="auto"/>
              </w:rPr>
            </w:pPr>
          </w:p>
        </w:tc>
      </w:tr>
      <w:tr>
        <w:trPr>
          <w:trHeight w:val="351"/>
        </w:trPr>
        <w:tc>
          <w:tcPr>
            <w:tcW w:w="3600" w:type="dxa"/>
            <w:vAlign w:val="bottom"/>
            <w:gridSpan w:val="2"/>
          </w:tcPr>
          <w:p>
            <w:pPr>
              <w:spacing w:after="0"/>
              <w:rPr>
                <w:sz w:val="20"/>
                <w:szCs w:val="20"/>
                <w:color w:val="auto"/>
              </w:rPr>
            </w:pPr>
            <w:r>
              <w:rPr>
                <w:rFonts w:ascii="Arial" w:cs="Arial" w:eastAsia="Arial" w:hAnsi="Arial"/>
                <w:sz w:val="22"/>
                <w:szCs w:val="22"/>
                <w:color w:val="auto"/>
              </w:rPr>
              <w:t>6-1162-TRW-0664R2</w:t>
            </w:r>
          </w:p>
        </w:tc>
        <w:tc>
          <w:tcPr>
            <w:tcW w:w="5220" w:type="dxa"/>
            <w:vAlign w:val="bottom"/>
            <w:gridSpan w:val="6"/>
          </w:tcPr>
          <w:p>
            <w:pPr>
              <w:spacing w:after="0"/>
              <w:rPr>
                <w:sz w:val="20"/>
                <w:szCs w:val="20"/>
                <w:color w:val="auto"/>
              </w:rPr>
            </w:pPr>
            <w:r>
              <w:rPr>
                <w:rFonts w:ascii="Arial" w:cs="Arial" w:eastAsia="Arial" w:hAnsi="Arial"/>
                <w:sz w:val="22"/>
                <w:szCs w:val="22"/>
                <w:color w:val="auto"/>
              </w:rPr>
              <w:t>Aircraft Purchase Rights and Substitution Rights</w:t>
            </w:r>
          </w:p>
        </w:tc>
        <w:tc>
          <w:tcPr>
            <w:tcW w:w="0" w:type="dxa"/>
            <w:vAlign w:val="bottom"/>
          </w:tcPr>
          <w:p>
            <w:pPr>
              <w:spacing w:after="0"/>
              <w:rPr>
                <w:sz w:val="1"/>
                <w:szCs w:val="1"/>
                <w:color w:val="auto"/>
              </w:rPr>
            </w:pPr>
          </w:p>
        </w:tc>
      </w:tr>
      <w:tr>
        <w:trPr>
          <w:trHeight w:val="337"/>
        </w:trPr>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0" w:type="dxa"/>
            <w:vAlign w:val="bottom"/>
            <w:gridSpan w:val="5"/>
          </w:tcPr>
          <w:p>
            <w:pPr>
              <w:spacing w:after="0"/>
              <w:rPr>
                <w:sz w:val="20"/>
                <w:szCs w:val="20"/>
                <w:color w:val="auto"/>
              </w:rPr>
            </w:pPr>
            <w:r>
              <w:rPr>
                <w:rFonts w:ascii="Arial" w:cs="Arial" w:eastAsia="Arial" w:hAnsi="Arial"/>
                <w:sz w:val="22"/>
                <w:szCs w:val="22"/>
                <w:color w:val="auto"/>
                <w:strike w:val="1"/>
                <w:w w:val="90"/>
              </w:rPr>
              <w:t>Attachment A(R2) – MADP Exercise Dates</w:t>
            </w:r>
          </w:p>
        </w:tc>
        <w:tc>
          <w:tcPr>
            <w:tcW w:w="1420" w:type="dxa"/>
            <w:vAlign w:val="bottom"/>
          </w:tcPr>
          <w:p>
            <w:pPr>
              <w:ind w:left="60"/>
              <w:spacing w:after="0"/>
              <w:rPr>
                <w:sz w:val="20"/>
                <w:szCs w:val="20"/>
                <w:color w:val="auto"/>
              </w:rPr>
            </w:pPr>
            <w:r>
              <w:rPr>
                <w:rFonts w:ascii="Arial" w:cs="Arial" w:eastAsia="Arial" w:hAnsi="Arial"/>
                <w:sz w:val="22"/>
                <w:szCs w:val="22"/>
                <w:color w:val="auto"/>
                <w:w w:val="96"/>
              </w:rPr>
              <w:t>WITHDRAWN</w:t>
            </w:r>
          </w:p>
        </w:tc>
        <w:tc>
          <w:tcPr>
            <w:tcW w:w="0" w:type="dxa"/>
            <w:vAlign w:val="bottom"/>
          </w:tcPr>
          <w:p>
            <w:pPr>
              <w:spacing w:after="0"/>
              <w:rPr>
                <w:sz w:val="1"/>
                <w:szCs w:val="1"/>
                <w:color w:val="auto"/>
              </w:rPr>
            </w:pPr>
          </w:p>
        </w:tc>
      </w:tr>
      <w:tr>
        <w:trPr>
          <w:trHeight w:val="338"/>
        </w:trPr>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760" w:type="dxa"/>
            <w:vAlign w:val="bottom"/>
            <w:gridSpan w:val="4"/>
          </w:tcPr>
          <w:p>
            <w:pPr>
              <w:spacing w:after="0"/>
              <w:rPr>
                <w:sz w:val="20"/>
                <w:szCs w:val="20"/>
                <w:color w:val="auto"/>
              </w:rPr>
            </w:pPr>
            <w:r>
              <w:rPr>
                <w:rFonts w:ascii="Arial" w:cs="Arial" w:eastAsia="Arial" w:hAnsi="Arial"/>
                <w:sz w:val="22"/>
                <w:szCs w:val="22"/>
                <w:color w:val="auto"/>
                <w:strike w:val="1"/>
                <w:w w:val="89"/>
              </w:rPr>
              <w:t>Attachment B(R2) – QADP Exercise Dates</w:t>
            </w:r>
          </w:p>
        </w:tc>
        <w:tc>
          <w:tcPr>
            <w:tcW w:w="1460" w:type="dxa"/>
            <w:vAlign w:val="bottom"/>
            <w:gridSpan w:val="2"/>
          </w:tcPr>
          <w:p>
            <w:pPr>
              <w:ind w:left="60"/>
              <w:spacing w:after="0"/>
              <w:rPr>
                <w:sz w:val="20"/>
                <w:szCs w:val="20"/>
                <w:color w:val="auto"/>
              </w:rPr>
            </w:pPr>
            <w:r>
              <w:rPr>
                <w:rFonts w:ascii="Arial" w:cs="Arial" w:eastAsia="Arial" w:hAnsi="Arial"/>
                <w:sz w:val="22"/>
                <w:szCs w:val="22"/>
                <w:color w:val="auto"/>
                <w:w w:val="99"/>
              </w:rPr>
              <w:t>WITHDRAWN</w:t>
            </w:r>
          </w:p>
        </w:tc>
        <w:tc>
          <w:tcPr>
            <w:tcW w:w="0" w:type="dxa"/>
            <w:vAlign w:val="bottom"/>
          </w:tcPr>
          <w:p>
            <w:pPr>
              <w:spacing w:after="0"/>
              <w:rPr>
                <w:sz w:val="1"/>
                <w:szCs w:val="1"/>
                <w:color w:val="auto"/>
              </w:rPr>
            </w:pPr>
          </w:p>
        </w:tc>
      </w:tr>
      <w:tr>
        <w:trPr>
          <w:trHeight w:val="239"/>
        </w:trPr>
        <w:tc>
          <w:tcPr>
            <w:tcW w:w="2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20" w:type="dxa"/>
            <w:vAlign w:val="bottom"/>
            <w:gridSpan w:val="6"/>
          </w:tcPr>
          <w:p>
            <w:pPr>
              <w:spacing w:after="0" w:line="239" w:lineRule="exact"/>
              <w:rPr>
                <w:sz w:val="20"/>
                <w:szCs w:val="20"/>
                <w:color w:val="auto"/>
              </w:rPr>
            </w:pPr>
            <w:r>
              <w:rPr>
                <w:rFonts w:ascii="Arial" w:cs="Arial" w:eastAsia="Arial" w:hAnsi="Arial"/>
                <w:sz w:val="22"/>
                <w:szCs w:val="22"/>
                <w:color w:val="auto"/>
                <w:strike w:val="1"/>
              </w:rPr>
              <w:t>Attachment C(R3) – MADP &amp; QADP Rights Aircraft: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980" w:type="dxa"/>
            <w:vAlign w:val="bottom"/>
            <w:gridSpan w:val="2"/>
          </w:tcPr>
          <w:p>
            <w:pPr>
              <w:spacing w:after="0"/>
              <w:rPr>
                <w:sz w:val="20"/>
                <w:szCs w:val="20"/>
                <w:color w:val="auto"/>
              </w:rPr>
            </w:pPr>
            <w:r>
              <w:rPr>
                <w:rFonts w:ascii="Arial" w:cs="Arial" w:eastAsia="Arial" w:hAnsi="Arial"/>
                <w:sz w:val="22"/>
                <w:szCs w:val="22"/>
                <w:color w:val="auto"/>
                <w:strike w:val="1"/>
                <w:w w:val="89"/>
              </w:rPr>
              <w:t>Description/Price Data</w:t>
            </w:r>
          </w:p>
        </w:tc>
        <w:tc>
          <w:tcPr>
            <w:tcW w:w="3240" w:type="dxa"/>
            <w:vAlign w:val="bottom"/>
            <w:gridSpan w:val="4"/>
          </w:tcPr>
          <w:p>
            <w:pPr>
              <w:ind w:left="60"/>
              <w:spacing w:after="0"/>
              <w:rPr>
                <w:sz w:val="20"/>
                <w:szCs w:val="20"/>
                <w:color w:val="auto"/>
              </w:rPr>
            </w:pPr>
            <w:r>
              <w:rPr>
                <w:rFonts w:ascii="Arial" w:cs="Arial" w:eastAsia="Arial" w:hAnsi="Arial"/>
                <w:sz w:val="22"/>
                <w:szCs w:val="22"/>
                <w:color w:val="auto"/>
              </w:rPr>
              <w:t>Attachment C(R4)</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20" w:type="dxa"/>
            <w:vAlign w:val="bottom"/>
            <w:gridSpan w:val="6"/>
          </w:tcPr>
          <w:p>
            <w:pPr>
              <w:spacing w:after="0"/>
              <w:rPr>
                <w:sz w:val="20"/>
                <w:szCs w:val="20"/>
                <w:color w:val="auto"/>
              </w:rPr>
            </w:pPr>
            <w:r>
              <w:rPr>
                <w:rFonts w:ascii="Arial" w:cs="Arial" w:eastAsia="Arial" w:hAnsi="Arial"/>
                <w:sz w:val="22"/>
                <w:szCs w:val="22"/>
                <w:color w:val="auto"/>
                <w:w w:val="91"/>
              </w:rPr>
              <w:t>Attachment D – Form of Purchase Agreement Supplement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Table of Contents</w:t>
      </w:r>
      <w:r>
        <w:rPr>
          <w:sz w:val="20"/>
          <w:szCs w:val="20"/>
          <w:color w:val="auto"/>
        </w:rPr>
        <w:tab/>
      </w:r>
      <w:r>
        <w:rPr>
          <w:rFonts w:ascii="Arial" w:cs="Arial" w:eastAsia="Arial" w:hAnsi="Arial"/>
          <w:sz w:val="18"/>
          <w:szCs w:val="18"/>
          <w:color w:val="auto"/>
        </w:rPr>
        <w:t>Page 2</w:t>
      </w:r>
    </w:p>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39"/>
        <w:spacing w:after="0"/>
        <w:rPr>
          <w:sz w:val="20"/>
          <w:szCs w:val="20"/>
          <w:color w:val="auto"/>
        </w:rPr>
      </w:pPr>
      <w:r>
        <w:rPr>
          <w:rFonts w:ascii="Arial" w:cs="Arial" w:eastAsia="Arial" w:hAnsi="Arial"/>
          <w:sz w:val="22"/>
          <w:szCs w:val="22"/>
          <w:color w:val="auto"/>
        </w:rPr>
        <w:t>SA</w:t>
      </w:r>
    </w:p>
    <w:p>
      <w:pPr>
        <w:jc w:val="center"/>
        <w:ind w:left="-339"/>
        <w:spacing w:after="0"/>
        <w:rPr>
          <w:sz w:val="20"/>
          <w:szCs w:val="20"/>
          <w:color w:val="auto"/>
        </w:rPr>
      </w:pPr>
      <w:r>
        <w:rPr>
          <w:rFonts w:ascii="Arial" w:cs="Arial" w:eastAsia="Arial" w:hAnsi="Arial"/>
          <w:sz w:val="22"/>
          <w:szCs w:val="22"/>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SA-3</w:t>
      </w:r>
    </w:p>
    <w:p>
      <w:pPr>
        <w:spacing w:after="0" w:line="220"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SA-3</w:t>
      </w:r>
    </w:p>
    <w:p>
      <w:pPr>
        <w:spacing w:after="0" w:line="220"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SA-2</w:t>
      </w:r>
    </w:p>
    <w:p>
      <w:pPr>
        <w:ind w:left="1120"/>
        <w:spacing w:after="0"/>
        <w:rPr>
          <w:sz w:val="20"/>
          <w:szCs w:val="20"/>
          <w:color w:val="auto"/>
        </w:rPr>
      </w:pPr>
      <w:r>
        <w:rPr>
          <w:rFonts w:ascii="Arial" w:cs="Arial" w:eastAsia="Arial" w:hAnsi="Arial"/>
          <w:sz w:val="22"/>
          <w:szCs w:val="22"/>
          <w:color w:val="auto"/>
        </w:rPr>
        <w:t>SA-3</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SA-2</w:t>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SA-3</w:t>
      </w:r>
    </w:p>
    <w:p>
      <w:pPr>
        <w:spacing w:after="0" w:line="395"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SA-11</w:t>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SA-2</w:t>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SA-6</w:t>
      </w:r>
    </w:p>
    <w:p>
      <w:pPr>
        <w:spacing w:after="0" w:line="125"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SA-11</w:t>
      </w:r>
    </w:p>
    <w:p>
      <w:pPr>
        <w:spacing w:after="0" w:line="85"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SA-11</w:t>
      </w:r>
    </w:p>
    <w:p>
      <w:pPr>
        <w:spacing w:after="0" w:line="85"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SA-11</w:t>
      </w:r>
    </w:p>
    <w:p>
      <w:pPr>
        <w:spacing w:after="0" w:line="85"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SA-11</w:t>
      </w:r>
    </w:p>
    <w:p>
      <w:pPr>
        <w:spacing w:after="0" w:line="260"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SA-11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19"/>
          <w:szCs w:val="19"/>
          <w:color w:val="auto"/>
        </w:rPr>
        <w:t>SA-20</w:t>
      </w:r>
    </w:p>
    <w:p>
      <w:pPr>
        <w:sectPr>
          <w:pgSz w:w="11900" w:h="16838" w:orient="portrait"/>
          <w:cols w:equalWidth="0" w:num="2">
            <w:col w:w="8960" w:space="280"/>
            <w:col w:w="2000"/>
          </w:cols>
          <w:pgMar w:left="320" w:top="321" w:right="339" w:bottom="926"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9"/>
          <w:szCs w:val="19"/>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00"/>
        <w:spacing w:after="0"/>
        <w:tabs>
          <w:tab w:leader="none" w:pos="10360" w:val="left"/>
        </w:tabs>
        <w:rPr>
          <w:sz w:val="20"/>
          <w:szCs w:val="20"/>
          <w:color w:val="auto"/>
        </w:rPr>
      </w:pPr>
      <w:r>
        <w:rPr>
          <w:rFonts w:ascii="Arial" w:cs="Arial" w:eastAsia="Arial" w:hAnsi="Arial"/>
          <w:sz w:val="22"/>
          <w:szCs w:val="22"/>
          <w:color w:val="auto"/>
        </w:rPr>
        <w:t>Attachment E – Letter Agreements To Be Included In Purchase</w:t>
      </w:r>
      <w:r>
        <w:rPr>
          <w:sz w:val="20"/>
          <w:szCs w:val="20"/>
          <w:color w:val="auto"/>
        </w:rPr>
        <w:tab/>
      </w:r>
      <w:r>
        <w:rPr>
          <w:rFonts w:ascii="Arial" w:cs="Arial" w:eastAsia="Arial" w:hAnsi="Arial"/>
          <w:sz w:val="19"/>
          <w:szCs w:val="19"/>
          <w:color w:val="auto"/>
        </w:rPr>
        <w:t>SA-6</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Agreement Supplement</w:t>
      </w:r>
    </w:p>
    <w:p>
      <w:pPr>
        <w:sectPr>
          <w:pgSz w:w="11900" w:h="16838" w:orient="portrait"/>
          <w:cols w:equalWidth="0" w:num="1">
            <w:col w:w="11240"/>
          </w:cols>
          <w:pgMar w:left="320" w:top="321" w:right="339" w:bottom="1440" w:gutter="0" w:footer="0" w:header="0"/>
        </w:sectPr>
      </w:pPr>
    </w:p>
    <w:p>
      <w:pPr>
        <w:spacing w:after="0" w:line="152" w:lineRule="exact"/>
        <w:rPr>
          <w:sz w:val="20"/>
          <w:szCs w:val="20"/>
          <w:color w:val="auto"/>
        </w:rPr>
      </w:pPr>
    </w:p>
    <w:tbl>
      <w:tblPr>
        <w:tblLayout w:type="fixed"/>
        <w:tblInd w:w="14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22"/>
                <w:szCs w:val="22"/>
                <w:color w:val="auto"/>
                <w:strike w:val="1"/>
              </w:rPr>
              <w:t>6-1162-TRW-0665</w:t>
            </w:r>
          </w:p>
        </w:tc>
        <w:tc>
          <w:tcPr>
            <w:tcW w:w="6180" w:type="dxa"/>
            <w:vAlign w:val="bottom"/>
          </w:tcPr>
          <w:p>
            <w:pPr>
              <w:ind w:left="1160"/>
              <w:spacing w:after="0"/>
              <w:rPr>
                <w:sz w:val="20"/>
                <w:szCs w:val="20"/>
                <w:color w:val="auto"/>
              </w:rPr>
            </w:pPr>
            <w:r>
              <w:rPr>
                <w:rFonts w:ascii="Arial" w:cs="Arial" w:eastAsia="Arial" w:hAnsi="Arial"/>
                <w:sz w:val="22"/>
                <w:szCs w:val="22"/>
                <w:color w:val="auto"/>
              </w:rPr>
              <w:t>[****] WITHDRAWN</w:t>
            </w:r>
          </w:p>
        </w:tc>
        <w:tc>
          <w:tcPr>
            <w:tcW w:w="0" w:type="dxa"/>
            <w:vAlign w:val="bottom"/>
          </w:tcPr>
          <w:p>
            <w:pPr>
              <w:spacing w:after="0"/>
              <w:rPr>
                <w:sz w:val="1"/>
                <w:szCs w:val="1"/>
                <w:color w:val="auto"/>
              </w:rPr>
            </w:pPr>
          </w:p>
        </w:tc>
      </w:tr>
      <w:tr>
        <w:trPr>
          <w:trHeight w:val="392"/>
        </w:trPr>
        <w:tc>
          <w:tcPr>
            <w:tcW w:w="3040" w:type="dxa"/>
            <w:vAlign w:val="bottom"/>
          </w:tcPr>
          <w:p>
            <w:pPr>
              <w:spacing w:after="0"/>
              <w:rPr>
                <w:sz w:val="20"/>
                <w:szCs w:val="20"/>
                <w:color w:val="auto"/>
              </w:rPr>
            </w:pPr>
            <w:r>
              <w:rPr>
                <w:rFonts w:ascii="Arial" w:cs="Arial" w:eastAsia="Arial" w:hAnsi="Arial"/>
                <w:sz w:val="22"/>
                <w:szCs w:val="22"/>
                <w:color w:val="auto"/>
                <w:strike w:val="1"/>
              </w:rPr>
              <w:t>6-1162-TRW-0666</w:t>
            </w:r>
          </w:p>
        </w:tc>
        <w:tc>
          <w:tcPr>
            <w:tcW w:w="6180" w:type="dxa"/>
            <w:vAlign w:val="bottom"/>
          </w:tcPr>
          <w:p>
            <w:pPr>
              <w:ind w:left="11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0"/>
                <w:szCs w:val="20"/>
                <w:color w:val="auto"/>
              </w:rPr>
            </w:pPr>
            <w:r>
              <w:rPr>
                <w:rFonts w:ascii="Arial" w:cs="Arial" w:eastAsia="Arial" w:hAnsi="Arial"/>
                <w:sz w:val="22"/>
                <w:szCs w:val="22"/>
                <w:color w:val="auto"/>
              </w:rPr>
              <w:t>6-1162-TRW-0667R3</w:t>
            </w:r>
          </w:p>
        </w:tc>
        <w:tc>
          <w:tcPr>
            <w:tcW w:w="6180" w:type="dxa"/>
            <w:vAlign w:val="bottom"/>
          </w:tcPr>
          <w:p>
            <w:pPr>
              <w:ind w:left="11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20"/>
        </w:trPr>
        <w:tc>
          <w:tcPr>
            <w:tcW w:w="3040" w:type="dxa"/>
            <w:vAlign w:val="bottom"/>
            <w:vMerge w:val="restart"/>
          </w:tcPr>
          <w:p>
            <w:pPr>
              <w:spacing w:after="0"/>
              <w:rPr>
                <w:sz w:val="20"/>
                <w:szCs w:val="20"/>
                <w:color w:val="auto"/>
              </w:rPr>
            </w:pPr>
            <w:r>
              <w:rPr>
                <w:rFonts w:ascii="Arial" w:cs="Arial" w:eastAsia="Arial" w:hAnsi="Arial"/>
                <w:sz w:val="22"/>
                <w:szCs w:val="22"/>
                <w:color w:val="auto"/>
              </w:rPr>
              <w:t>6-1162-TRW-0668R1</w:t>
            </w:r>
          </w:p>
        </w:tc>
        <w:tc>
          <w:tcPr>
            <w:tcW w:w="6180" w:type="dxa"/>
            <w:vAlign w:val="bottom"/>
          </w:tcPr>
          <w:p>
            <w:pPr>
              <w:ind w:left="1160"/>
              <w:spacing w:after="0"/>
              <w:rPr>
                <w:sz w:val="20"/>
                <w:szCs w:val="20"/>
                <w:color w:val="auto"/>
              </w:rPr>
            </w:pPr>
            <w:r>
              <w:rPr>
                <w:rFonts w:ascii="Arial" w:cs="Arial" w:eastAsia="Arial" w:hAnsi="Arial"/>
                <w:sz w:val="22"/>
                <w:szCs w:val="22"/>
                <w:color w:val="auto"/>
                <w:w w:val="88"/>
              </w:rPr>
              <w:t>Special Matters Relating to COTS Software and End User</w:t>
            </w:r>
          </w:p>
        </w:tc>
        <w:tc>
          <w:tcPr>
            <w:tcW w:w="0" w:type="dxa"/>
            <w:vAlign w:val="bottom"/>
          </w:tcPr>
          <w:p>
            <w:pPr>
              <w:spacing w:after="0"/>
              <w:rPr>
                <w:sz w:val="1"/>
                <w:szCs w:val="1"/>
                <w:color w:val="auto"/>
              </w:rPr>
            </w:pPr>
          </w:p>
        </w:tc>
      </w:tr>
      <w:tr>
        <w:trPr>
          <w:trHeight w:val="274"/>
        </w:trPr>
        <w:tc>
          <w:tcPr>
            <w:tcW w:w="3040" w:type="dxa"/>
            <w:vAlign w:val="bottom"/>
            <w:vMerge w:val="continue"/>
          </w:tcPr>
          <w:p>
            <w:pPr>
              <w:spacing w:after="0"/>
              <w:rPr>
                <w:sz w:val="23"/>
                <w:szCs w:val="23"/>
                <w:color w:val="auto"/>
              </w:rPr>
            </w:pPr>
          </w:p>
        </w:tc>
        <w:tc>
          <w:tcPr>
            <w:tcW w:w="6180" w:type="dxa"/>
            <w:vAlign w:val="bottom"/>
          </w:tcPr>
          <w:p>
            <w:pPr>
              <w:ind w:left="1480"/>
              <w:spacing w:after="0"/>
              <w:rPr>
                <w:sz w:val="20"/>
                <w:szCs w:val="20"/>
                <w:color w:val="auto"/>
              </w:rPr>
            </w:pPr>
            <w:r>
              <w:rPr>
                <w:rFonts w:ascii="Arial" w:cs="Arial" w:eastAsia="Arial" w:hAnsi="Arial"/>
                <w:sz w:val="22"/>
                <w:szCs w:val="22"/>
                <w:color w:val="auto"/>
              </w:rPr>
              <w:t>License Agreements</w:t>
            </w: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0"/>
                <w:szCs w:val="20"/>
                <w:color w:val="auto"/>
              </w:rPr>
            </w:pPr>
            <w:r>
              <w:rPr>
                <w:rFonts w:ascii="Arial" w:cs="Arial" w:eastAsia="Arial" w:hAnsi="Arial"/>
                <w:sz w:val="22"/>
                <w:szCs w:val="22"/>
                <w:color w:val="auto"/>
              </w:rPr>
              <w:t>6-1162-TRW-0670R1</w:t>
            </w:r>
          </w:p>
        </w:tc>
        <w:tc>
          <w:tcPr>
            <w:tcW w:w="6180" w:type="dxa"/>
            <w:vAlign w:val="bottom"/>
          </w:tcPr>
          <w:p>
            <w:pPr>
              <w:ind w:left="1480"/>
              <w:spacing w:after="0"/>
              <w:rPr>
                <w:sz w:val="20"/>
                <w:szCs w:val="20"/>
                <w:color w:val="auto"/>
              </w:rPr>
            </w:pPr>
            <w:r>
              <w:rPr>
                <w:rFonts w:ascii="Arial" w:cs="Arial" w:eastAsia="Arial" w:hAnsi="Arial"/>
                <w:sz w:val="22"/>
                <w:szCs w:val="22"/>
                <w:color w:val="auto"/>
                <w:w w:val="94"/>
              </w:rPr>
              <w:t>Miscellaneous Commitments for Model 787 Aircraft</w:t>
            </w: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4"/>
                <w:szCs w:val="24"/>
                <w:color w:val="auto"/>
              </w:rPr>
            </w:pPr>
          </w:p>
        </w:tc>
        <w:tc>
          <w:tcPr>
            <w:tcW w:w="6180" w:type="dxa"/>
            <w:vAlign w:val="bottom"/>
          </w:tcPr>
          <w:p>
            <w:pPr>
              <w:ind w:left="11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24"/>
        </w:trPr>
        <w:tc>
          <w:tcPr>
            <w:tcW w:w="3040" w:type="dxa"/>
            <w:vAlign w:val="bottom"/>
          </w:tcPr>
          <w:p>
            <w:pPr>
              <w:spacing w:after="0"/>
              <w:rPr>
                <w:sz w:val="20"/>
                <w:szCs w:val="20"/>
                <w:color w:val="auto"/>
              </w:rPr>
            </w:pPr>
            <w:r>
              <w:rPr>
                <w:rFonts w:ascii="Arial" w:cs="Arial" w:eastAsia="Arial" w:hAnsi="Arial"/>
                <w:sz w:val="22"/>
                <w:szCs w:val="22"/>
                <w:color w:val="auto"/>
                <w:strike w:val="1"/>
              </w:rPr>
              <w:t>6-1162-TRW-0671</w:t>
            </w:r>
          </w:p>
        </w:tc>
        <w:tc>
          <w:tcPr>
            <w:tcW w:w="6180" w:type="dxa"/>
            <w:vAlign w:val="bottom"/>
          </w:tcPr>
          <w:p>
            <w:pPr>
              <w:ind w:left="1160"/>
              <w:spacing w:after="0"/>
              <w:rPr>
                <w:sz w:val="20"/>
                <w:szCs w:val="20"/>
                <w:color w:val="auto"/>
              </w:rPr>
            </w:pPr>
            <w:r>
              <w:rPr>
                <w:rFonts w:ascii="Arial" w:cs="Arial" w:eastAsia="Arial" w:hAnsi="Arial"/>
                <w:sz w:val="22"/>
                <w:szCs w:val="22"/>
                <w:color w:val="auto"/>
              </w:rPr>
              <w:t>WITHDRAWN</w:t>
            </w: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0"/>
                <w:szCs w:val="20"/>
                <w:color w:val="auto"/>
              </w:rPr>
            </w:pPr>
            <w:r>
              <w:rPr>
                <w:rFonts w:ascii="Arial" w:cs="Arial" w:eastAsia="Arial" w:hAnsi="Arial"/>
                <w:sz w:val="22"/>
                <w:szCs w:val="22"/>
                <w:color w:val="auto"/>
              </w:rPr>
              <w:t>6-1162-TRW-0672R1</w:t>
            </w:r>
          </w:p>
        </w:tc>
        <w:tc>
          <w:tcPr>
            <w:tcW w:w="6180" w:type="dxa"/>
            <w:vAlign w:val="bottom"/>
          </w:tcPr>
          <w:p>
            <w:pPr>
              <w:ind w:left="1160"/>
              <w:spacing w:after="0"/>
              <w:rPr>
                <w:sz w:val="20"/>
                <w:szCs w:val="20"/>
                <w:color w:val="auto"/>
              </w:rPr>
            </w:pPr>
            <w:r>
              <w:rPr>
                <w:rFonts w:ascii="Arial" w:cs="Arial" w:eastAsia="Arial" w:hAnsi="Arial"/>
                <w:sz w:val="22"/>
                <w:szCs w:val="22"/>
                <w:color w:val="auto"/>
              </w:rPr>
              <w:t>Promotional Support Agreement</w:t>
            </w: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0"/>
                <w:szCs w:val="20"/>
                <w:color w:val="auto"/>
              </w:rPr>
            </w:pPr>
            <w:r>
              <w:rPr>
                <w:rFonts w:ascii="Arial" w:cs="Arial" w:eastAsia="Arial" w:hAnsi="Arial"/>
                <w:sz w:val="22"/>
                <w:szCs w:val="22"/>
                <w:color w:val="auto"/>
              </w:rPr>
              <w:t>6-1162-TRW-0673R1</w:t>
            </w:r>
          </w:p>
        </w:tc>
        <w:tc>
          <w:tcPr>
            <w:tcW w:w="6180" w:type="dxa"/>
            <w:vAlign w:val="bottom"/>
          </w:tcPr>
          <w:p>
            <w:pPr>
              <w:ind w:left="1160"/>
              <w:spacing w:after="0"/>
              <w:rPr>
                <w:sz w:val="20"/>
                <w:szCs w:val="20"/>
                <w:color w:val="auto"/>
              </w:rPr>
            </w:pPr>
            <w:r>
              <w:rPr>
                <w:rFonts w:ascii="Arial" w:cs="Arial" w:eastAsia="Arial" w:hAnsi="Arial"/>
                <w:sz w:val="22"/>
                <w:szCs w:val="22"/>
                <w:color w:val="auto"/>
              </w:rPr>
              <w:t>Confidentiality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SA-3</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SA-11</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SA-3</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SA-3</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SA-3</w:t>
      </w:r>
    </w:p>
    <w:p>
      <w:pPr>
        <w:spacing w:after="0" w:line="118" w:lineRule="exact"/>
        <w:rPr>
          <w:sz w:val="20"/>
          <w:szCs w:val="20"/>
          <w:color w:val="auto"/>
        </w:rPr>
      </w:pPr>
    </w:p>
    <w:p>
      <w:pPr>
        <w:sectPr>
          <w:pgSz w:w="11900" w:h="16838" w:orient="portrait"/>
          <w:cols w:equalWidth="0" w:num="2">
            <w:col w:w="9620" w:space="720"/>
            <w:col w:w="900"/>
          </w:cols>
          <w:pgMar w:left="320" w:top="321" w:right="339" w:bottom="1440" w:gutter="0" w:footer="0" w:header="0"/>
          <w:type w:val="continuous"/>
        </w:sectPr>
      </w:pPr>
    </w:p>
    <w:p>
      <w:pPr>
        <w:spacing w:after="0" w:line="68"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b w:val="1"/>
          <w:bCs w:val="1"/>
          <w:color w:val="auto"/>
        </w:rPr>
        <w:t>6-1162-TRW-0674R5</w:t>
      </w:r>
      <w:r>
        <w:rPr>
          <w:sz w:val="20"/>
          <w:szCs w:val="20"/>
          <w:color w:val="auto"/>
        </w:rPr>
        <w:tab/>
      </w:r>
      <w:r>
        <w:rPr>
          <w:rFonts w:ascii="Arial" w:cs="Arial" w:eastAsia="Arial" w:hAnsi="Arial"/>
          <w:sz w:val="18"/>
          <w:szCs w:val="18"/>
          <w:b w:val="1"/>
          <w:bCs w:val="1"/>
          <w:color w:val="auto"/>
        </w:rPr>
        <w:t>Business Considerations</w:t>
      </w:r>
    </w:p>
    <w:p>
      <w:pPr>
        <w:spacing w:after="0" w:line="131"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AAL-PA-3219-LA-08836R2</w:t>
      </w:r>
      <w:r>
        <w:rPr>
          <w:sz w:val="20"/>
          <w:szCs w:val="20"/>
          <w:color w:val="auto"/>
        </w:rPr>
        <w:tab/>
      </w:r>
      <w:r>
        <w:rPr>
          <w:rFonts w:ascii="Arial" w:cs="Arial" w:eastAsia="Arial" w:hAnsi="Arial"/>
          <w:sz w:val="22"/>
          <w:szCs w:val="22"/>
          <w:color w:val="auto"/>
        </w:rPr>
        <w:t>[****]</w:t>
      </w:r>
    </w:p>
    <w:p>
      <w:pPr>
        <w:spacing w:after="0" w:line="125"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AAL-PA-3219-LA-08837R1</w:t>
      </w:r>
      <w:r>
        <w:rPr>
          <w:sz w:val="20"/>
          <w:szCs w:val="20"/>
          <w:color w:val="auto"/>
        </w:rPr>
        <w:tab/>
      </w:r>
      <w:r>
        <w:rPr>
          <w:rFonts w:ascii="Arial" w:cs="Arial" w:eastAsia="Arial" w:hAnsi="Arial"/>
          <w:sz w:val="22"/>
          <w:szCs w:val="22"/>
          <w:color w:val="auto"/>
        </w:rPr>
        <w:t>[****]</w:t>
      </w:r>
    </w:p>
    <w:p>
      <w:pPr>
        <w:spacing w:after="0" w:line="125"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AAL-PA-3219-LA-08838</w:t>
      </w:r>
      <w:r>
        <w:rPr>
          <w:sz w:val="20"/>
          <w:szCs w:val="20"/>
          <w:color w:val="auto"/>
        </w:rPr>
        <w:tab/>
      </w:r>
      <w:r>
        <w:rPr>
          <w:rFonts w:ascii="Arial" w:cs="Arial" w:eastAsia="Arial" w:hAnsi="Arial"/>
          <w:sz w:val="22"/>
          <w:szCs w:val="22"/>
          <w:color w:val="auto"/>
        </w:rPr>
        <w:t>[****]</w:t>
      </w:r>
    </w:p>
    <w:p>
      <w:pPr>
        <w:spacing w:after="0" w:line="125"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AAL-LA-1106678</w:t>
      </w:r>
      <w:r>
        <w:rPr>
          <w:sz w:val="20"/>
          <w:szCs w:val="20"/>
          <w:color w:val="auto"/>
        </w:rPr>
        <w:tab/>
      </w:r>
      <w:r>
        <w:rPr>
          <w:rFonts w:ascii="Arial" w:cs="Arial" w:eastAsia="Arial" w:hAnsi="Arial"/>
          <w:sz w:val="22"/>
          <w:szCs w:val="22"/>
          <w:color w:val="auto"/>
        </w:rPr>
        <w:t>[****]</w:t>
      </w:r>
    </w:p>
    <w:p>
      <w:pPr>
        <w:spacing w:after="0" w:line="125"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0"/>
          <w:szCs w:val="20"/>
          <w:color w:val="auto"/>
        </w:rPr>
        <w:t>AAL-PA-3219-LA-1302236R</w:t>
      </w:r>
      <w:r>
        <w:rPr>
          <w:rFonts w:ascii="Arial" w:cs="Arial" w:eastAsia="Arial" w:hAnsi="Arial"/>
          <w:sz w:val="21"/>
          <w:szCs w:val="21"/>
          <w:color w:val="auto"/>
        </w:rPr>
        <w:t>2</w:t>
      </w:r>
      <w:r>
        <w:rPr>
          <w:sz w:val="20"/>
          <w:szCs w:val="20"/>
          <w:color w:val="auto"/>
        </w:rPr>
        <w:tab/>
      </w:r>
      <w:r>
        <w:rPr>
          <w:rFonts w:ascii="Arial" w:cs="Arial" w:eastAsia="Arial" w:hAnsi="Arial"/>
          <w:sz w:val="22"/>
          <w:szCs w:val="22"/>
          <w:color w:val="auto"/>
        </w:rPr>
        <w:t>[****]</w:t>
      </w:r>
    </w:p>
    <w:p>
      <w:pPr>
        <w:spacing w:after="0" w:line="125"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AAL-PA-3219-LA-1604503R1</w:t>
      </w:r>
      <w:r>
        <w:rPr>
          <w:sz w:val="20"/>
          <w:szCs w:val="20"/>
          <w:color w:val="auto"/>
        </w:rPr>
        <w:tab/>
      </w:r>
      <w:r>
        <w:rPr>
          <w:rFonts w:ascii="Arial" w:cs="Arial" w:eastAsia="Arial" w:hAnsi="Arial"/>
          <w:sz w:val="19"/>
          <w:szCs w:val="19"/>
          <w:color w:val="auto"/>
        </w:rPr>
        <w:t>787 Business Matters</w:t>
      </w:r>
    </w:p>
    <w:p>
      <w:pPr>
        <w:spacing w:after="0" w:line="125"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AAL-PA-03219-LA-1701988</w:t>
      </w:r>
      <w:r>
        <w:rPr>
          <w:sz w:val="20"/>
          <w:szCs w:val="20"/>
          <w:color w:val="auto"/>
        </w:rPr>
        <w:tab/>
      </w:r>
      <w:r>
        <w:rPr>
          <w:rFonts w:ascii="Arial" w:cs="Arial" w:eastAsia="Arial" w:hAnsi="Arial"/>
          <w:sz w:val="22"/>
          <w:szCs w:val="22"/>
          <w:color w:val="auto"/>
        </w:rPr>
        <w:t>[****]</w:t>
      </w:r>
    </w:p>
    <w:p>
      <w:pPr>
        <w:spacing w:after="0" w:line="125"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0"/>
          <w:szCs w:val="20"/>
          <w:b w:val="1"/>
          <w:bCs w:val="1"/>
          <w:color w:val="auto"/>
        </w:rPr>
        <w:t>AAL-PA-03219-LA-1804779R2</w:t>
      </w:r>
      <w:r>
        <w:rPr>
          <w:sz w:val="20"/>
          <w:szCs w:val="20"/>
          <w:color w:val="auto"/>
        </w:rPr>
        <w:tab/>
      </w:r>
      <w:r>
        <w:rPr>
          <w:rFonts w:ascii="Arial" w:cs="Arial" w:eastAsia="Arial" w:hAnsi="Arial"/>
          <w:sz w:val="22"/>
          <w:szCs w:val="22"/>
          <w:color w:val="auto"/>
        </w:rPr>
        <w:t>[****]</w:t>
      </w:r>
    </w:p>
    <w:p>
      <w:pPr>
        <w:spacing w:after="0" w:line="125"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AAL-PA-03219-LA-1802262R1</w:t>
      </w:r>
      <w:r>
        <w:rPr>
          <w:sz w:val="20"/>
          <w:szCs w:val="20"/>
          <w:color w:val="auto"/>
        </w:rPr>
        <w:tab/>
      </w:r>
      <w:r>
        <w:rPr>
          <w:rFonts w:ascii="Arial" w:cs="Arial" w:eastAsia="Arial" w:hAnsi="Arial"/>
          <w:sz w:val="22"/>
          <w:szCs w:val="22"/>
          <w:color w:val="auto"/>
        </w:rPr>
        <w:t>[****]</w:t>
      </w:r>
    </w:p>
    <w:p>
      <w:pPr>
        <w:spacing w:after="0" w:line="260"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AAL-PA-03219-LA-1802492</w:t>
      </w:r>
      <w:r>
        <w:rPr>
          <w:sz w:val="20"/>
          <w:szCs w:val="20"/>
          <w:color w:val="auto"/>
        </w:rPr>
        <w:tab/>
      </w:r>
      <w:r>
        <w:rPr>
          <w:rFonts w:ascii="Arial" w:cs="Arial" w:eastAsia="Arial" w:hAnsi="Arial"/>
          <w:sz w:val="19"/>
          <w:szCs w:val="19"/>
          <w:color w:val="auto"/>
        </w:rPr>
        <w:t>Open Configuration Matters</w:t>
      </w:r>
    </w:p>
    <w:p>
      <w:pPr>
        <w:spacing w:after="0" w:line="233"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AAL-PA-3219-LA-2001170</w:t>
      </w:r>
      <w:r>
        <w:rPr>
          <w:sz w:val="20"/>
          <w:szCs w:val="20"/>
          <w:color w:val="auto"/>
        </w:rPr>
        <w:tab/>
      </w:r>
      <w:r>
        <w:rPr>
          <w:rFonts w:ascii="Arial" w:cs="Arial" w:eastAsia="Arial" w:hAnsi="Arial"/>
          <w:sz w:val="22"/>
          <w:szCs w:val="22"/>
          <w:color w:val="auto"/>
        </w:rPr>
        <w:t>[****]</w:t>
      </w:r>
    </w:p>
    <w:p>
      <w:pPr>
        <w:spacing w:after="0" w:line="214"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b w:val="1"/>
          <w:bCs w:val="1"/>
          <w:color w:val="auto"/>
        </w:rPr>
        <w:t>AAL-PA-3219-2101557R1</w:t>
      </w:r>
      <w:r>
        <w:rPr>
          <w:sz w:val="20"/>
          <w:szCs w:val="20"/>
          <w:color w:val="auto"/>
        </w:rPr>
        <w:tab/>
      </w:r>
      <w:r>
        <w:rPr>
          <w:rFonts w:ascii="Arial" w:cs="Arial" w:eastAsia="Arial" w:hAnsi="Arial"/>
          <w:sz w:val="22"/>
          <w:szCs w:val="22"/>
          <w:color w:val="auto"/>
        </w:rPr>
        <w:t>[****]</w:t>
      </w:r>
    </w:p>
    <w:p>
      <w:pPr>
        <w:spacing w:after="0" w:line="226"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AAL-LA-2100530</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color w:val="auto"/>
        </w:rPr>
        <w:t>AAL-PA-3219-2300600</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ind w:left="140"/>
        <w:spacing w:after="0"/>
        <w:tabs>
          <w:tab w:leader="none" w:pos="4260" w:val="left"/>
        </w:tabs>
        <w:rPr>
          <w:sz w:val="20"/>
          <w:szCs w:val="20"/>
          <w:color w:val="auto"/>
        </w:rPr>
      </w:pPr>
      <w:r>
        <w:rPr>
          <w:rFonts w:ascii="Arial" w:cs="Arial" w:eastAsia="Arial" w:hAnsi="Arial"/>
          <w:sz w:val="22"/>
          <w:szCs w:val="22"/>
          <w:color w:val="auto"/>
        </w:rPr>
        <w:t>AAL-PA-03219-LA-2302901</w:t>
      </w:r>
      <w:r>
        <w:rPr>
          <w:sz w:val="20"/>
          <w:szCs w:val="20"/>
          <w:color w:val="auto"/>
        </w:rPr>
        <w:tab/>
      </w:r>
      <w:r>
        <w:rPr>
          <w:rFonts w:ascii="Arial" w:cs="Arial" w:eastAsia="Arial" w:hAnsi="Arial"/>
          <w:sz w:val="19"/>
          <w:szCs w:val="19"/>
          <w:color w:val="auto"/>
        </w:rPr>
        <w:t xml:space="preserve">Special </w:t>
      </w:r>
      <w:r>
        <w:rPr>
          <w:rFonts w:ascii="Arial" w:cs="Arial" w:eastAsia="Arial" w:hAnsi="Arial"/>
          <w:sz w:val="20"/>
          <w:szCs w:val="20"/>
          <w:color w:val="auto"/>
        </w:rPr>
        <w:t>M</w:t>
      </w:r>
      <w:r>
        <w:rPr>
          <w:rFonts w:ascii="Arial" w:cs="Arial" w:eastAsia="Arial" w:hAnsi="Arial"/>
          <w:sz w:val="19"/>
          <w:szCs w:val="19"/>
          <w:color w:val="auto"/>
        </w:rPr>
        <w:t xml:space="preserve">atters- </w:t>
      </w:r>
      <w:r>
        <w:rPr>
          <w:rFonts w:ascii="Arial" w:cs="Arial" w:eastAsia="Arial" w:hAnsi="Arial"/>
          <w:sz w:val="20"/>
          <w:szCs w:val="20"/>
          <w:color w:val="auto"/>
        </w:rPr>
        <w:t>[****]</w:t>
      </w:r>
    </w:p>
    <w:p>
      <w:pPr>
        <w:spacing w:after="0" w:line="227" w:lineRule="exact"/>
        <w:rPr>
          <w:sz w:val="20"/>
          <w:szCs w:val="20"/>
          <w:color w:val="auto"/>
        </w:rPr>
      </w:pPr>
    </w:p>
    <w:p>
      <w:pPr>
        <w:ind w:left="140"/>
        <w:spacing w:after="0"/>
        <w:tabs>
          <w:tab w:leader="none" w:pos="4320" w:val="left"/>
        </w:tabs>
        <w:rPr>
          <w:sz w:val="20"/>
          <w:szCs w:val="20"/>
          <w:color w:val="auto"/>
        </w:rPr>
      </w:pPr>
      <w:r>
        <w:rPr>
          <w:rFonts w:ascii="Arial" w:cs="Arial" w:eastAsia="Arial" w:hAnsi="Arial"/>
          <w:sz w:val="22"/>
          <w:szCs w:val="22"/>
          <w:b w:val="1"/>
          <w:bCs w:val="1"/>
          <w:color w:val="auto"/>
        </w:rPr>
        <w:t>AAL-PA-03219-LA-2303491</w:t>
      </w:r>
      <w:r>
        <w:rPr>
          <w:sz w:val="20"/>
          <w:szCs w:val="20"/>
          <w:color w:val="auto"/>
        </w:rPr>
        <w:tab/>
      </w:r>
      <w:r>
        <w:rPr>
          <w:rFonts w:ascii="Arial" w:cs="Arial" w:eastAsia="Arial" w:hAnsi="Arial"/>
          <w:sz w:val="21"/>
          <w:szCs w:val="21"/>
          <w:b w:val="1"/>
          <w:bCs w:val="1"/>
          <w:color w:val="auto"/>
        </w:rPr>
        <w:t xml:space="preserve">Special Matters – </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Table of Contents</w:t>
      </w:r>
      <w:r>
        <w:rPr>
          <w:sz w:val="20"/>
          <w:szCs w:val="20"/>
          <w:color w:val="auto"/>
        </w:rPr>
        <w:tab/>
      </w:r>
      <w:r>
        <w:rPr>
          <w:rFonts w:ascii="Arial" w:cs="Arial" w:eastAsia="Arial" w:hAnsi="Arial"/>
          <w:sz w:val="18"/>
          <w:szCs w:val="18"/>
          <w:color w:val="auto"/>
        </w:rPr>
        <w:t>Page 3</w:t>
      </w:r>
    </w:p>
    <w:p>
      <w:pPr>
        <w:jc w:val="right"/>
        <w:ind w:right="1660"/>
        <w:spacing w:after="0"/>
        <w:rPr>
          <w:sz w:val="20"/>
          <w:szCs w:val="20"/>
          <w:color w:val="auto"/>
        </w:rPr>
      </w:pPr>
      <w:r>
        <w:rPr>
          <w:rFonts w:ascii="Arial" w:cs="Arial" w:eastAsia="Arial" w:hAnsi="Arial"/>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22"/>
          <w:szCs w:val="22"/>
          <w:b w:val="1"/>
          <w:bCs w:val="1"/>
          <w:color w:val="auto"/>
        </w:rPr>
        <w:t>SA-20</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SA-11</w:t>
      </w:r>
    </w:p>
    <w:p>
      <w:pPr>
        <w:spacing w:after="0" w:line="12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SA-6</w:t>
      </w:r>
    </w:p>
    <w:p>
      <w:pPr>
        <w:spacing w:after="0" w:line="12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SA-3</w:t>
      </w:r>
    </w:p>
    <w:p>
      <w:pPr>
        <w:spacing w:after="0" w:line="12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SA-3</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SA-13</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SA-8</w:t>
      </w:r>
    </w:p>
    <w:p>
      <w:pPr>
        <w:spacing w:after="0" w:line="116"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SA-10</w:t>
      </w: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SA-20</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SA-12</w:t>
      </w:r>
    </w:p>
    <w:p>
      <w:pPr>
        <w:spacing w:after="0" w:line="260"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SA-11</w:t>
      </w:r>
    </w:p>
    <w:p>
      <w:pPr>
        <w:spacing w:after="0" w:line="233"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SA-15</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SA-20</w:t>
      </w:r>
    </w:p>
    <w:p>
      <w:pPr>
        <w:spacing w:after="0" w:line="226"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SA-16</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SA-18</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SA-19</w:t>
      </w:r>
    </w:p>
    <w:p>
      <w:pPr>
        <w:spacing w:after="0" w:line="227"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SA-20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19"/>
          <w:szCs w:val="19"/>
          <w:color w:val="auto"/>
        </w:rPr>
        <w:t>SA-20</w:t>
      </w:r>
    </w:p>
    <w:p>
      <w:pPr>
        <w:sectPr>
          <w:pgSz w:w="11900" w:h="16838" w:orient="portrait"/>
          <w:cols w:equalWidth="0" w:num="2">
            <w:col w:w="8520" w:space="720"/>
            <w:col w:w="2000"/>
          </w:cols>
          <w:pgMar w:left="320" w:top="321" w:right="33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22"/>
          <w:szCs w:val="22"/>
          <w:u w:val="single" w:color="auto"/>
          <w:color w:val="auto"/>
        </w:rPr>
        <w:t>ATTACHMENTS</w:t>
      </w:r>
    </w:p>
    <w:p>
      <w:pPr>
        <w:spacing w:after="0" w:line="220" w:lineRule="exact"/>
        <w:rPr>
          <w:sz w:val="20"/>
          <w:szCs w:val="20"/>
          <w:color w:val="auto"/>
        </w:rPr>
      </w:pPr>
    </w:p>
    <w:tbl>
      <w:tblPr>
        <w:tblLayout w:type="fixed"/>
        <w:tblInd w:w="140" w:type="dxa"/>
        <w:tblCellMar>
          <w:top w:w="0" w:type="dxa"/>
          <w:left w:w="0" w:type="dxa"/>
          <w:bottom w:w="0" w:type="dxa"/>
          <w:right w:w="0" w:type="dxa"/>
        </w:tblCellMar>
      </w:tblPr>
      <w:tr>
        <w:trPr>
          <w:trHeight w:val="274"/>
        </w:trPr>
        <w:tc>
          <w:tcPr>
            <w:tcW w:w="2380" w:type="dxa"/>
            <w:vAlign w:val="bottom"/>
          </w:tcPr>
          <w:p>
            <w:pPr>
              <w:spacing w:after="0"/>
              <w:rPr>
                <w:sz w:val="20"/>
                <w:szCs w:val="20"/>
                <w:color w:val="auto"/>
              </w:rPr>
            </w:pPr>
            <w:r>
              <w:rPr>
                <w:rFonts w:ascii="Arial" w:cs="Arial" w:eastAsia="Arial" w:hAnsi="Arial"/>
                <w:sz w:val="20"/>
                <w:szCs w:val="20"/>
                <w:color w:val="auto"/>
              </w:rPr>
              <w:t>Attachment 1</w:t>
            </w:r>
          </w:p>
        </w:tc>
        <w:tc>
          <w:tcPr>
            <w:tcW w:w="3680" w:type="dxa"/>
            <w:vAlign w:val="bottom"/>
          </w:tcPr>
          <w:p>
            <w:pPr>
              <w:ind w:left="1300"/>
              <w:spacing w:after="0"/>
              <w:rPr>
                <w:sz w:val="20"/>
                <w:szCs w:val="20"/>
                <w:color w:val="auto"/>
              </w:rPr>
            </w:pPr>
            <w:r>
              <w:rPr>
                <w:rFonts w:ascii="Arial" w:cs="Arial" w:eastAsia="Arial" w:hAnsi="Arial"/>
                <w:sz w:val="20"/>
                <w:szCs w:val="20"/>
                <w:color w:val="auto"/>
                <w:w w:val="97"/>
              </w:rPr>
              <w:t xml:space="preserve">Schedule for </w:t>
            </w:r>
            <w:r>
              <w:rPr>
                <w:rFonts w:ascii="Arial" w:cs="Arial" w:eastAsia="Arial" w:hAnsi="Arial"/>
                <w:sz w:val="21"/>
                <w:szCs w:val="21"/>
                <w:color w:val="auto"/>
                <w:w w:val="97"/>
              </w:rPr>
              <w:t>[****]</w:t>
            </w:r>
            <w:r>
              <w:rPr>
                <w:rFonts w:ascii="Arial" w:cs="Arial" w:eastAsia="Arial" w:hAnsi="Arial"/>
                <w:sz w:val="20"/>
                <w:szCs w:val="20"/>
                <w:color w:val="auto"/>
                <w:w w:val="97"/>
              </w:rPr>
              <w:t xml:space="preserve"> of 787-9</w:t>
            </w:r>
          </w:p>
        </w:tc>
        <w:tc>
          <w:tcPr>
            <w:tcW w:w="3000" w:type="dxa"/>
            <w:vAlign w:val="bottom"/>
          </w:tcPr>
          <w:p>
            <w:pPr>
              <w:ind w:left="20"/>
              <w:spacing w:after="0"/>
              <w:rPr>
                <w:sz w:val="20"/>
                <w:szCs w:val="20"/>
                <w:color w:val="auto"/>
              </w:rPr>
            </w:pPr>
            <w:r>
              <w:rPr>
                <w:rFonts w:ascii="Arial" w:cs="Arial" w:eastAsia="Arial" w:hAnsi="Arial"/>
                <w:sz w:val="20"/>
                <w:szCs w:val="20"/>
                <w:color w:val="auto"/>
              </w:rPr>
              <w:t>MADP Rights</w:t>
            </w:r>
          </w:p>
        </w:tc>
        <w:tc>
          <w:tcPr>
            <w:tcW w:w="1320" w:type="dxa"/>
            <w:vAlign w:val="bottom"/>
          </w:tcPr>
          <w:p>
            <w:pPr>
              <w:ind w:left="760"/>
              <w:spacing w:after="0"/>
              <w:rPr>
                <w:sz w:val="20"/>
                <w:szCs w:val="20"/>
                <w:color w:val="auto"/>
              </w:rPr>
            </w:pPr>
            <w:r>
              <w:rPr>
                <w:rFonts w:ascii="Arial" w:cs="Arial" w:eastAsia="Arial" w:hAnsi="Arial"/>
                <w:sz w:val="22"/>
                <w:szCs w:val="22"/>
                <w:color w:val="auto"/>
                <w:w w:val="88"/>
              </w:rPr>
              <w:t>SA-11</w:t>
            </w:r>
          </w:p>
        </w:tc>
      </w:tr>
      <w:tr>
        <w:trPr>
          <w:trHeight w:val="378"/>
        </w:trPr>
        <w:tc>
          <w:tcPr>
            <w:tcW w:w="2380" w:type="dxa"/>
            <w:vAlign w:val="bottom"/>
          </w:tcPr>
          <w:p>
            <w:pPr>
              <w:spacing w:after="0"/>
              <w:rPr>
                <w:sz w:val="20"/>
                <w:szCs w:val="20"/>
                <w:color w:val="auto"/>
              </w:rPr>
            </w:pPr>
            <w:r>
              <w:rPr>
                <w:rFonts w:ascii="Arial" w:cs="Arial" w:eastAsia="Arial" w:hAnsi="Arial"/>
                <w:sz w:val="20"/>
                <w:szCs w:val="20"/>
                <w:color w:val="auto"/>
              </w:rPr>
              <w:t>Attachment 2</w:t>
            </w:r>
          </w:p>
        </w:tc>
        <w:tc>
          <w:tcPr>
            <w:tcW w:w="3680" w:type="dxa"/>
            <w:vAlign w:val="bottom"/>
          </w:tcPr>
          <w:p>
            <w:pPr>
              <w:ind w:left="1300"/>
              <w:spacing w:after="0"/>
              <w:rPr>
                <w:sz w:val="20"/>
                <w:szCs w:val="20"/>
                <w:color w:val="auto"/>
              </w:rPr>
            </w:pPr>
            <w:r>
              <w:rPr>
                <w:rFonts w:ascii="Arial" w:cs="Arial" w:eastAsia="Arial" w:hAnsi="Arial"/>
                <w:sz w:val="20"/>
                <w:szCs w:val="20"/>
                <w:color w:val="auto"/>
                <w:w w:val="97"/>
              </w:rPr>
              <w:t xml:space="preserve">Schedule for </w:t>
            </w:r>
            <w:r>
              <w:rPr>
                <w:rFonts w:ascii="Arial" w:cs="Arial" w:eastAsia="Arial" w:hAnsi="Arial"/>
                <w:sz w:val="21"/>
                <w:szCs w:val="21"/>
                <w:color w:val="auto"/>
                <w:w w:val="97"/>
              </w:rPr>
              <w:t>[****]</w:t>
            </w:r>
            <w:r>
              <w:rPr>
                <w:rFonts w:ascii="Arial" w:cs="Arial" w:eastAsia="Arial" w:hAnsi="Arial"/>
                <w:sz w:val="20"/>
                <w:szCs w:val="20"/>
                <w:color w:val="auto"/>
                <w:w w:val="97"/>
              </w:rPr>
              <w:t xml:space="preserve"> of 787-9</w:t>
            </w:r>
          </w:p>
        </w:tc>
        <w:tc>
          <w:tcPr>
            <w:tcW w:w="3000" w:type="dxa"/>
            <w:vAlign w:val="bottom"/>
          </w:tcPr>
          <w:p>
            <w:pPr>
              <w:ind w:left="20"/>
              <w:spacing w:after="0"/>
              <w:rPr>
                <w:sz w:val="20"/>
                <w:szCs w:val="20"/>
                <w:color w:val="auto"/>
              </w:rPr>
            </w:pPr>
            <w:r>
              <w:rPr>
                <w:rFonts w:ascii="Arial" w:cs="Arial" w:eastAsia="Arial" w:hAnsi="Arial"/>
                <w:sz w:val="20"/>
                <w:szCs w:val="20"/>
                <w:color w:val="auto"/>
              </w:rPr>
              <w:t>QADP Rights</w:t>
            </w:r>
          </w:p>
        </w:tc>
        <w:tc>
          <w:tcPr>
            <w:tcW w:w="1320" w:type="dxa"/>
            <w:vAlign w:val="bottom"/>
          </w:tcPr>
          <w:p>
            <w:pPr>
              <w:ind w:left="760"/>
              <w:spacing w:after="0"/>
              <w:rPr>
                <w:sz w:val="20"/>
                <w:szCs w:val="20"/>
                <w:color w:val="auto"/>
              </w:rPr>
            </w:pPr>
            <w:r>
              <w:rPr>
                <w:rFonts w:ascii="Arial" w:cs="Arial" w:eastAsia="Arial" w:hAnsi="Arial"/>
                <w:sz w:val="22"/>
                <w:szCs w:val="22"/>
                <w:color w:val="auto"/>
                <w:w w:val="88"/>
              </w:rPr>
              <w:t>SA-11</w:t>
            </w:r>
          </w:p>
        </w:tc>
      </w:tr>
      <w:tr>
        <w:trPr>
          <w:trHeight w:val="378"/>
        </w:trPr>
        <w:tc>
          <w:tcPr>
            <w:tcW w:w="2380" w:type="dxa"/>
            <w:vAlign w:val="bottom"/>
          </w:tcPr>
          <w:p>
            <w:pPr>
              <w:spacing w:after="0"/>
              <w:rPr>
                <w:sz w:val="20"/>
                <w:szCs w:val="20"/>
                <w:color w:val="auto"/>
              </w:rPr>
            </w:pPr>
            <w:r>
              <w:rPr>
                <w:rFonts w:ascii="Arial" w:cs="Arial" w:eastAsia="Arial" w:hAnsi="Arial"/>
                <w:sz w:val="20"/>
                <w:szCs w:val="20"/>
                <w:color w:val="auto"/>
              </w:rPr>
              <w:t>Attachment 3</w:t>
            </w:r>
          </w:p>
        </w:tc>
        <w:tc>
          <w:tcPr>
            <w:tcW w:w="6680" w:type="dxa"/>
            <w:vAlign w:val="bottom"/>
            <w:gridSpan w:val="2"/>
          </w:tcPr>
          <w:p>
            <w:pPr>
              <w:ind w:left="1300"/>
              <w:spacing w:after="0"/>
              <w:rPr>
                <w:sz w:val="20"/>
                <w:szCs w:val="20"/>
                <w:color w:val="auto"/>
              </w:rPr>
            </w:pPr>
            <w:r>
              <w:rPr>
                <w:rFonts w:ascii="Arial" w:cs="Arial" w:eastAsia="Arial" w:hAnsi="Arial"/>
                <w:sz w:val="20"/>
                <w:szCs w:val="20"/>
                <w:color w:val="auto"/>
              </w:rPr>
              <w:t xml:space="preserve">787-9 Purchase Rights Aircraft </w:t>
            </w:r>
            <w:r>
              <w:rPr>
                <w:rFonts w:ascii="Arial" w:cs="Arial" w:eastAsia="Arial" w:hAnsi="Arial"/>
                <w:sz w:val="21"/>
                <w:szCs w:val="21"/>
                <w:color w:val="auto"/>
              </w:rPr>
              <w:t>[****]</w:t>
            </w:r>
            <w:r>
              <w:rPr>
                <w:rFonts w:ascii="Arial" w:cs="Arial" w:eastAsia="Arial" w:hAnsi="Arial"/>
                <w:sz w:val="20"/>
                <w:szCs w:val="20"/>
                <w:color w:val="auto"/>
              </w:rPr>
              <w:t xml:space="preserve"> Delivery Schedule</w:t>
            </w:r>
          </w:p>
        </w:tc>
        <w:tc>
          <w:tcPr>
            <w:tcW w:w="1320" w:type="dxa"/>
            <w:vAlign w:val="bottom"/>
          </w:tcPr>
          <w:p>
            <w:pPr>
              <w:ind w:left="760"/>
              <w:spacing w:after="0"/>
              <w:rPr>
                <w:sz w:val="20"/>
                <w:szCs w:val="20"/>
                <w:color w:val="auto"/>
              </w:rPr>
            </w:pPr>
            <w:r>
              <w:rPr>
                <w:rFonts w:ascii="Arial" w:cs="Arial" w:eastAsia="Arial" w:hAnsi="Arial"/>
                <w:sz w:val="22"/>
                <w:szCs w:val="22"/>
                <w:color w:val="auto"/>
                <w:w w:val="88"/>
              </w:rPr>
              <w:t>SA-11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19"/>
          <w:szCs w:val="19"/>
          <w:color w:val="auto"/>
        </w:rPr>
        <w:t>SA-20</w:t>
      </w:r>
    </w:p>
    <w:p>
      <w:pPr>
        <w:spacing w:after="0"/>
        <w:tabs>
          <w:tab w:leader="none" w:pos="2000" w:val="left"/>
        </w:tabs>
        <w:rPr>
          <w:sz w:val="20"/>
          <w:szCs w:val="20"/>
          <w:color w:val="auto"/>
        </w:rPr>
      </w:pPr>
      <w:r>
        <w:rPr>
          <w:rFonts w:ascii="Arial" w:cs="Arial" w:eastAsia="Arial" w:hAnsi="Arial"/>
          <w:sz w:val="22"/>
          <w:szCs w:val="22"/>
          <w:color w:val="auto"/>
        </w:rPr>
        <w:t>Table of Contents</w:t>
      </w:r>
      <w:r>
        <w:rPr>
          <w:sz w:val="20"/>
          <w:szCs w:val="20"/>
          <w:color w:val="auto"/>
        </w:rPr>
        <w:tab/>
      </w:r>
      <w:r>
        <w:rPr>
          <w:rFonts w:ascii="Arial" w:cs="Arial" w:eastAsia="Arial" w:hAnsi="Arial"/>
          <w:sz w:val="18"/>
          <w:szCs w:val="18"/>
          <w:color w:val="auto"/>
        </w:rPr>
        <w:t>Page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321" w:right="33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22"/>
          <w:szCs w:val="22"/>
          <w:b w:val="1"/>
          <w:bCs w:val="1"/>
          <w:color w:val="auto"/>
        </w:rPr>
        <w:t>Table 5(R4) To</w:t>
      </w:r>
    </w:p>
    <w:p>
      <w:pPr>
        <w:jc w:val="center"/>
        <w:ind w:right="20"/>
        <w:spacing w:after="0" w:line="204" w:lineRule="auto"/>
        <w:rPr>
          <w:sz w:val="20"/>
          <w:szCs w:val="20"/>
          <w:color w:val="auto"/>
        </w:rPr>
      </w:pPr>
      <w:r>
        <w:rPr>
          <w:rFonts w:ascii="Arial" w:cs="Arial" w:eastAsia="Arial" w:hAnsi="Arial"/>
          <w:sz w:val="22"/>
          <w:szCs w:val="22"/>
          <w:b w:val="1"/>
          <w:bCs w:val="1"/>
          <w:color w:val="auto"/>
        </w:rPr>
        <w:t>Purchase Agreement No. PA-03219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787-9 [****]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Airframe</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Detail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Model/MTOW:</w:t>
            </w: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787-9</w:t>
            </w:r>
          </w:p>
        </w:tc>
        <w:tc>
          <w:tcPr>
            <w:tcW w:w="8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6"/>
                <w:szCs w:val="16"/>
                <w:color w:val="auto"/>
              </w:rPr>
              <w:t>[****] pounds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w w:val="97"/>
              </w:rPr>
              <w:t>Specification: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color w:val="auto"/>
              </w:rPr>
              <w:t>GENX-</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Engine Model/Thrust:</w:t>
            </w:r>
          </w:p>
        </w:tc>
        <w:tc>
          <w:tcPr>
            <w:tcW w:w="88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1B74/75</w:t>
            </w:r>
          </w:p>
        </w:tc>
        <w:tc>
          <w:tcPr>
            <w:tcW w:w="1040" w:type="dxa"/>
            <w:vAlign w:val="bottom"/>
            <w:gridSpan w:val="2"/>
          </w:tcPr>
          <w:p>
            <w:pPr>
              <w:jc w:val="right"/>
              <w:ind w:right="39"/>
              <w:spacing w:after="0"/>
              <w:rPr>
                <w:sz w:val="20"/>
                <w:szCs w:val="20"/>
                <w:color w:val="auto"/>
              </w:rPr>
            </w:pPr>
            <w:r>
              <w:rPr>
                <w:rFonts w:ascii="Arial" w:cs="Arial" w:eastAsia="Arial" w:hAnsi="Arial"/>
                <w:sz w:val="16"/>
                <w:szCs w:val="16"/>
                <w:color w:val="auto"/>
              </w:rPr>
              <w:t>[****]pounds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20" w:type="dxa"/>
            <w:vAlign w:val="bottom"/>
            <w:gridSpan w:val="5"/>
          </w:tcPr>
          <w:p>
            <w:pPr>
              <w:spacing w:after="0"/>
              <w:rPr>
                <w:sz w:val="20"/>
                <w:szCs w:val="20"/>
                <w:color w:val="auto"/>
              </w:rPr>
            </w:pPr>
            <w:r>
              <w:rPr>
                <w:rFonts w:ascii="Arial" w:cs="Arial" w:eastAsia="Arial" w:hAnsi="Arial"/>
                <w:sz w:val="16"/>
                <w:szCs w:val="16"/>
                <w:b w:val="1"/>
                <w:bCs w:val="1"/>
                <w:color w:val="auto"/>
                <w:w w:val="91"/>
              </w:rPr>
              <w:t>Airframe Price Base Year/Escalation Formula:</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3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Airframe Price:</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20" w:type="dxa"/>
            <w:vAlign w:val="bottom"/>
            <w:gridSpan w:val="5"/>
          </w:tcPr>
          <w:p>
            <w:pPr>
              <w:spacing w:after="0"/>
              <w:rPr>
                <w:sz w:val="20"/>
                <w:szCs w:val="20"/>
                <w:color w:val="auto"/>
              </w:rPr>
            </w:pPr>
            <w:r>
              <w:rPr>
                <w:rFonts w:ascii="Arial" w:cs="Arial" w:eastAsia="Arial" w:hAnsi="Arial"/>
                <w:sz w:val="16"/>
                <w:szCs w:val="16"/>
                <w:b w:val="1"/>
                <w:bCs w:val="1"/>
                <w:color w:val="auto"/>
                <w:w w:val="94"/>
              </w:rPr>
              <w:t>Engine Price Base Year/Escalation Formula:</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3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w w:val="98"/>
              </w:rPr>
              <w:t>DAAL89-1-</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Optional Features: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color w:val="auto"/>
              </w:rPr>
              <w:t>{TBD]</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820" w:type="dxa"/>
            <w:vAlign w:val="bottom"/>
            <w:gridSpan w:val="4"/>
          </w:tcPr>
          <w:p>
            <w:pPr>
              <w:ind w:left="80"/>
              <w:spacing w:after="0" w:line="183" w:lineRule="exact"/>
              <w:rPr>
                <w:sz w:val="20"/>
                <w:szCs w:val="20"/>
                <w:color w:val="auto"/>
              </w:rPr>
            </w:pPr>
            <w:r>
              <w:rPr>
                <w:rFonts w:ascii="Arial" w:cs="Arial" w:eastAsia="Arial" w:hAnsi="Arial"/>
                <w:sz w:val="16"/>
                <w:szCs w:val="16"/>
                <w:b w:val="1"/>
                <w:bCs w:val="1"/>
                <w:color w:val="auto"/>
                <w:w w:val="99"/>
              </w:rPr>
              <w:t>Sub-Total of Airframe and Features:</w:t>
            </w:r>
          </w:p>
        </w:tc>
        <w:tc>
          <w:tcPr>
            <w:tcW w:w="10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gridSpan w:val="4"/>
          </w:tcPr>
          <w:p>
            <w:pPr>
              <w:spacing w:after="0" w:line="183" w:lineRule="exact"/>
              <w:rPr>
                <w:sz w:val="20"/>
                <w:szCs w:val="20"/>
                <w:color w:val="auto"/>
              </w:rPr>
            </w:pPr>
            <w:r>
              <w:rPr>
                <w:rFonts w:ascii="Arial" w:cs="Arial" w:eastAsia="Arial" w:hAnsi="Arial"/>
                <w:sz w:val="16"/>
                <w:szCs w:val="16"/>
                <w:b w:val="1"/>
                <w:bCs w:val="1"/>
                <w:color w:val="auto"/>
              </w:rPr>
              <w:t>Airframe Escalation Data:</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Engine Price (Per</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Aircraft):</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6"/>
                <w:szCs w:val="16"/>
                <w:b w:val="1"/>
                <w:bCs w:val="1"/>
                <w:color w:val="auto"/>
              </w:rPr>
              <w:t>Base Year Index (ECI):</w:t>
            </w:r>
          </w:p>
        </w:tc>
        <w:tc>
          <w:tcPr>
            <w:tcW w:w="10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20" w:type="dxa"/>
            <w:vAlign w:val="bottom"/>
            <w:gridSpan w:val="4"/>
          </w:tcPr>
          <w:p>
            <w:pPr>
              <w:ind w:left="80"/>
              <w:spacing w:after="0"/>
              <w:rPr>
                <w:sz w:val="20"/>
                <w:szCs w:val="20"/>
                <w:color w:val="auto"/>
              </w:rPr>
            </w:pPr>
            <w:r>
              <w:rPr>
                <w:rFonts w:ascii="Arial" w:cs="Arial" w:eastAsia="Arial" w:hAnsi="Arial"/>
                <w:sz w:val="16"/>
                <w:szCs w:val="16"/>
                <w:b w:val="1"/>
                <w:bCs w:val="1"/>
                <w:color w:val="auto"/>
              </w:rPr>
              <w:t>Aircraft Basic Price (Excluding</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BFE/SPE):</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6"/>
                <w:szCs w:val="16"/>
                <w:b w:val="1"/>
                <w:bCs w:val="1"/>
                <w:color w:val="auto"/>
              </w:rPr>
              <w:t>Base Year Index (CPI):</w:t>
            </w:r>
          </w:p>
        </w:tc>
        <w:tc>
          <w:tcPr>
            <w:tcW w:w="10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Buyer Furnished Equipment (BFE)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ind w:left="80"/>
              <w:spacing w:after="0" w:line="181" w:lineRule="exact"/>
              <w:rPr>
                <w:sz w:val="20"/>
                <w:szCs w:val="20"/>
                <w:color w:val="auto"/>
              </w:rPr>
            </w:pPr>
            <w:r>
              <w:rPr>
                <w:rFonts w:ascii="Arial" w:cs="Arial" w:eastAsia="Arial" w:hAnsi="Arial"/>
                <w:sz w:val="16"/>
                <w:szCs w:val="16"/>
                <w:b w:val="1"/>
                <w:bCs w:val="1"/>
                <w:color w:val="auto"/>
              </w:rPr>
              <w:t>Estimate:</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gridSpan w:val="4"/>
          </w:tcPr>
          <w:p>
            <w:pPr>
              <w:spacing w:after="0" w:line="181" w:lineRule="exact"/>
              <w:rPr>
                <w:sz w:val="20"/>
                <w:szCs w:val="20"/>
                <w:color w:val="auto"/>
              </w:rPr>
            </w:pPr>
            <w:r>
              <w:rPr>
                <w:rFonts w:ascii="Arial" w:cs="Arial" w:eastAsia="Arial" w:hAnsi="Arial"/>
                <w:sz w:val="16"/>
                <w:szCs w:val="16"/>
                <w:b w:val="1"/>
                <w:bCs w:val="1"/>
                <w:color w:val="auto"/>
              </w:rPr>
              <w:t>Engine Escalation Data:</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2820" w:type="dxa"/>
            <w:vAlign w:val="bottom"/>
            <w:gridSpan w:val="4"/>
          </w:tcPr>
          <w:p>
            <w:pPr>
              <w:ind w:left="80"/>
              <w:spacing w:after="0"/>
              <w:rPr>
                <w:sz w:val="20"/>
                <w:szCs w:val="20"/>
                <w:color w:val="auto"/>
              </w:rPr>
            </w:pPr>
            <w:r>
              <w:rPr>
                <w:rFonts w:ascii="Arial" w:cs="Arial" w:eastAsia="Arial" w:hAnsi="Arial"/>
                <w:sz w:val="16"/>
                <w:szCs w:val="16"/>
                <w:b w:val="1"/>
                <w:bCs w:val="1"/>
                <w:color w:val="auto"/>
              </w:rPr>
              <w:t>//Seller Purchased Equipment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gridSpan w:val="4"/>
          </w:tcPr>
          <w:p>
            <w:pPr>
              <w:ind w:left="80"/>
              <w:spacing w:after="0"/>
              <w:rPr>
                <w:sz w:val="20"/>
                <w:szCs w:val="20"/>
                <w:color w:val="auto"/>
              </w:rPr>
            </w:pPr>
            <w:r>
              <w:rPr>
                <w:rFonts w:ascii="Arial" w:cs="Arial" w:eastAsia="Arial" w:hAnsi="Arial"/>
                <w:sz w:val="16"/>
                <w:szCs w:val="16"/>
                <w:b w:val="1"/>
                <w:bCs w:val="1"/>
                <w:color w:val="auto"/>
              </w:rPr>
              <w:t>(SPE)/In-Flight Entertainment (IFE)//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Estimate:</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6"/>
                <w:szCs w:val="16"/>
                <w:b w:val="1"/>
                <w:bCs w:val="1"/>
                <w:color w:val="auto"/>
              </w:rPr>
              <w:t>Base Year Index (ECI):</w:t>
            </w:r>
          </w:p>
        </w:tc>
        <w:tc>
          <w:tcPr>
            <w:tcW w:w="10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20" w:type="dxa"/>
            <w:vAlign w:val="bottom"/>
            <w:gridSpan w:val="4"/>
          </w:tcPr>
          <w:p>
            <w:pPr>
              <w:ind w:left="80"/>
              <w:spacing w:after="0"/>
              <w:rPr>
                <w:sz w:val="20"/>
                <w:szCs w:val="20"/>
                <w:color w:val="auto"/>
              </w:rPr>
            </w:pPr>
            <w:r>
              <w:rPr>
                <w:rFonts w:ascii="Arial" w:cs="Arial" w:eastAsia="Arial" w:hAnsi="Arial"/>
                <w:sz w:val="16"/>
                <w:szCs w:val="16"/>
                <w:b w:val="1"/>
                <w:bCs w:val="1"/>
                <w:color w:val="auto"/>
              </w:rPr>
              <w:t>LIFT Seats Provided by Boeing</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80"/>
              <w:spacing w:after="0"/>
              <w:rPr>
                <w:sz w:val="20"/>
                <w:szCs w:val="20"/>
                <w:color w:val="auto"/>
              </w:rPr>
            </w:pPr>
            <w:r>
              <w:rPr>
                <w:rFonts w:ascii="Arial" w:cs="Arial" w:eastAsia="Arial" w:hAnsi="Arial"/>
                <w:sz w:val="16"/>
                <w:szCs w:val="16"/>
                <w:b w:val="1"/>
                <w:bCs w:val="1"/>
                <w:color w:val="auto"/>
              </w:rPr>
              <w:t>(Estimate):</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6"/>
                <w:szCs w:val="16"/>
                <w:b w:val="1"/>
                <w:bCs w:val="1"/>
                <w:color w:val="auto"/>
              </w:rPr>
              <w:t>Base Year Index (CPI):</w:t>
            </w:r>
          </w:p>
        </w:tc>
        <w:tc>
          <w:tcPr>
            <w:tcW w:w="10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Deposit per Aircraft:</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5"/>
        </w:trPr>
        <w:tc>
          <w:tcPr>
            <w:tcW w:w="1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4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shd w:val="clear" w:color="auto" w:fill="C0C0C0"/>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shd w:val="clear" w:color="auto" w:fill="C0C0C0"/>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Estimate</w:t>
            </w:r>
          </w:p>
        </w:tc>
        <w:tc>
          <w:tcPr>
            <w:tcW w:w="4980" w:type="dxa"/>
            <w:vAlign w:val="bottom"/>
            <w:tcBorders>
              <w:right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w w:val="95"/>
              </w:rPr>
              <w:t>Advance Payment Per Aircraft (Amts. Due/Mos. Prior to Delivery):</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b w:val="1"/>
                <w:bCs w:val="1"/>
                <w:color w:val="auto"/>
                <w:w w:val="89"/>
              </w:rPr>
              <w:t>Escalation</w:t>
            </w:r>
          </w:p>
        </w:tc>
        <w:tc>
          <w:tcPr>
            <w:tcW w:w="160" w:type="dxa"/>
            <w:vAlign w:val="bottom"/>
            <w:tcBorders>
              <w:right w:val="single" w:sz="8" w:color="auto"/>
            </w:tcBorders>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Escalation</w:t>
            </w:r>
          </w:p>
        </w:tc>
        <w:tc>
          <w:tcPr>
            <w:tcW w:w="120" w:type="dxa"/>
            <w:vAlign w:val="bottom"/>
            <w:tcBorders>
              <w:right w:val="single" w:sz="8" w:color="auto"/>
            </w:tcBorders>
          </w:tcPr>
          <w:p>
            <w:pPr>
              <w:spacing w:after="0"/>
              <w:rPr>
                <w:sz w:val="4"/>
                <w:szCs w:val="4"/>
                <w:color w:val="auto"/>
              </w:rPr>
            </w:pPr>
          </w:p>
        </w:tc>
        <w:tc>
          <w:tcPr>
            <w:tcW w:w="1240" w:type="dxa"/>
            <w:vAlign w:val="bottom"/>
            <w:tcBorders>
              <w:bottom w:val="single" w:sz="8" w:color="C0C0C0"/>
              <w:right w:val="single" w:sz="8" w:color="auto"/>
            </w:tcBorders>
            <w:shd w:val="clear" w:color="auto" w:fill="C0C0C0"/>
          </w:tcPr>
          <w:p>
            <w:pPr>
              <w:spacing w:after="0"/>
              <w:rPr>
                <w:sz w:val="4"/>
                <w:szCs w:val="4"/>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Adv Payment</w:t>
            </w: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shd w:val="clear" w:color="auto" w:fill="C0C0C0"/>
          </w:tcPr>
          <w:p>
            <w:pPr>
              <w:spacing w:after="0"/>
              <w:rPr>
                <w:sz w:val="17"/>
                <w:szCs w:val="17"/>
                <w:color w:val="auto"/>
              </w:rPr>
            </w:pPr>
          </w:p>
        </w:tc>
        <w:tc>
          <w:tcPr>
            <w:tcW w:w="1060" w:type="dxa"/>
            <w:vAlign w:val="bottom"/>
            <w:tcBorders>
              <w:right w:val="single" w:sz="8" w:color="auto"/>
            </w:tcBorders>
            <w:vMerge w:val="continue"/>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40" w:type="dxa"/>
            <w:vAlign w:val="bottom"/>
            <w:tcBorders>
              <w:left w:val="single" w:sz="8" w:color="auto"/>
              <w:right w:val="single" w:sz="8" w:color="auto"/>
            </w:tcBorders>
          </w:tcPr>
          <w:p>
            <w:pPr>
              <w:spacing w:after="0"/>
              <w:rPr>
                <w:sz w:val="13"/>
                <w:szCs w:val="13"/>
                <w:color w:val="auto"/>
              </w:rPr>
            </w:pP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Number of</w:t>
            </w:r>
          </w:p>
        </w:tc>
        <w:tc>
          <w:tcPr>
            <w:tcW w:w="880" w:type="dxa"/>
            <w:vAlign w:val="bottom"/>
            <w:gridSpan w:val="2"/>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shd w:val="clear" w:color="auto" w:fill="C0C0C0"/>
          </w:tcPr>
          <w:p>
            <w:pPr>
              <w:spacing w:after="0"/>
              <w:rPr>
                <w:sz w:val="13"/>
                <w:szCs w:val="13"/>
                <w:color w:val="auto"/>
              </w:rPr>
            </w:pPr>
          </w:p>
        </w:tc>
        <w:tc>
          <w:tcPr>
            <w:tcW w:w="10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3"/>
              </w:rPr>
              <w:t>Base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right w:val="single" w:sz="8" w:color="auto"/>
            </w:tcBorders>
            <w:vMerge w:val="restart"/>
          </w:tcPr>
          <w:p>
            <w:pPr>
              <w:ind w:left="120"/>
              <w:spacing w:after="0" w:line="162" w:lineRule="exact"/>
              <w:rPr>
                <w:sz w:val="20"/>
                <w:szCs w:val="20"/>
                <w:color w:val="auto"/>
              </w:rPr>
            </w:pPr>
            <w:r>
              <w:rPr>
                <w:rFonts w:ascii="Arial" w:cs="Arial" w:eastAsia="Arial" w:hAnsi="Arial"/>
                <w:sz w:val="16"/>
                <w:szCs w:val="16"/>
                <w:b w:val="1"/>
                <w:bCs w:val="1"/>
                <w:color w:val="auto"/>
              </w:rPr>
              <w:t>Delivery</w:t>
            </w:r>
          </w:p>
        </w:tc>
        <w:tc>
          <w:tcPr>
            <w:tcW w:w="900" w:type="dxa"/>
            <w:vAlign w:val="bottom"/>
            <w:tcBorders>
              <w:right w:val="single" w:sz="8" w:color="auto"/>
            </w:tcBorders>
            <w:vMerge w:val="continue"/>
          </w:tcPr>
          <w:p>
            <w:pPr>
              <w:spacing w:after="0"/>
              <w:rPr>
                <w:sz w:val="10"/>
                <w:szCs w:val="10"/>
                <w:color w:val="auto"/>
              </w:rPr>
            </w:pPr>
          </w:p>
        </w:tc>
        <w:tc>
          <w:tcPr>
            <w:tcW w:w="880" w:type="dxa"/>
            <w:vAlign w:val="bottom"/>
            <w:gridSpan w:val="2"/>
            <w:vMerge w:val="restart"/>
          </w:tcPr>
          <w:p>
            <w:pPr>
              <w:jc w:val="center"/>
              <w:ind w:left="19"/>
              <w:spacing w:after="0" w:line="162" w:lineRule="exact"/>
              <w:rPr>
                <w:sz w:val="20"/>
                <w:szCs w:val="20"/>
                <w:color w:val="auto"/>
              </w:rPr>
            </w:pPr>
            <w:r>
              <w:rPr>
                <w:rFonts w:ascii="Arial" w:cs="Arial" w:eastAsia="Arial" w:hAnsi="Arial"/>
                <w:sz w:val="16"/>
                <w:szCs w:val="16"/>
                <w:b w:val="1"/>
                <w:bCs w:val="1"/>
                <w:color w:val="auto"/>
                <w:w w:val="93"/>
              </w:rPr>
              <w:t>Factor</w:t>
            </w:r>
          </w:p>
        </w:tc>
        <w:tc>
          <w:tcPr>
            <w:tcW w:w="160" w:type="dxa"/>
            <w:vAlign w:val="bottom"/>
            <w:tcBorders>
              <w:right w:val="single" w:sz="8" w:color="auto"/>
            </w:tcBorders>
          </w:tcPr>
          <w:p>
            <w:pPr>
              <w:spacing w:after="0"/>
              <w:rPr>
                <w:sz w:val="10"/>
                <w:szCs w:val="10"/>
                <w:color w:val="auto"/>
              </w:rPr>
            </w:pPr>
          </w:p>
        </w:tc>
        <w:tc>
          <w:tcPr>
            <w:tcW w:w="880" w:type="dxa"/>
            <w:vAlign w:val="bottom"/>
            <w:vMerge w:val="restart"/>
          </w:tcPr>
          <w:p>
            <w:pPr>
              <w:jc w:val="center"/>
              <w:ind w:left="19"/>
              <w:spacing w:after="0" w:line="162" w:lineRule="exact"/>
              <w:rPr>
                <w:sz w:val="20"/>
                <w:szCs w:val="20"/>
                <w:color w:val="auto"/>
              </w:rPr>
            </w:pPr>
            <w:r>
              <w:rPr>
                <w:rFonts w:ascii="Arial" w:cs="Arial" w:eastAsia="Arial" w:hAnsi="Arial"/>
                <w:sz w:val="16"/>
                <w:szCs w:val="16"/>
                <w:b w:val="1"/>
                <w:bCs w:val="1"/>
                <w:color w:val="auto"/>
                <w:w w:val="93"/>
              </w:rPr>
              <w:t>Factor</w:t>
            </w:r>
          </w:p>
        </w:tc>
        <w:tc>
          <w:tcPr>
            <w:tcW w:w="12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shd w:val="clear" w:color="auto" w:fill="C0C0C0"/>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gridSpan w:val="3"/>
            <w:vMerge w:val="restart"/>
          </w:tcPr>
          <w:p>
            <w:pPr>
              <w:jc w:val="center"/>
              <w:ind w:right="40"/>
              <w:spacing w:after="0" w:line="162"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vMerge w:val="restart"/>
          </w:tcPr>
          <w:p>
            <w:pPr>
              <w:jc w:val="right"/>
              <w:ind w:right="179"/>
              <w:spacing w:after="0" w:line="162" w:lineRule="exact"/>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vMerge w:val="restart"/>
          </w:tcPr>
          <w:p>
            <w:pPr>
              <w:jc w:val="right"/>
              <w:ind w:right="69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1040" w:type="dxa"/>
            <w:vAlign w:val="bottom"/>
            <w:tcBorders>
              <w:left w:val="single" w:sz="8" w:color="auto"/>
              <w:right w:val="single" w:sz="8" w:color="auto"/>
            </w:tcBorders>
            <w:vMerge w:val="continue"/>
          </w:tcPr>
          <w:p>
            <w:pPr>
              <w:spacing w:after="0"/>
              <w:rPr>
                <w:sz w:val="4"/>
                <w:szCs w:val="4"/>
                <w:color w:val="auto"/>
              </w:rPr>
            </w:pPr>
          </w:p>
        </w:tc>
        <w:tc>
          <w:tcPr>
            <w:tcW w:w="900" w:type="dxa"/>
            <w:vAlign w:val="bottom"/>
            <w:tcBorders>
              <w:right w:val="single" w:sz="8" w:color="auto"/>
            </w:tcBorders>
            <w:vMerge w:val="restart"/>
          </w:tcPr>
          <w:p>
            <w:pPr>
              <w:jc w:val="right"/>
              <w:ind w:right="199"/>
              <w:spacing w:after="0"/>
              <w:rPr>
                <w:sz w:val="20"/>
                <w:szCs w:val="20"/>
                <w:color w:val="auto"/>
              </w:rPr>
            </w:pPr>
            <w:r>
              <w:rPr>
                <w:rFonts w:ascii="Arial" w:cs="Arial" w:eastAsia="Arial" w:hAnsi="Arial"/>
                <w:sz w:val="16"/>
                <w:szCs w:val="16"/>
                <w:b w:val="1"/>
                <w:bCs w:val="1"/>
                <w:color w:val="auto"/>
              </w:rPr>
              <w:t>Aircraft</w:t>
            </w:r>
          </w:p>
        </w:tc>
        <w:tc>
          <w:tcPr>
            <w:tcW w:w="880" w:type="dxa"/>
            <w:vAlign w:val="bottom"/>
            <w:gridSpan w:val="2"/>
            <w:vMerge w:val="continue"/>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shd w:val="clear" w:color="auto" w:fill="C0C0C0"/>
          </w:tcPr>
          <w:p>
            <w:pPr>
              <w:spacing w:after="0"/>
              <w:rPr>
                <w:sz w:val="4"/>
                <w:szCs w:val="4"/>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5"/>
              </w:rPr>
              <w:t>Price Per A/P</w:t>
            </w:r>
          </w:p>
        </w:tc>
        <w:tc>
          <w:tcPr>
            <w:tcW w:w="1140" w:type="dxa"/>
            <w:vAlign w:val="bottom"/>
            <w:tcBorders>
              <w:right w:val="single" w:sz="8" w:color="auto"/>
            </w:tcBorders>
            <w:gridSpan w:val="3"/>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940" w:type="dxa"/>
            <w:vAlign w:val="bottom"/>
            <w:tcBorders>
              <w:right w:val="single" w:sz="8" w:color="auto"/>
            </w:tcBorders>
            <w:vMerge w:val="continue"/>
          </w:tcPr>
          <w:p>
            <w:pPr>
              <w:spacing w:after="0"/>
              <w:rPr>
                <w:sz w:val="4"/>
                <w:szCs w:val="4"/>
                <w:color w:val="auto"/>
              </w:rPr>
            </w:pPr>
          </w:p>
        </w:tc>
        <w:tc>
          <w:tcPr>
            <w:tcW w:w="18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04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Date</w:t>
            </w:r>
          </w:p>
        </w:tc>
        <w:tc>
          <w:tcPr>
            <w:tcW w:w="900" w:type="dxa"/>
            <w:vAlign w:val="bottom"/>
            <w:tcBorders>
              <w:bottom w:val="single" w:sz="8" w:color="auto"/>
              <w:right w:val="single" w:sz="8" w:color="auto"/>
            </w:tcBorders>
            <w:vMerge w:val="continue"/>
          </w:tcPr>
          <w:p>
            <w:pPr>
              <w:spacing w:after="0"/>
              <w:rPr>
                <w:sz w:val="18"/>
                <w:szCs w:val="18"/>
                <w:color w:val="auto"/>
              </w:rPr>
            </w:pPr>
          </w:p>
        </w:tc>
        <w:tc>
          <w:tcPr>
            <w:tcW w:w="88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b w:val="1"/>
                <w:bCs w:val="1"/>
                <w:color w:val="auto"/>
                <w:w w:val="99"/>
              </w:rPr>
              <w:t>(Airframe)</w:t>
            </w:r>
          </w:p>
        </w:tc>
        <w:tc>
          <w:tcPr>
            <w:tcW w:w="1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(Engine)</w:t>
            </w:r>
          </w:p>
        </w:tc>
        <w:tc>
          <w:tcPr>
            <w:tcW w:w="1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shd w:val="clear" w:color="auto" w:fill="C0C0C0"/>
          </w:tcPr>
          <w:p>
            <w:pPr>
              <w:spacing w:after="0"/>
              <w:rPr>
                <w:sz w:val="18"/>
                <w:szCs w:val="18"/>
                <w:color w:val="auto"/>
              </w:rPr>
            </w:pPr>
          </w:p>
        </w:tc>
        <w:tc>
          <w:tcPr>
            <w:tcW w:w="1060" w:type="dxa"/>
            <w:vAlign w:val="bottom"/>
            <w:tcBorders>
              <w:bottom w:val="single" w:sz="8" w:color="auto"/>
              <w:right w:val="single" w:sz="8" w:color="auto"/>
            </w:tcBorders>
            <w:vMerge w:val="continue"/>
          </w:tcPr>
          <w:p>
            <w:pPr>
              <w:spacing w:after="0"/>
              <w:rPr>
                <w:sz w:val="18"/>
                <w:szCs w:val="18"/>
                <w:color w:val="auto"/>
              </w:rPr>
            </w:pPr>
          </w:p>
        </w:tc>
        <w:tc>
          <w:tcPr>
            <w:tcW w:w="114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[****]-2024</w:t>
            </w:r>
          </w:p>
        </w:tc>
        <w:tc>
          <w:tcPr>
            <w:tcW w:w="90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w:t>
            </w:r>
          </w:p>
        </w:tc>
        <w:tc>
          <w:tcPr>
            <w:tcW w:w="800" w:type="dxa"/>
            <w:vAlign w:val="bottom"/>
          </w:tcPr>
          <w:p>
            <w:pPr>
              <w:jc w:val="center"/>
              <w:ind w:lef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23"/>
                <w:szCs w:val="23"/>
                <w:color w:val="auto"/>
              </w:rPr>
            </w:pPr>
          </w:p>
        </w:tc>
        <w:tc>
          <w:tcPr>
            <w:tcW w:w="1240" w:type="dxa"/>
            <w:vAlign w:val="bottom"/>
            <w:tcBorders>
              <w:bottom w:val="single" w:sz="8" w:color="C0C0C0"/>
              <w:right w:val="single" w:sz="8" w:color="auto"/>
            </w:tcBorders>
            <w:shd w:val="clear" w:color="auto" w:fill="C0C0C0"/>
          </w:tcPr>
          <w:p>
            <w:pPr>
              <w:spacing w:after="0"/>
              <w:rPr>
                <w:sz w:val="23"/>
                <w:szCs w:val="23"/>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0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[****]-2024</w:t>
            </w:r>
          </w:p>
        </w:tc>
        <w:tc>
          <w:tcPr>
            <w:tcW w:w="90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1</w:t>
            </w:r>
          </w:p>
        </w:tc>
        <w:tc>
          <w:tcPr>
            <w:tcW w:w="800" w:type="dxa"/>
            <w:vAlign w:val="bottom"/>
            <w:tcBorders>
              <w:top w:val="single" w:sz="8" w:color="auto"/>
            </w:tcBorders>
          </w:tcPr>
          <w:p>
            <w:pPr>
              <w:jc w:val="center"/>
              <w:ind w:left="119"/>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10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[****]-2024</w:t>
            </w:r>
          </w:p>
        </w:tc>
        <w:tc>
          <w:tcPr>
            <w:tcW w:w="90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1</w:t>
            </w:r>
          </w:p>
        </w:tc>
        <w:tc>
          <w:tcPr>
            <w:tcW w:w="800" w:type="dxa"/>
            <w:vAlign w:val="bottom"/>
            <w:tcBorders>
              <w:top w:val="single" w:sz="8" w:color="auto"/>
            </w:tcBorders>
          </w:tcPr>
          <w:p>
            <w:pPr>
              <w:jc w:val="center"/>
              <w:ind w:left="119"/>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0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[****]-2025</w:t>
            </w:r>
          </w:p>
        </w:tc>
        <w:tc>
          <w:tcPr>
            <w:tcW w:w="90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2</w:t>
            </w:r>
          </w:p>
        </w:tc>
        <w:tc>
          <w:tcPr>
            <w:tcW w:w="800" w:type="dxa"/>
            <w:vAlign w:val="bottom"/>
            <w:tcBorders>
              <w:top w:val="single" w:sz="8" w:color="auto"/>
            </w:tcBorders>
          </w:tcPr>
          <w:p>
            <w:pPr>
              <w:jc w:val="center"/>
              <w:ind w:left="119"/>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[****]-2025</w:t>
            </w:r>
          </w:p>
        </w:tc>
        <w:tc>
          <w:tcPr>
            <w:tcW w:w="900" w:type="dxa"/>
            <w:vAlign w:val="bottom"/>
            <w:tcBorders>
              <w:top w:val="single" w:sz="8" w:color="auto"/>
              <w:right w:val="single" w:sz="8" w:color="auto"/>
            </w:tcBorders>
          </w:tcPr>
          <w:p>
            <w:pPr>
              <w:jc w:val="right"/>
              <w:ind w:right="339"/>
              <w:spacing w:after="0"/>
              <w:rPr>
                <w:sz w:val="20"/>
                <w:szCs w:val="20"/>
                <w:color w:val="auto"/>
              </w:rPr>
            </w:pPr>
            <w:r>
              <w:rPr>
                <w:rFonts w:ascii="Arial" w:cs="Arial" w:eastAsia="Arial" w:hAnsi="Arial"/>
                <w:sz w:val="16"/>
                <w:szCs w:val="16"/>
                <w:color w:val="auto"/>
              </w:rPr>
              <w:t>1</w:t>
            </w:r>
          </w:p>
        </w:tc>
        <w:tc>
          <w:tcPr>
            <w:tcW w:w="800" w:type="dxa"/>
            <w:vAlign w:val="bottom"/>
            <w:tcBorders>
              <w:top w:val="single" w:sz="8" w:color="auto"/>
            </w:tcBorders>
          </w:tcPr>
          <w:p>
            <w:pPr>
              <w:jc w:val="center"/>
              <w:ind w:left="119"/>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right w:val="single" w:sz="8" w:color="auto"/>
            </w:tcBorders>
          </w:tcPr>
          <w:p>
            <w:pPr>
              <w:spacing w:after="0"/>
              <w:rPr>
                <w:sz w:val="21"/>
                <w:szCs w:val="21"/>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bottom w:val="single" w:sz="8" w:color="C0C0C0"/>
              <w:right w:val="single" w:sz="8" w:color="auto"/>
            </w:tcBorders>
            <w:shd w:val="clear" w:color="auto" w:fill="C0C0C0"/>
          </w:tcPr>
          <w:p>
            <w:pPr>
              <w:spacing w:after="0"/>
              <w:rPr>
                <w:sz w:val="21"/>
                <w:szCs w:val="21"/>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86" w:right="31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AAL-PA-03219 121168-1F.txt BOEING PROPRIETARY</w:t>
      </w:r>
    </w:p>
    <w:p>
      <w:pPr>
        <w:ind w:left="900"/>
        <w:spacing w:after="0"/>
        <w:rPr>
          <w:sz w:val="20"/>
          <w:szCs w:val="20"/>
          <w:color w:val="auto"/>
        </w:rPr>
      </w:pPr>
      <w:r>
        <w:rPr>
          <w:rFonts w:ascii="Arial" w:cs="Arial" w:eastAsia="Arial" w:hAnsi="Arial"/>
          <w:sz w:val="16"/>
          <w:szCs w:val="16"/>
          <w:color w:val="auto"/>
        </w:rPr>
        <w:t>Page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SA-20 Table 5(R4)</w:t>
      </w:r>
    </w:p>
    <w:p>
      <w:pPr>
        <w:sectPr>
          <w:pgSz w:w="11900" w:h="16838" w:orient="portrait"/>
          <w:cols w:equalWidth="0" w:num="2">
            <w:col w:w="3960" w:space="720"/>
            <w:col w:w="6580"/>
          </w:cols>
          <w:pgMar w:left="320" w:top="86" w:right="319" w:bottom="1440" w:gutter="0" w:footer="0" w:header="0"/>
          <w:type w:val="continuous"/>
        </w:sectPr>
      </w:pPr>
    </w:p>
    <w:bookmarkStart w:id="121" w:name="page122"/>
    <w:bookmarkEnd w:id="121"/>
    <w:p>
      <w:pPr>
        <w:jc w:val="center"/>
        <w:ind w:right="-59"/>
        <w:spacing w:after="0"/>
        <w:rPr>
          <w:sz w:val="20"/>
          <w:szCs w:val="20"/>
          <w:color w:val="auto"/>
        </w:rPr>
      </w:pPr>
      <w:r>
        <w:rPr>
          <w:rFonts w:ascii="Arial" w:cs="Arial" w:eastAsia="Arial" w:hAnsi="Arial"/>
          <w:sz w:val="22"/>
          <w:szCs w:val="22"/>
          <w:b w:val="1"/>
          <w:bCs w:val="1"/>
          <w:color w:val="auto"/>
        </w:rPr>
        <w:t>Table 5(R4) To</w:t>
      </w:r>
    </w:p>
    <w:p>
      <w:pPr>
        <w:jc w:val="center"/>
        <w:ind w:right="-59"/>
        <w:spacing w:after="0" w:line="204" w:lineRule="auto"/>
        <w:rPr>
          <w:sz w:val="20"/>
          <w:szCs w:val="20"/>
          <w:color w:val="auto"/>
        </w:rPr>
      </w:pPr>
      <w:r>
        <w:rPr>
          <w:rFonts w:ascii="Arial" w:cs="Arial" w:eastAsia="Arial" w:hAnsi="Arial"/>
          <w:sz w:val="22"/>
          <w:szCs w:val="22"/>
          <w:b w:val="1"/>
          <w:bCs w:val="1"/>
          <w:color w:val="auto"/>
        </w:rPr>
        <w:t>Purchase Agreement No. PA-03219</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787-9 [****] Aircraft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00" w:type="dxa"/>
            <w:vAlign w:val="bottom"/>
            <w:tcBorders>
              <w:top w:val="single" w:sz="8" w:color="auto"/>
              <w:left w:val="single" w:sz="8" w:color="auto"/>
            </w:tcBorders>
          </w:tcPr>
          <w:p>
            <w:pPr>
              <w:spacing w:after="0"/>
              <w:rPr>
                <w:sz w:val="15"/>
                <w:szCs w:val="15"/>
                <w:color w:val="auto"/>
              </w:rPr>
            </w:pPr>
          </w:p>
        </w:tc>
        <w:tc>
          <w:tcPr>
            <w:tcW w:w="4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480" w:type="dxa"/>
            <w:vAlign w:val="bottom"/>
            <w:tcBorders>
              <w:top w:val="single" w:sz="8" w:color="auto"/>
            </w:tcBorders>
            <w:shd w:val="clear" w:color="auto" w:fill="C0C0C0"/>
          </w:tcPr>
          <w:p>
            <w:pPr>
              <w:spacing w:after="0"/>
              <w:rPr>
                <w:sz w:val="15"/>
                <w:szCs w:val="15"/>
                <w:color w:val="auto"/>
              </w:rPr>
            </w:pPr>
          </w:p>
        </w:tc>
        <w:tc>
          <w:tcPr>
            <w:tcW w:w="740" w:type="dxa"/>
            <w:vAlign w:val="bottom"/>
            <w:tcBorders>
              <w:top w:val="single" w:sz="8" w:color="auto"/>
              <w:right w:val="single" w:sz="8" w:color="auto"/>
            </w:tcBorders>
            <w:shd w:val="clear" w:color="auto" w:fill="C0C0C0"/>
          </w:tcPr>
          <w:p>
            <w:pPr>
              <w:spacing w:after="0"/>
              <w:rPr>
                <w:sz w:val="15"/>
                <w:szCs w:val="15"/>
                <w:color w:val="auto"/>
              </w:rPr>
            </w:pPr>
          </w:p>
        </w:tc>
        <w:tc>
          <w:tcPr>
            <w:tcW w:w="11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89"/>
              </w:rPr>
              <w:t>Escalation</w:t>
            </w:r>
          </w:p>
        </w:tc>
        <w:tc>
          <w:tcPr>
            <w:tcW w:w="5020" w:type="dxa"/>
            <w:vAlign w:val="bottom"/>
            <w:tcBorders>
              <w:top w:val="single" w:sz="8" w:color="auto"/>
              <w:right w:val="single" w:sz="8" w:color="auto"/>
            </w:tcBorders>
            <w:gridSpan w:val="4"/>
            <w:vMerge w:val="restart"/>
          </w:tcPr>
          <w:p>
            <w:pPr>
              <w:ind w:left="140"/>
              <w:spacing w:after="0"/>
              <w:rPr>
                <w:sz w:val="20"/>
                <w:szCs w:val="20"/>
                <w:color w:val="auto"/>
              </w:rPr>
            </w:pPr>
            <w:r>
              <w:rPr>
                <w:rFonts w:ascii="Arial" w:cs="Arial" w:eastAsia="Arial" w:hAnsi="Arial"/>
                <w:sz w:val="16"/>
                <w:szCs w:val="16"/>
                <w:b w:val="1"/>
                <w:bCs w:val="1"/>
                <w:color w:val="auto"/>
                <w:w w:val="97"/>
              </w:rPr>
              <w:t>Advance Payment Per Aircraft (Amts. Due/Mos. Prior to Delivery):</w:t>
            </w:r>
          </w:p>
        </w:tc>
        <w:tc>
          <w:tcPr>
            <w:tcW w:w="0" w:type="dxa"/>
            <w:vAlign w:val="bottom"/>
          </w:tcPr>
          <w:p>
            <w:pPr>
              <w:spacing w:after="0"/>
              <w:rPr>
                <w:sz w:val="1"/>
                <w:szCs w:val="1"/>
                <w:color w:val="auto"/>
              </w:rPr>
            </w:pPr>
          </w:p>
        </w:tc>
      </w:tr>
      <w:tr>
        <w:trPr>
          <w:trHeight w:val="102"/>
        </w:trPr>
        <w:tc>
          <w:tcPr>
            <w:tcW w:w="900" w:type="dxa"/>
            <w:vAlign w:val="bottom"/>
            <w:tcBorders>
              <w:lef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restart"/>
          </w:tcPr>
          <w:p>
            <w:pPr>
              <w:ind w:left="60"/>
              <w:spacing w:after="0" w:line="148" w:lineRule="exact"/>
              <w:rPr>
                <w:sz w:val="20"/>
                <w:szCs w:val="20"/>
                <w:color w:val="auto"/>
              </w:rPr>
            </w:pPr>
            <w:r>
              <w:rPr>
                <w:rFonts w:ascii="Arial" w:cs="Arial" w:eastAsia="Arial" w:hAnsi="Arial"/>
                <w:sz w:val="16"/>
                <w:szCs w:val="16"/>
                <w:b w:val="1"/>
                <w:bCs w:val="1"/>
                <w:color w:val="auto"/>
                <w:w w:val="94"/>
              </w:rPr>
              <w:t>Number of</w:t>
            </w:r>
          </w:p>
        </w:tc>
        <w:tc>
          <w:tcPr>
            <w:tcW w:w="100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6"/>
                <w:szCs w:val="16"/>
                <w:b w:val="1"/>
                <w:bCs w:val="1"/>
                <w:color w:val="auto"/>
                <w:w w:val="89"/>
              </w:rPr>
              <w:t>Escalation</w:t>
            </w:r>
          </w:p>
        </w:tc>
        <w:tc>
          <w:tcPr>
            <w:tcW w:w="104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6"/>
                <w:szCs w:val="16"/>
                <w:b w:val="1"/>
                <w:bCs w:val="1"/>
                <w:color w:val="auto"/>
                <w:w w:val="89"/>
              </w:rPr>
              <w:t>Escalation</w:t>
            </w:r>
          </w:p>
        </w:tc>
        <w:tc>
          <w:tcPr>
            <w:tcW w:w="480" w:type="dxa"/>
            <w:vAlign w:val="bottom"/>
            <w:shd w:val="clear" w:color="auto" w:fill="C0C0C0"/>
          </w:tcPr>
          <w:p>
            <w:pPr>
              <w:spacing w:after="0"/>
              <w:rPr>
                <w:sz w:val="8"/>
                <w:szCs w:val="8"/>
                <w:color w:val="auto"/>
              </w:rPr>
            </w:pPr>
          </w:p>
        </w:tc>
        <w:tc>
          <w:tcPr>
            <w:tcW w:w="740" w:type="dxa"/>
            <w:vAlign w:val="bottom"/>
            <w:tcBorders>
              <w:right w:val="single" w:sz="8" w:color="auto"/>
            </w:tcBorders>
            <w:shd w:val="clear" w:color="auto" w:fill="C0C0C0"/>
          </w:tcPr>
          <w:p>
            <w:pPr>
              <w:spacing w:after="0"/>
              <w:rPr>
                <w:sz w:val="8"/>
                <w:szCs w:val="8"/>
                <w:color w:val="auto"/>
              </w:rPr>
            </w:pPr>
          </w:p>
        </w:tc>
        <w:tc>
          <w:tcPr>
            <w:tcW w:w="110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6"/>
                <w:szCs w:val="16"/>
                <w:b w:val="1"/>
                <w:bCs w:val="1"/>
                <w:color w:val="auto"/>
                <w:w w:val="89"/>
              </w:rPr>
              <w:t>Estimate</w:t>
            </w:r>
          </w:p>
        </w:tc>
        <w:tc>
          <w:tcPr>
            <w:tcW w:w="502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900" w:type="dxa"/>
            <w:vAlign w:val="bottom"/>
            <w:tcBorders>
              <w:left w:val="single" w:sz="8" w:color="auto"/>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480" w:type="dxa"/>
            <w:vAlign w:val="bottom"/>
            <w:tcBorders>
              <w:bottom w:val="single" w:sz="8" w:color="C0C0C0"/>
            </w:tcBorders>
            <w:shd w:val="clear" w:color="auto" w:fill="C0C0C0"/>
          </w:tcPr>
          <w:p>
            <w:pPr>
              <w:spacing w:after="0"/>
              <w:rPr>
                <w:sz w:val="4"/>
                <w:szCs w:val="4"/>
                <w:color w:val="auto"/>
              </w:rPr>
            </w:pPr>
          </w:p>
        </w:tc>
        <w:tc>
          <w:tcPr>
            <w:tcW w:w="740" w:type="dxa"/>
            <w:vAlign w:val="bottom"/>
            <w:tcBorders>
              <w:bottom w:val="single" w:sz="8" w:color="C0C0C0"/>
              <w:right w:val="single" w:sz="8" w:color="auto"/>
            </w:tcBorders>
            <w:shd w:val="clear" w:color="auto" w:fill="C0C0C0"/>
          </w:tcPr>
          <w:p>
            <w:pPr>
              <w:spacing w:after="0"/>
              <w:rPr>
                <w:sz w:val="4"/>
                <w:szCs w:val="4"/>
                <w:color w:val="auto"/>
              </w:rPr>
            </w:pPr>
          </w:p>
        </w:tc>
        <w:tc>
          <w:tcPr>
            <w:tcW w:w="1100" w:type="dxa"/>
            <w:vAlign w:val="bottom"/>
            <w:tcBorders>
              <w:right w:val="single" w:sz="8" w:color="auto"/>
            </w:tcBorders>
            <w:vMerge w:val="continue"/>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900" w:type="dxa"/>
            <w:vAlign w:val="bottom"/>
            <w:tcBorders>
              <w:left w:val="single" w:sz="8" w:color="auto"/>
            </w:tcBorders>
          </w:tcPr>
          <w:p>
            <w:pPr>
              <w:ind w:left="120"/>
              <w:spacing w:after="0" w:line="155" w:lineRule="exact"/>
              <w:rPr>
                <w:sz w:val="20"/>
                <w:szCs w:val="20"/>
                <w:color w:val="auto"/>
              </w:rPr>
            </w:pPr>
            <w:r>
              <w:rPr>
                <w:rFonts w:ascii="Arial" w:cs="Arial" w:eastAsia="Arial" w:hAnsi="Arial"/>
                <w:sz w:val="16"/>
                <w:szCs w:val="16"/>
                <w:b w:val="1"/>
                <w:bCs w:val="1"/>
                <w:color w:val="auto"/>
              </w:rPr>
              <w:t>Delivery</w:t>
            </w:r>
          </w:p>
        </w:tc>
        <w:tc>
          <w:tcPr>
            <w:tcW w:w="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8"/>
              </w:rPr>
              <w:t>Aircraft</w:t>
            </w:r>
          </w:p>
        </w:tc>
        <w:tc>
          <w:tcPr>
            <w:tcW w:w="10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3"/>
              </w:rPr>
              <w:t>Factor</w:t>
            </w:r>
          </w:p>
        </w:tc>
        <w:tc>
          <w:tcPr>
            <w:tcW w:w="10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3"/>
              </w:rPr>
              <w:t>Factor</w:t>
            </w:r>
          </w:p>
        </w:tc>
        <w:tc>
          <w:tcPr>
            <w:tcW w:w="480" w:type="dxa"/>
            <w:vAlign w:val="bottom"/>
            <w:shd w:val="clear" w:color="auto" w:fill="C0C0C0"/>
          </w:tcPr>
          <w:p>
            <w:pPr>
              <w:spacing w:after="0"/>
              <w:rPr>
                <w:sz w:val="13"/>
                <w:szCs w:val="13"/>
                <w:color w:val="auto"/>
              </w:rPr>
            </w:pPr>
          </w:p>
        </w:tc>
        <w:tc>
          <w:tcPr>
            <w:tcW w:w="740" w:type="dxa"/>
            <w:vAlign w:val="bottom"/>
            <w:tcBorders>
              <w:right w:val="single" w:sz="8" w:color="auto"/>
            </w:tcBorders>
            <w:shd w:val="clear" w:color="auto" w:fill="C0C0C0"/>
          </w:tcPr>
          <w:p>
            <w:pPr>
              <w:spacing w:after="0"/>
              <w:rPr>
                <w:sz w:val="13"/>
                <w:szCs w:val="13"/>
                <w:color w:val="auto"/>
              </w:rPr>
            </w:pPr>
          </w:p>
        </w:tc>
        <w:tc>
          <w:tcPr>
            <w:tcW w:w="11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2"/>
              </w:rPr>
              <w:t>Adv Payment</w:t>
            </w:r>
          </w:p>
        </w:tc>
        <w:tc>
          <w:tcPr>
            <w:tcW w:w="11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ind w:left="740"/>
              <w:spacing w:after="0" w:line="15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9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4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vMerge w:val="continue"/>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(Airframe)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(Engine)</w:t>
            </w:r>
          </w:p>
        </w:tc>
        <w:tc>
          <w:tcPr>
            <w:tcW w:w="480" w:type="dxa"/>
            <w:vAlign w:val="bottom"/>
            <w:tcBorders>
              <w:bottom w:val="single" w:sz="8" w:color="auto"/>
            </w:tcBorders>
            <w:shd w:val="clear" w:color="auto" w:fill="C0C0C0"/>
          </w:tcPr>
          <w:p>
            <w:pPr>
              <w:spacing w:after="0"/>
              <w:rPr>
                <w:sz w:val="18"/>
                <w:szCs w:val="18"/>
                <w:color w:val="auto"/>
              </w:rPr>
            </w:pPr>
          </w:p>
        </w:tc>
        <w:tc>
          <w:tcPr>
            <w:tcW w:w="740" w:type="dxa"/>
            <w:vAlign w:val="bottom"/>
            <w:tcBorders>
              <w:bottom w:val="single" w:sz="8" w:color="auto"/>
              <w:right w:val="single" w:sz="8" w:color="auto"/>
            </w:tcBorders>
            <w:shd w:val="clear" w:color="auto" w:fill="C0C0C0"/>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Base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900" w:type="dxa"/>
            <w:vAlign w:val="bottom"/>
            <w:tcBorders>
              <w:left w:val="single" w:sz="8" w:color="auto"/>
            </w:tcBorders>
          </w:tcPr>
          <w:p>
            <w:pPr>
              <w:jc w:val="center"/>
              <w:spacing w:after="0"/>
              <w:rPr>
                <w:sz w:val="20"/>
                <w:szCs w:val="20"/>
                <w:color w:val="auto"/>
              </w:rPr>
            </w:pPr>
            <w:r>
              <w:rPr>
                <w:rFonts w:ascii="Arial" w:cs="Arial" w:eastAsia="Arial" w:hAnsi="Arial"/>
                <w:sz w:val="16"/>
                <w:szCs w:val="16"/>
                <w:color w:val="auto"/>
              </w:rPr>
              <w:t>[****]-2026</w:t>
            </w:r>
          </w:p>
        </w:tc>
        <w:tc>
          <w:tcPr>
            <w:tcW w:w="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0C0C0"/>
            </w:tcBorders>
            <w:shd w:val="clear" w:color="auto" w:fill="C0C0C0"/>
          </w:tcPr>
          <w:p>
            <w:pPr>
              <w:spacing w:after="0"/>
              <w:rPr>
                <w:sz w:val="23"/>
                <w:szCs w:val="23"/>
                <w:color w:val="auto"/>
              </w:rPr>
            </w:pPr>
          </w:p>
        </w:tc>
        <w:tc>
          <w:tcPr>
            <w:tcW w:w="740" w:type="dxa"/>
            <w:vAlign w:val="bottom"/>
            <w:tcBorders>
              <w:bottom w:val="single" w:sz="8" w:color="C0C0C0"/>
              <w:right w:val="single" w:sz="8" w:color="auto"/>
            </w:tcBorders>
            <w:shd w:val="clear" w:color="auto" w:fill="C0C0C0"/>
          </w:tcPr>
          <w:p>
            <w:pPr>
              <w:spacing w:after="0"/>
              <w:rPr>
                <w:sz w:val="23"/>
                <w:szCs w:val="23"/>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[****]-2026</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[****]-2026</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[****]-2026</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[****]-2027</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[****]-2027</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[****]-2027</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[****]-2027</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[****]-2028</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[****]-2028</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[****]-2028</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[****]-2028</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[****]-2029</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[****]-2029</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[****]-2029</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90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6"/>
                <w:szCs w:val="16"/>
                <w:color w:val="auto"/>
              </w:rPr>
              <w:t>[****]-2029</w:t>
            </w:r>
          </w:p>
        </w:tc>
        <w:tc>
          <w:tcPr>
            <w:tcW w:w="40" w:type="dxa"/>
            <w:vAlign w:val="bottom"/>
            <w:tcBorders>
              <w:top w:val="single" w:sz="8" w:color="auto"/>
              <w:right w:val="single" w:sz="8" w:color="auto"/>
            </w:tcBorders>
          </w:tcPr>
          <w:p>
            <w:pPr>
              <w:spacing w:after="0"/>
              <w:rPr>
                <w:sz w:val="22"/>
                <w:szCs w:val="22"/>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C0C0C0"/>
            </w:tcBorders>
            <w:shd w:val="clear" w:color="auto" w:fill="C0C0C0"/>
          </w:tcPr>
          <w:p>
            <w:pPr>
              <w:spacing w:after="0"/>
              <w:rPr>
                <w:sz w:val="22"/>
                <w:szCs w:val="22"/>
                <w:color w:val="auto"/>
              </w:rPr>
            </w:pPr>
          </w:p>
        </w:tc>
        <w:tc>
          <w:tcPr>
            <w:tcW w:w="74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Total:</w:t>
            </w:r>
          </w:p>
        </w:tc>
        <w:tc>
          <w:tcPr>
            <w:tcW w:w="9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9"/>
              </w:rPr>
              <w:t>25</w:t>
            </w:r>
          </w:p>
        </w:tc>
        <w:tc>
          <w:tcPr>
            <w:tcW w:w="10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900" w:type="dxa"/>
            <w:vAlign w:val="bottom"/>
          </w:tcPr>
          <w:p>
            <w:pPr>
              <w:jc w:val="center"/>
              <w:spacing w:after="0"/>
              <w:rPr>
                <w:sz w:val="20"/>
                <w:szCs w:val="20"/>
                <w:color w:val="auto"/>
              </w:rPr>
            </w:pPr>
            <w:r>
              <w:rPr>
                <w:rFonts w:ascii="Arial" w:cs="Arial" w:eastAsia="Arial" w:hAnsi="Arial"/>
                <w:sz w:val="16"/>
                <w:szCs w:val="16"/>
                <w:color w:val="auto"/>
              </w:rPr>
              <w:t>Note: [****]</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5"/>
        </w:trPr>
        <w:tc>
          <w:tcPr>
            <w:tcW w:w="4320" w:type="dxa"/>
            <w:vAlign w:val="bottom"/>
            <w:gridSpan w:val="6"/>
          </w:tcPr>
          <w:p>
            <w:pPr>
              <w:spacing w:after="0"/>
              <w:rPr>
                <w:sz w:val="20"/>
                <w:szCs w:val="20"/>
                <w:color w:val="auto"/>
              </w:rPr>
            </w:pPr>
            <w:r>
              <w:rPr>
                <w:rFonts w:ascii="Arial" w:cs="Arial" w:eastAsia="Arial" w:hAnsi="Arial"/>
                <w:sz w:val="16"/>
                <w:szCs w:val="16"/>
                <w:color w:val="auto"/>
              </w:rPr>
              <w:t>AAL-PA-03219 121168-1F.txt BOEING PROPRIETARY</w:t>
            </w:r>
          </w:p>
        </w:tc>
        <w:tc>
          <w:tcPr>
            <w:tcW w:w="1840" w:type="dxa"/>
            <w:vAlign w:val="bottom"/>
            <w:gridSpan w:val="2"/>
          </w:tcPr>
          <w:p>
            <w:pPr>
              <w:ind w:left="360"/>
              <w:spacing w:after="0"/>
              <w:rPr>
                <w:sz w:val="20"/>
                <w:szCs w:val="20"/>
                <w:color w:val="auto"/>
              </w:rPr>
            </w:pPr>
            <w:r>
              <w:rPr>
                <w:rFonts w:ascii="Arial" w:cs="Arial" w:eastAsia="Arial" w:hAnsi="Arial"/>
                <w:sz w:val="16"/>
                <w:szCs w:val="16"/>
                <w:color w:val="auto"/>
              </w:rPr>
              <w:t>SA-20 Table 5(R4)</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0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6"/>
                <w:szCs w:val="16"/>
                <w:color w:val="auto"/>
              </w:rPr>
              <w:t>Page 2</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86" w:right="399" w:bottom="1440" w:gutter="0" w:footer="0" w:header="0"/>
        </w:sectPr>
      </w:pPr>
    </w:p>
    <w:bookmarkStart w:id="122" w:name="page123"/>
    <w:bookmarkEnd w:id="122"/>
    <w:p>
      <w:pPr>
        <w:ind w:left="3620"/>
        <w:spacing w:after="0"/>
        <w:rPr>
          <w:sz w:val="20"/>
          <w:szCs w:val="20"/>
          <w:color w:val="auto"/>
        </w:rPr>
      </w:pPr>
      <w:r>
        <w:rPr>
          <w:rFonts w:ascii="Arial" w:cs="Arial" w:eastAsia="Arial" w:hAnsi="Arial"/>
          <w:sz w:val="18"/>
          <w:szCs w:val="18"/>
          <w:color w:val="808080"/>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-101600</wp:posOffset>
            </wp:positionV>
            <wp:extent cx="1560195" cy="3600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ind w:left="3620"/>
        <w:spacing w:after="0" w:line="219" w:lineRule="auto"/>
        <w:rPr>
          <w:sz w:val="20"/>
          <w:szCs w:val="20"/>
          <w:color w:val="auto"/>
        </w:rPr>
      </w:pPr>
      <w:r>
        <w:rPr>
          <w:rFonts w:ascii="Arial" w:cs="Arial" w:eastAsia="Arial" w:hAnsi="Arial"/>
          <w:sz w:val="18"/>
          <w:szCs w:val="18"/>
          <w:color w:val="808080"/>
        </w:rPr>
        <w:t>P.O. Box 3707</w:t>
      </w:r>
    </w:p>
    <w:p>
      <w:pPr>
        <w:ind w:left="3620"/>
        <w:spacing w:after="0"/>
        <w:rPr>
          <w:sz w:val="20"/>
          <w:szCs w:val="20"/>
          <w:color w:val="auto"/>
        </w:rPr>
      </w:pPr>
      <w:r>
        <w:rPr>
          <w:rFonts w:ascii="Arial" w:cs="Arial" w:eastAsia="Arial" w:hAnsi="Arial"/>
          <w:sz w:val="18"/>
          <w:szCs w:val="18"/>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AAL-PA-03219-LA-2303491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190"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Special Matters – [****]</w:t>
      </w:r>
    </w:p>
    <w:p>
      <w:pPr>
        <w:spacing w:after="0" w:line="22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Reference:</w:t>
        <w:tab/>
        <w:t>Purchase Agreement No. PA-3219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w:t>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787-9 aircraft (</w:t>
      </w:r>
      <w:r>
        <w:rPr>
          <w:rFonts w:ascii="Arial" w:cs="Arial" w:eastAsia="Arial" w:hAnsi="Arial"/>
          <w:sz w:val="22"/>
          <w:szCs w:val="22"/>
          <w:b w:val="1"/>
          <w:bCs w:val="1"/>
          <w:color w:val="auto"/>
        </w:rPr>
        <w:t>Aircraft</w:t>
      </w:r>
      <w:r>
        <w:rPr>
          <w:rFonts w:ascii="Arial" w:cs="Arial" w:eastAsia="Arial" w:hAnsi="Arial"/>
          <w:sz w:val="22"/>
          <w:szCs w:val="22"/>
          <w:color w:val="auto"/>
        </w:rPr>
        <w:t>)</w:t>
      </w:r>
    </w:p>
    <w:p>
      <w:pPr>
        <w:spacing w:after="0" w:line="32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will have the same meaning as in the Purchase Agreement.</w:t>
      </w:r>
    </w:p>
    <w:p>
      <w:pPr>
        <w:spacing w:after="0" w:line="2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2"/>
          <w:szCs w:val="22"/>
          <w:color w:val="auto"/>
        </w:rPr>
        <w:t>The terms and conditions described in this Letter Agreement are applicable only to the aircraft described in Section 1 below.</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w:t>
      </w:r>
    </w:p>
    <w:p>
      <w:pPr>
        <w:spacing w:after="0" w:line="247"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color w:val="auto"/>
        </w:rPr>
        <w:t>This Letter Agreement [****] ([****]) Aircraft [****] ([****]) and [****]. For avoidance of doubt, [****] under the Purchase Agreement. Attachment A of this Letter Agreement [****] ([****]) in column 2 and sets forth [****] ([****]) for the [****] in column 4. Additionally, Table 1-5R4 of the Purchase Agreement[****] of this Letter Agreement.</w:t>
      </w:r>
    </w:p>
    <w:p>
      <w:pPr>
        <w:spacing w:after="0" w:line="204"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3.1  The [****] for [****]. For the avoidance of doubt, Boeing [****] of the [****] for the [****] for the [****].</w:t>
      </w:r>
    </w:p>
    <w:p>
      <w:pPr>
        <w:spacing w:after="0" w:line="260"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22"/>
          <w:szCs w:val="22"/>
          <w:color w:val="auto"/>
        </w:rPr>
        <w:t>3.2 If the [****] of the [****], then [****] of the [****] from the [****] to the [****] the terms and conditions of the Purchase Agreement (that is, if the Purchase Agreement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99"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2"/>
          <w:szCs w:val="22"/>
          <w:color w:val="auto"/>
        </w:rPr>
        <w:t>3.3 The [****] of the [****] that are [****] and which are [****], pursuant to this Letter Agreement or pursuant to [****] to the [****]. If a [****] is [****] to [****], then the terms and conditions of the Purchase Agreement [****] described in this Section 3.3.</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 [****].</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AAL-PA-03219-LA-2303491</w:t>
      </w:r>
      <w:r>
        <w:rPr>
          <w:sz w:val="20"/>
          <w:szCs w:val="20"/>
          <w:color w:val="auto"/>
        </w:rPr>
        <w:tab/>
      </w:r>
      <w:r>
        <w:rPr>
          <w:rFonts w:ascii="Arial" w:cs="Arial" w:eastAsia="Arial" w:hAnsi="Arial"/>
          <w:sz w:val="21"/>
          <w:szCs w:val="21"/>
          <w:color w:val="auto"/>
        </w:rPr>
        <w:t>SA-20</w:t>
      </w:r>
    </w:p>
    <w:p>
      <w:pPr>
        <w:spacing w:after="0" w:line="214" w:lineRule="auto"/>
        <w:tabs>
          <w:tab w:leader="none" w:pos="2420" w:val="left"/>
        </w:tabs>
        <w:rPr>
          <w:sz w:val="20"/>
          <w:szCs w:val="20"/>
          <w:color w:val="auto"/>
        </w:rPr>
      </w:pPr>
      <w:r>
        <w:rPr>
          <w:rFonts w:ascii="Arial" w:cs="Arial" w:eastAsia="Arial" w:hAnsi="Arial"/>
          <w:sz w:val="22"/>
          <w:szCs w:val="22"/>
          <w:color w:val="auto"/>
        </w:rPr>
        <w:t>Special Matters – [****]</w:t>
      </w:r>
      <w:r>
        <w:rPr>
          <w:sz w:val="20"/>
          <w:szCs w:val="20"/>
          <w:color w:val="auto"/>
        </w:rPr>
        <w:tab/>
      </w:r>
      <w:r>
        <w:rPr>
          <w:rFonts w:ascii="Arial" w:cs="Arial" w:eastAsia="Arial" w:hAnsi="Arial"/>
          <w:sz w:val="21"/>
          <w:szCs w:val="21"/>
          <w:color w:val="auto"/>
        </w:rPr>
        <w:t>Page 1 of 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8" w:right="339" w:bottom="1440" w:gutter="0" w:footer="0" w:header="0"/>
        </w:sectPr>
      </w:pPr>
    </w:p>
    <w:bookmarkStart w:id="123" w:name="page124"/>
    <w:bookmarkEnd w:id="123"/>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120390" cy="3600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20390" cy="360045"/>
                    </a:xfrm>
                    <a:prstGeom prst="rect">
                      <a:avLst/>
                    </a:prstGeom>
                    <a:noFill/>
                  </pic:spPr>
                </pic:pic>
              </a:graphicData>
            </a:graphic>
          </wp:anchor>
        </w:drawing>
      </w:r>
    </w:p>
    <w:p>
      <w:pPr>
        <w:jc w:val="both"/>
        <w:ind w:firstLine="972"/>
        <w:spacing w:after="0" w:line="254" w:lineRule="auto"/>
        <w:rPr>
          <w:sz w:val="20"/>
          <w:szCs w:val="20"/>
          <w:color w:val="auto"/>
        </w:rPr>
      </w:pPr>
      <w:r>
        <w:rPr>
          <w:rFonts w:ascii="Arial" w:cs="Arial" w:eastAsia="Arial" w:hAnsi="Arial"/>
          <w:sz w:val="22"/>
          <w:szCs w:val="22"/>
          <w:color w:val="auto"/>
        </w:rPr>
        <w:t>[****] for the [****] are [****] by Customer per Letter Agreement 6-1162-CLO-1047R4 entitled “[****]</w:t>
      </w:r>
      <w:r>
        <w:rPr>
          <w:rFonts w:ascii="Arial" w:cs="Arial" w:eastAsia="Arial" w:hAnsi="Arial"/>
          <w:sz w:val="22"/>
          <w:szCs w:val="22"/>
          <w:u w:val="single" w:color="auto"/>
          <w:color w:val="auto"/>
        </w:rPr>
        <w:t>”</w:t>
      </w:r>
      <w:r>
        <w:rPr>
          <w:rFonts w:ascii="Arial" w:cs="Arial" w:eastAsia="Arial" w:hAnsi="Arial"/>
          <w:sz w:val="22"/>
          <w:szCs w:val="22"/>
          <w:color w:val="auto"/>
        </w:rPr>
        <w:t>. The [****] for the [****] will be [****] per the [****] as found on Table 1-5R4 [****] set forth in Section 3 of this Letter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 [****].</w:t>
      </w:r>
    </w:p>
    <w:p>
      <w:pPr>
        <w:spacing w:after="0" w:line="247" w:lineRule="exact"/>
        <w:rPr>
          <w:sz w:val="20"/>
          <w:szCs w:val="20"/>
          <w:color w:val="auto"/>
        </w:rPr>
      </w:pPr>
    </w:p>
    <w:p>
      <w:pPr>
        <w:jc w:val="both"/>
        <w:ind w:firstLine="972"/>
        <w:spacing w:after="0" w:line="251" w:lineRule="auto"/>
        <w:rPr>
          <w:sz w:val="20"/>
          <w:szCs w:val="20"/>
          <w:color w:val="auto"/>
        </w:rPr>
      </w:pPr>
      <w:r>
        <w:rPr>
          <w:rFonts w:ascii="Arial" w:cs="Arial" w:eastAsia="Arial" w:hAnsi="Arial"/>
          <w:sz w:val="22"/>
          <w:szCs w:val="22"/>
          <w:color w:val="auto"/>
        </w:rPr>
        <w:t>5.1 The [****] in Table 7(R1) and certain of the [****] in Table 5(R4), both as shown in column 2 of Attachment A to this Letter Agreement, [****] as shown in column 3 and 4 (collectively, the [****] and the [****] excluding the [****], the [****]). Customer [****] of Letter Agreement 6-1162-TRW-0670R1 entitled “</w:t>
      </w: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Commitments for Model 787 Aircraft</w:t>
      </w:r>
      <w:r>
        <w:rPr>
          <w:rFonts w:ascii="Arial" w:cs="Arial" w:eastAsia="Arial" w:hAnsi="Arial"/>
          <w:sz w:val="22"/>
          <w:szCs w:val="22"/>
          <w:color w:val="auto"/>
        </w:rPr>
        <w:t>” ([****]) for each of the [****] for the [****] and the [****], set forth in column 3 of Attachment A and for each [****] for the [****] and the [****], set forth in column 4 of Attachment A.</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5.2 For the avoidance of doubt, Customer [****]:</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5.2.1 For [****];</w:t>
      </w:r>
    </w:p>
    <w:p>
      <w:pPr>
        <w:spacing w:after="0" w:line="247"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5.2.2 For the [****], for any [****] in column 3 of Attachment A; and</w:t>
      </w:r>
    </w:p>
    <w:p>
      <w:pPr>
        <w:spacing w:after="0" w:line="247"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5.2.3 For the [****], for any [****] in column 4 of Attachment A.</w:t>
      </w:r>
    </w:p>
    <w:p>
      <w:pPr>
        <w:spacing w:after="0" w:line="247"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6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color w:val="auto"/>
        </w:rPr>
        <w:t>Customer and Boeing understand that the information contained herein represents confidential business information and has value precisely because it is not available generally or to other parties. This Letter Agreement Letter shall be subject to the terms and conditions of Letter Agreement 6-1162-TRW-0673R1 entitled “Confidentiality.</w:t>
      </w:r>
    </w:p>
    <w:p>
      <w:pPr>
        <w:spacing w:after="0" w:line="194"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247"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pacing w:after="0" w:line="200" w:lineRule="exact"/>
        <w:rPr>
          <w:sz w:val="20"/>
          <w:szCs w:val="20"/>
          <w:color w:val="auto"/>
        </w:rPr>
      </w:pPr>
    </w:p>
    <w:p>
      <w:pPr>
        <w:spacing w:after="0" w:line="274"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AAL-PA-03219-LA-2303491</w:t>
      </w:r>
      <w:r>
        <w:rPr>
          <w:sz w:val="20"/>
          <w:szCs w:val="20"/>
          <w:color w:val="auto"/>
        </w:rPr>
        <w:tab/>
      </w:r>
      <w:r>
        <w:rPr>
          <w:rFonts w:ascii="Arial" w:cs="Arial" w:eastAsia="Arial" w:hAnsi="Arial"/>
          <w:sz w:val="21"/>
          <w:szCs w:val="21"/>
          <w:color w:val="auto"/>
        </w:rPr>
        <w:t>SA-20</w:t>
      </w:r>
    </w:p>
    <w:p>
      <w:pPr>
        <w:spacing w:after="0" w:line="214" w:lineRule="auto"/>
        <w:tabs>
          <w:tab w:leader="none" w:pos="2420" w:val="left"/>
        </w:tabs>
        <w:rPr>
          <w:sz w:val="20"/>
          <w:szCs w:val="20"/>
          <w:color w:val="auto"/>
        </w:rPr>
      </w:pPr>
      <w:r>
        <w:rPr>
          <w:rFonts w:ascii="Arial" w:cs="Arial" w:eastAsia="Arial" w:hAnsi="Arial"/>
          <w:sz w:val="22"/>
          <w:szCs w:val="22"/>
          <w:color w:val="auto"/>
        </w:rPr>
        <w:t>Special Matters – [****]</w:t>
      </w:r>
      <w:r>
        <w:rPr>
          <w:sz w:val="20"/>
          <w:szCs w:val="20"/>
          <w:color w:val="auto"/>
        </w:rPr>
        <w:tab/>
      </w:r>
      <w:r>
        <w:rPr>
          <w:rFonts w:ascii="Arial" w:cs="Arial" w:eastAsia="Arial" w:hAnsi="Arial"/>
          <w:sz w:val="21"/>
          <w:szCs w:val="21"/>
          <w:color w:val="auto"/>
        </w:rPr>
        <w:t>Page 2 of 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120390" cy="3600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20390" cy="3600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BOEING COMPANY</w:t>
      </w:r>
    </w:p>
    <w:p>
      <w:pPr>
        <w:spacing w:after="0" w:line="341"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33515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35"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33515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 TO this</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34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Arial" w:cs="Arial" w:eastAsia="Arial" w:hAnsi="Arial"/>
                <w:sz w:val="22"/>
                <w:szCs w:val="22"/>
                <w:color w:val="auto"/>
              </w:rPr>
              <w:t>August 31, 2023</w:t>
            </w:r>
          </w:p>
        </w:tc>
      </w:tr>
      <w:tr>
        <w:trPr>
          <w:trHeight w:val="30"/>
        </w:trPr>
        <w:tc>
          <w:tcPr>
            <w:tcW w:w="980" w:type="dxa"/>
            <w:vAlign w:val="bottom"/>
            <w:gridSpan w:val="2"/>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557"/>
        </w:trPr>
        <w:tc>
          <w:tcPr>
            <w:tcW w:w="5920" w:type="dxa"/>
            <w:vAlign w:val="bottom"/>
            <w:gridSpan w:val="3"/>
          </w:tcPr>
          <w:p>
            <w:pPr>
              <w:spacing w:after="0"/>
              <w:rPr>
                <w:sz w:val="20"/>
                <w:szCs w:val="20"/>
                <w:color w:val="auto"/>
              </w:rPr>
            </w:pPr>
            <w:r>
              <w:rPr>
                <w:rFonts w:ascii="Arial" w:cs="Arial" w:eastAsia="Arial" w:hAnsi="Arial"/>
                <w:sz w:val="22"/>
                <w:szCs w:val="22"/>
                <w:color w:val="auto"/>
              </w:rPr>
              <w:t>AMERICAN AIRLINES, INC.</w:t>
            </w:r>
          </w:p>
        </w:tc>
      </w:tr>
      <w:tr>
        <w:trPr>
          <w:trHeight w:val="594"/>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5280" w:type="dxa"/>
            <w:vAlign w:val="bottom"/>
            <w:gridSpan w:val="2"/>
          </w:tcPr>
          <w:p>
            <w:pPr>
              <w:ind w:left="20"/>
              <w:spacing w:after="0"/>
              <w:rPr>
                <w:sz w:val="20"/>
                <w:szCs w:val="20"/>
                <w:color w:val="auto"/>
              </w:rPr>
            </w:pPr>
            <w:r>
              <w:rPr>
                <w:rFonts w:ascii="Arial" w:cs="Arial" w:eastAsia="Arial" w:hAnsi="Arial"/>
                <w:sz w:val="22"/>
                <w:szCs w:val="22"/>
                <w:color w:val="auto"/>
              </w:rPr>
              <w:t>/s/ American Airlines, Inc.</w:t>
            </w:r>
          </w:p>
        </w:tc>
      </w:tr>
      <w:tr>
        <w:trPr>
          <w:trHeight w:val="30"/>
        </w:trPr>
        <w:tc>
          <w:tcPr>
            <w:tcW w:w="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557"/>
        </w:trPr>
        <w:tc>
          <w:tcPr>
            <w:tcW w:w="640" w:type="dxa"/>
            <w:vAlign w:val="bottom"/>
          </w:tcPr>
          <w:p>
            <w:pPr>
              <w:spacing w:after="0"/>
              <w:rPr>
                <w:sz w:val="20"/>
                <w:szCs w:val="20"/>
                <w:color w:val="auto"/>
              </w:rPr>
            </w:pPr>
            <w:r>
              <w:rPr>
                <w:rFonts w:ascii="Arial" w:cs="Arial" w:eastAsia="Arial" w:hAnsi="Arial"/>
                <w:sz w:val="22"/>
                <w:szCs w:val="22"/>
                <w:color w:val="auto"/>
              </w:rPr>
              <w:t>Its</w:t>
            </w:r>
          </w:p>
        </w:tc>
        <w:tc>
          <w:tcPr>
            <w:tcW w:w="5280" w:type="dxa"/>
            <w:vAlign w:val="bottom"/>
            <w:gridSpan w:val="2"/>
          </w:tcPr>
          <w:p>
            <w:pPr>
              <w:ind w:left="20"/>
              <w:spacing w:after="0"/>
              <w:rPr>
                <w:sz w:val="20"/>
                <w:szCs w:val="20"/>
                <w:color w:val="auto"/>
              </w:rPr>
            </w:pPr>
            <w:r>
              <w:rPr>
                <w:rFonts w:ascii="Arial" w:cs="Arial" w:eastAsia="Arial" w:hAnsi="Arial"/>
                <w:sz w:val="22"/>
                <w:szCs w:val="22"/>
                <w:color w:val="auto"/>
              </w:rPr>
              <w:t>SVP, Treasurer</w:t>
            </w:r>
          </w:p>
        </w:tc>
      </w:tr>
      <w:tr>
        <w:trPr>
          <w:trHeight w:val="30"/>
        </w:trPr>
        <w:tc>
          <w:tcPr>
            <w:tcW w:w="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2900" w:val="left"/>
        </w:tabs>
        <w:rPr>
          <w:sz w:val="20"/>
          <w:szCs w:val="20"/>
          <w:color w:val="auto"/>
        </w:rPr>
      </w:pPr>
      <w:r>
        <w:rPr>
          <w:rFonts w:ascii="Arial" w:cs="Arial" w:eastAsia="Arial" w:hAnsi="Arial"/>
          <w:sz w:val="22"/>
          <w:szCs w:val="22"/>
          <w:color w:val="auto"/>
        </w:rPr>
        <w:t>AAL-PA-03219-LA-2303491</w:t>
      </w:r>
      <w:r>
        <w:rPr>
          <w:sz w:val="20"/>
          <w:szCs w:val="20"/>
          <w:color w:val="auto"/>
        </w:rPr>
        <w:tab/>
      </w:r>
      <w:r>
        <w:rPr>
          <w:rFonts w:ascii="Arial" w:cs="Arial" w:eastAsia="Arial" w:hAnsi="Arial"/>
          <w:sz w:val="21"/>
          <w:szCs w:val="21"/>
          <w:color w:val="auto"/>
        </w:rPr>
        <w:t>SA-20</w:t>
      </w:r>
    </w:p>
    <w:p>
      <w:pPr>
        <w:spacing w:after="0" w:line="214" w:lineRule="auto"/>
        <w:tabs>
          <w:tab w:leader="none" w:pos="2420" w:val="left"/>
        </w:tabs>
        <w:rPr>
          <w:sz w:val="20"/>
          <w:szCs w:val="20"/>
          <w:color w:val="auto"/>
        </w:rPr>
      </w:pPr>
      <w:r>
        <w:rPr>
          <w:rFonts w:ascii="Arial" w:cs="Arial" w:eastAsia="Arial" w:hAnsi="Arial"/>
          <w:sz w:val="22"/>
          <w:szCs w:val="22"/>
          <w:color w:val="auto"/>
        </w:rPr>
        <w:t>Special Matters – [****]</w:t>
      </w:r>
      <w:r>
        <w:rPr>
          <w:sz w:val="20"/>
          <w:szCs w:val="20"/>
          <w:color w:val="auto"/>
        </w:rPr>
        <w:tab/>
      </w:r>
      <w:r>
        <w:rPr>
          <w:rFonts w:ascii="Arial" w:cs="Arial" w:eastAsia="Arial" w:hAnsi="Arial"/>
          <w:sz w:val="21"/>
          <w:szCs w:val="21"/>
          <w:color w:val="auto"/>
        </w:rPr>
        <w:t>Page 3 of 3</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25" w:name="page126"/>
    <w:bookmarkEnd w:id="125"/>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756920</wp:posOffset>
            </wp:positionH>
            <wp:positionV relativeFrom="page">
              <wp:posOffset>525780</wp:posOffset>
            </wp:positionV>
            <wp:extent cx="6052185" cy="46894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52185" cy="4689475"/>
                    </a:xfrm>
                    <a:prstGeom prst="rect">
                      <a:avLst/>
                    </a:prstGeom>
                    <a:noFill/>
                  </pic:spPr>
                </pic:pic>
              </a:graphicData>
            </a:graphic>
          </wp:anchor>
        </w:drawing>
        <w:t>Attachment A to AAL-PA-03219-LA-2303491</w:t>
      </w:r>
    </w:p>
    <w:p>
      <w:pPr>
        <w:spacing w:after="0" w:line="52"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w:t>
            </w:r>
          </w:p>
        </w:tc>
        <w:tc>
          <w:tcPr>
            <w:tcW w:w="1820" w:type="dxa"/>
            <w:vAlign w:val="bottom"/>
            <w:tcBorders>
              <w:top w:val="single" w:sz="8" w:color="auto"/>
              <w:right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4.</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5.</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6.</w:t>
            </w:r>
          </w:p>
        </w:tc>
      </w:tr>
      <w:tr>
        <w:trPr>
          <w:trHeight w:val="261"/>
        </w:trPr>
        <w:tc>
          <w:tcPr>
            <w:tcW w:w="40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ind w:left="720"/>
              <w:spacing w:after="0"/>
              <w:rPr>
                <w:sz w:val="20"/>
                <w:szCs w:val="20"/>
                <w:color w:val="auto"/>
              </w:rPr>
            </w:pPr>
            <w:r>
              <w:rPr>
                <w:rFonts w:ascii="Arial" w:cs="Arial" w:eastAsia="Arial" w:hAnsi="Arial"/>
                <w:sz w:val="18"/>
                <w:szCs w:val="18"/>
                <w:b w:val="1"/>
                <w:bCs w:val="1"/>
                <w:color w:val="auto"/>
              </w:rPr>
              <w:t>Notes</w:t>
            </w:r>
          </w:p>
        </w:tc>
      </w:tr>
      <w:tr>
        <w:trPr>
          <w:trHeight w:val="41"/>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1"/>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1"/>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1"/>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1"/>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1"/>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1"/>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1"/>
                <w:szCs w:val="21"/>
                <w:color w:val="auto"/>
              </w:rPr>
            </w:pP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1"/>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50"/>
        </w:trPr>
        <w:tc>
          <w:tcPr>
            <w:tcW w:w="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21</w:t>
            </w:r>
          </w:p>
        </w:tc>
        <w:tc>
          <w:tcPr>
            <w:tcW w:w="18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
        </w:trPr>
        <w:tc>
          <w:tcPr>
            <w:tcW w:w="40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Arial" w:cs="Arial" w:eastAsia="Arial" w:hAnsi="Arial"/>
                <w:sz w:val="22"/>
                <w:szCs w:val="22"/>
                <w:color w:val="auto"/>
              </w:rPr>
              <w:t>PA No. 3219</w:t>
            </w:r>
          </w:p>
        </w:tc>
        <w:tc>
          <w:tcPr>
            <w:tcW w:w="840" w:type="dxa"/>
            <w:vAlign w:val="bottom"/>
          </w:tcPr>
          <w:p>
            <w:pPr>
              <w:ind w:left="240"/>
              <w:spacing w:after="0"/>
              <w:rPr>
                <w:sz w:val="20"/>
                <w:szCs w:val="20"/>
                <w:color w:val="auto"/>
              </w:rPr>
            </w:pPr>
            <w:r>
              <w:rPr>
                <w:rFonts w:ascii="Arial" w:cs="Arial" w:eastAsia="Arial" w:hAnsi="Arial"/>
                <w:sz w:val="22"/>
                <w:szCs w:val="22"/>
                <w:color w:val="auto"/>
                <w:w w:val="94"/>
              </w:rPr>
              <w:t>SA-20</w:t>
            </w:r>
          </w:p>
        </w:tc>
      </w:tr>
    </w:tbl>
    <w:p>
      <w:pPr>
        <w:spacing w:after="0" w:line="204" w:lineRule="auto"/>
        <w:rPr>
          <w:sz w:val="20"/>
          <w:szCs w:val="20"/>
          <w:color w:val="auto"/>
        </w:rPr>
      </w:pPr>
      <w:r>
        <w:rPr>
          <w:rFonts w:ascii="Arial" w:cs="Arial" w:eastAsia="Arial" w:hAnsi="Arial"/>
          <w:sz w:val="22"/>
          <w:szCs w:val="22"/>
          <w:color w:val="auto"/>
        </w:rPr>
        <w:t>Attachment A to AAL-PA-03219-LA-2303491</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400"/>
          </w:cols>
          <w:pgMar w:left="320" w:top="859" w:right="1179" w:bottom="1440" w:gutter="0" w:footer="0" w:header="0"/>
        </w:sectPr>
      </w:pPr>
    </w:p>
    <w:bookmarkStart w:id="126" w:name="page127"/>
    <w:bookmarkEnd w:id="126"/>
    <w:p>
      <w:pPr>
        <w:ind w:left="298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243205</wp:posOffset>
            </wp:positionV>
            <wp:extent cx="1491615" cy="3429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980"/>
        <w:spacing w:after="0" w:line="216" w:lineRule="auto"/>
        <w:rPr>
          <w:sz w:val="20"/>
          <w:szCs w:val="20"/>
          <w:color w:val="auto"/>
        </w:rPr>
      </w:pPr>
      <w:r>
        <w:rPr>
          <w:rFonts w:ascii="Arial" w:cs="Arial" w:eastAsia="Arial" w:hAnsi="Arial"/>
          <w:sz w:val="13"/>
          <w:szCs w:val="13"/>
          <w:color w:val="808080"/>
        </w:rPr>
        <w:t>P.O. Box 3707</w:t>
      </w:r>
    </w:p>
    <w:p>
      <w:pPr>
        <w:ind w:left="298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AAL-PA-03219-LA-1804779R2</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98"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10" w:lineRule="exact"/>
        <w:rPr>
          <w:sz w:val="20"/>
          <w:szCs w:val="20"/>
          <w:color w:val="auto"/>
        </w:rPr>
      </w:pPr>
    </w:p>
    <w:p>
      <w:pPr>
        <w:ind w:left="1340" w:hanging="1538"/>
        <w:spacing w:after="0" w:line="289" w:lineRule="auto"/>
        <w:tabs>
          <w:tab w:leader="none" w:pos="1320" w:val="left"/>
        </w:tabs>
        <w:rPr>
          <w:sz w:val="20"/>
          <w:szCs w:val="20"/>
          <w:color w:val="auto"/>
        </w:rPr>
      </w:pPr>
      <w:r>
        <w:rPr>
          <w:rFonts w:ascii="Arial" w:cs="Arial" w:eastAsia="Arial" w:hAnsi="Arial"/>
          <w:sz w:val="22"/>
          <w:szCs w:val="22"/>
          <w:color w:val="auto"/>
        </w:rPr>
        <w:t>Reference:</w:t>
        <w:tab/>
        <w:t>Purchase Agreement No. 03219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787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2"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47"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Right to [****] Aircraft</w:t>
      </w:r>
      <w:r>
        <w:rPr>
          <w:rFonts w:ascii="Arial" w:cs="Arial" w:eastAsia="Arial" w:hAnsi="Arial"/>
          <w:sz w:val="22"/>
          <w:szCs w:val="22"/>
          <w:color w:val="auto"/>
        </w:rPr>
        <w:t>.</w:t>
      </w:r>
    </w:p>
    <w:p>
      <w:pPr>
        <w:spacing w:after="0" w:line="1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Subject to the terms and conditions contained in this Letter Agreement, in [****] to the Aircraft described in Table 1(R7), Table 5(R4) and Table 7(R2) to the Purchase Agreement as of the date of execution of this Letter Agreement, [****].</w:t>
      </w:r>
    </w:p>
    <w:p>
      <w:pPr>
        <w:spacing w:after="0" w:line="182"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Delivery</w:t>
      </w:r>
      <w:r>
        <w:rPr>
          <w:rFonts w:ascii="Arial" w:cs="Arial" w:eastAsia="Arial" w:hAnsi="Arial"/>
          <w:sz w:val="22"/>
          <w:szCs w:val="22"/>
          <w:color w:val="auto"/>
        </w:rPr>
        <w:t>.</w:t>
      </w:r>
    </w:p>
    <w:p>
      <w:pPr>
        <w:spacing w:after="0" w:line="125" w:lineRule="exact"/>
        <w:rPr>
          <w:sz w:val="20"/>
          <w:szCs w:val="20"/>
          <w:color w:val="auto"/>
        </w:rPr>
      </w:pPr>
    </w:p>
    <w:p>
      <w:pPr>
        <w:ind w:firstLine="648"/>
        <w:spacing w:after="0" w:line="264" w:lineRule="auto"/>
        <w:rPr>
          <w:sz w:val="20"/>
          <w:szCs w:val="20"/>
          <w:color w:val="auto"/>
        </w:rPr>
      </w:pPr>
      <w:r>
        <w:rPr>
          <w:rFonts w:ascii="Arial" w:cs="Arial" w:eastAsia="Arial" w:hAnsi="Arial"/>
          <w:sz w:val="22"/>
          <w:szCs w:val="22"/>
          <w:color w:val="auto"/>
        </w:rPr>
        <w:t>The number of initial [****] and the [****] for each such [****] are listed in Attachment A to this Letter Agreement.</w:t>
      </w:r>
    </w:p>
    <w:p>
      <w:pPr>
        <w:spacing w:after="0" w:line="307"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p>
    <w:p>
      <w:pPr>
        <w:spacing w:after="0" w:line="1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3.1 Customer may [****] by giving written notice to Boeing [****] on or before the date that is [****]. Upon the giving of such [****] referenced in such [****] shall be deemed an Aircraft for all purposes of the Purchase Agreement and an [****] for the purposes of this Letter Agreement.</w:t>
      </w:r>
    </w:p>
    <w:p>
      <w:pPr>
        <w:spacing w:after="0" w:line="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auto"/>
        </w:rPr>
        <w:t>3.2 If Boeing must [****], subject to Customer's agreement. Such[****]. If Boeing [****]. If within [****]. If the parties are [****]. Immediately upon the [****] to Customer by Boeing. When making any such [****].</w:t>
      </w:r>
    </w:p>
    <w:p>
      <w:pPr>
        <w:spacing w:after="0" w:line="64"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Customer will have the [****], subject to the following terms:</w:t>
      </w:r>
    </w:p>
    <w:p>
      <w:pPr>
        <w:spacing w:after="0" w:line="125" w:lineRule="exact"/>
        <w:rPr>
          <w:sz w:val="20"/>
          <w:szCs w:val="20"/>
          <w:color w:val="auto"/>
        </w:rPr>
      </w:pPr>
    </w:p>
    <w:p>
      <w:pPr>
        <w:ind w:firstLine="729"/>
        <w:spacing w:after="0" w:line="264" w:lineRule="auto"/>
        <w:rPr>
          <w:sz w:val="20"/>
          <w:szCs w:val="20"/>
          <w:color w:val="auto"/>
        </w:rPr>
      </w:pPr>
      <w:r>
        <w:rPr>
          <w:rFonts w:ascii="Arial" w:cs="Arial" w:eastAsia="Arial" w:hAnsi="Arial"/>
          <w:sz w:val="22"/>
          <w:szCs w:val="22"/>
          <w:color w:val="auto"/>
        </w:rPr>
        <w:t>4.1 The [****] are shown in Attachments A and B to this Letter Agreement and are [****], subject to the provisions in Section 4.2 below.</w:t>
      </w:r>
    </w:p>
    <w:p>
      <w:pPr>
        <w:spacing w:after="0" w:line="64" w:lineRule="exact"/>
        <w:rPr>
          <w:sz w:val="20"/>
          <w:szCs w:val="20"/>
          <w:color w:val="auto"/>
        </w:rPr>
      </w:pPr>
    </w:p>
    <w:p>
      <w:pPr>
        <w:ind w:left="80" w:firstLine="567"/>
        <w:spacing w:after="0" w:line="264" w:lineRule="auto"/>
        <w:rPr>
          <w:sz w:val="20"/>
          <w:szCs w:val="20"/>
          <w:color w:val="auto"/>
        </w:rPr>
      </w:pPr>
      <w:r>
        <w:rPr>
          <w:rFonts w:ascii="Arial" w:cs="Arial" w:eastAsia="Arial" w:hAnsi="Arial"/>
          <w:sz w:val="22"/>
          <w:szCs w:val="22"/>
          <w:color w:val="auto"/>
        </w:rPr>
        <w:t>4.2 For each of the [****] indicated in Attachment A to this Letter Agreement. Customer may [****]. By way of example, if an [****].</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80" w:type="dxa"/>
            <w:vAlign w:val="bottom"/>
          </w:tcPr>
          <w:p>
            <w:pPr>
              <w:spacing w:after="0"/>
              <w:rPr>
                <w:sz w:val="20"/>
                <w:szCs w:val="20"/>
                <w:color w:val="auto"/>
              </w:rPr>
            </w:pPr>
            <w:r>
              <w:rPr>
                <w:rFonts w:ascii="Arial" w:cs="Arial" w:eastAsia="Arial" w:hAnsi="Arial"/>
                <w:sz w:val="22"/>
                <w:szCs w:val="22"/>
                <w:color w:val="auto"/>
              </w:rPr>
              <w:t>AAL-PA-03219-LA-1804779R2</w:t>
            </w:r>
          </w:p>
        </w:tc>
        <w:tc>
          <w:tcPr>
            <w:tcW w:w="3160" w:type="dxa"/>
            <w:vAlign w:val="bottom"/>
          </w:tcPr>
          <w:p>
            <w:pPr>
              <w:ind w:left="1200"/>
              <w:spacing w:after="0"/>
              <w:rPr>
                <w:sz w:val="20"/>
                <w:szCs w:val="20"/>
                <w:color w:val="auto"/>
              </w:rPr>
            </w:pPr>
            <w:r>
              <w:rPr>
                <w:rFonts w:ascii="Arial" w:cs="Arial" w:eastAsia="Arial" w:hAnsi="Arial"/>
                <w:sz w:val="22"/>
                <w:szCs w:val="22"/>
                <w:color w:val="auto"/>
              </w:rPr>
              <w:t>SA-20</w:t>
            </w:r>
          </w:p>
        </w:tc>
        <w:tc>
          <w:tcPr>
            <w:tcW w:w="0" w:type="dxa"/>
            <w:vAlign w:val="bottom"/>
          </w:tcPr>
          <w:p>
            <w:pPr>
              <w:spacing w:after="0"/>
              <w:rPr>
                <w:sz w:val="1"/>
                <w:szCs w:val="1"/>
                <w:color w:val="auto"/>
              </w:rPr>
            </w:pPr>
          </w:p>
        </w:tc>
      </w:tr>
      <w:tr>
        <w:trPr>
          <w:trHeight w:val="275"/>
        </w:trPr>
        <w:tc>
          <w:tcPr>
            <w:tcW w:w="3680" w:type="dxa"/>
            <w:vAlign w:val="bottom"/>
          </w:tcPr>
          <w:p>
            <w:pPr>
              <w:spacing w:after="0"/>
              <w:rPr>
                <w:sz w:val="20"/>
                <w:szCs w:val="20"/>
                <w:color w:val="auto"/>
              </w:rPr>
            </w:pPr>
            <w:r>
              <w:rPr>
                <w:rFonts w:ascii="Arial" w:cs="Arial" w:eastAsia="Arial" w:hAnsi="Arial"/>
                <w:sz w:val="22"/>
                <w:szCs w:val="22"/>
                <w:color w:val="auto"/>
              </w:rPr>
              <w:t>[****]  Page 1 of 10</w:t>
            </w:r>
          </w:p>
        </w:tc>
        <w:tc>
          <w:tcPr>
            <w:tcW w:w="3160" w:type="dxa"/>
            <w:vAlign w:val="bottom"/>
            <w:vMerge w:val="restart"/>
          </w:tcPr>
          <w:p>
            <w:pPr>
              <w:ind w:left="720"/>
              <w:spacing w:after="0"/>
              <w:rPr>
                <w:sz w:val="20"/>
                <w:szCs w:val="20"/>
                <w:color w:val="auto"/>
              </w:rPr>
            </w:pPr>
            <w:r>
              <w:rPr>
                <w:rFonts w:ascii="Arial" w:cs="Arial" w:eastAsia="Arial" w:hAnsi="Arial"/>
                <w:sz w:val="22"/>
                <w:szCs w:val="22"/>
                <w:b w:val="1"/>
                <w:bCs w:val="1"/>
                <w:color w:val="auto"/>
                <w:w w:val="96"/>
              </w:rPr>
              <w:t>BOEING PROPRIETARY</w:t>
            </w:r>
          </w:p>
        </w:tc>
        <w:tc>
          <w:tcPr>
            <w:tcW w:w="0" w:type="dxa"/>
            <w:vAlign w:val="bottom"/>
          </w:tcPr>
          <w:p>
            <w:pPr>
              <w:spacing w:after="0"/>
              <w:rPr>
                <w:sz w:val="1"/>
                <w:szCs w:val="1"/>
                <w:color w:val="auto"/>
              </w:rPr>
            </w:pPr>
          </w:p>
        </w:tc>
      </w:tr>
      <w:tr>
        <w:trPr>
          <w:trHeight w:val="232"/>
        </w:trPr>
        <w:tc>
          <w:tcPr>
            <w:tcW w:w="3680" w:type="dxa"/>
            <w:vAlign w:val="bottom"/>
          </w:tcPr>
          <w:p>
            <w:pPr>
              <w:spacing w:after="0"/>
              <w:rPr>
                <w:sz w:val="20"/>
                <w:szCs w:val="20"/>
                <w:color w:val="auto"/>
              </w:rPr>
            </w:pPr>
          </w:p>
        </w:tc>
        <w:tc>
          <w:tcPr>
            <w:tcW w:w="3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2" w:right="339" w:bottom="1440" w:gutter="0" w:footer="0" w:header="0"/>
        </w:sectPr>
      </w:pPr>
    </w:p>
    <w:bookmarkStart w:id="127" w:name="page128"/>
    <w:bookmarkEnd w:id="127"/>
    <w:p>
      <w:pPr>
        <w:spacing w:after="0" w:line="3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jc w:val="both"/>
        <w:ind w:left="80" w:firstLine="1215"/>
        <w:spacing w:after="0" w:line="235" w:lineRule="auto"/>
        <w:rPr>
          <w:sz w:val="20"/>
          <w:szCs w:val="20"/>
          <w:color w:val="auto"/>
        </w:rPr>
      </w:pPr>
      <w:r>
        <w:rPr>
          <w:rFonts w:ascii="Arial" w:cs="Arial" w:eastAsia="Arial" w:hAnsi="Arial"/>
          <w:sz w:val="22"/>
          <w:szCs w:val="22"/>
          <w:color w:val="auto"/>
        </w:rPr>
        <w:t>4.2.1 Notwithstanding the foregoing, Customer may [****] in Attachment A to this Letter Agreement by giving Boeing written notice of such [****] in the event of any of the following: (i) an [****] in accordance with Section 3.2 above, (ii) such [****] in accordance with Section 3.2 above, or (iii) a [****], in accordance with Section 2 of Letter Agreement No. AAL-PA-03219-LA-1802262R1, entitled “[****]”.</w:t>
      </w:r>
    </w:p>
    <w:p>
      <w:pPr>
        <w:spacing w:after="0" w:line="197" w:lineRule="exact"/>
        <w:rPr>
          <w:sz w:val="20"/>
          <w:szCs w:val="20"/>
          <w:color w:val="auto"/>
        </w:rPr>
      </w:pPr>
    </w:p>
    <w:p>
      <w:pPr>
        <w:ind w:left="180" w:firstLine="1134"/>
        <w:spacing w:after="0" w:line="251" w:lineRule="auto"/>
        <w:rPr>
          <w:sz w:val="20"/>
          <w:szCs w:val="20"/>
          <w:color w:val="auto"/>
        </w:rPr>
      </w:pPr>
      <w:r>
        <w:rPr>
          <w:rFonts w:ascii="Arial" w:cs="Arial" w:eastAsia="Arial" w:hAnsi="Arial"/>
          <w:sz w:val="22"/>
          <w:szCs w:val="22"/>
          <w:color w:val="auto"/>
        </w:rPr>
        <w:t>4.2.2 If Customer provides Boeing with an [****]. If Boeing [****] as set forth on Attachment B to this Letter Agreement.</w:t>
      </w:r>
    </w:p>
    <w:p>
      <w:pPr>
        <w:spacing w:after="0" w:line="186" w:lineRule="exact"/>
        <w:rPr>
          <w:sz w:val="20"/>
          <w:szCs w:val="20"/>
          <w:color w:val="auto"/>
        </w:rPr>
      </w:pPr>
    </w:p>
    <w:p>
      <w:pPr>
        <w:ind w:firstLine="1296"/>
        <w:spacing w:after="0" w:line="251" w:lineRule="auto"/>
        <w:rPr>
          <w:sz w:val="20"/>
          <w:szCs w:val="20"/>
          <w:color w:val="auto"/>
        </w:rPr>
      </w:pPr>
      <w:r>
        <w:rPr>
          <w:rFonts w:ascii="Arial" w:cs="Arial" w:eastAsia="Arial" w:hAnsi="Arial"/>
          <w:sz w:val="22"/>
          <w:szCs w:val="22"/>
          <w:color w:val="auto"/>
        </w:rPr>
        <w:t>4.2.3 If Boeing is [****] set forth on Attachment B to this Letter Agreement, then Boeing shall [****]. If Customer [****].</w:t>
      </w:r>
    </w:p>
    <w:p>
      <w:pPr>
        <w:spacing w:after="0" w:line="200" w:lineRule="exact"/>
        <w:rPr>
          <w:sz w:val="20"/>
          <w:szCs w:val="20"/>
          <w:color w:val="auto"/>
        </w:rPr>
      </w:pPr>
    </w:p>
    <w:p>
      <w:pPr>
        <w:ind w:left="80" w:right="20" w:firstLine="567"/>
        <w:spacing w:after="0" w:line="239" w:lineRule="auto"/>
        <w:rPr>
          <w:sz w:val="20"/>
          <w:szCs w:val="20"/>
          <w:color w:val="auto"/>
        </w:rPr>
      </w:pPr>
      <w:r>
        <w:rPr>
          <w:rFonts w:ascii="Arial" w:cs="Arial" w:eastAsia="Arial" w:hAnsi="Arial"/>
          <w:sz w:val="22"/>
          <w:szCs w:val="22"/>
          <w:color w:val="auto"/>
        </w:rPr>
        <w:t>4.2.4 [****] in accordance with Section 4.2.3 shall be [****] until the Limited Scope Supplemental Agreement is executed by the parties.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4.3 A [****] for the purposes of this Letter Agreement, and the terms applicable to [****], as follows:</w:t>
      </w:r>
    </w:p>
    <w:p>
      <w:pPr>
        <w:spacing w:after="0" w:line="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4.3.1 Upon the [****] as set forth on Attachment B of this Letter Agreement; or</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4.3.2 Upon Customer’s [****] as set forth on Attachment B of this Letter Agreement and [****].</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4.4 For avoidance of doubt, all [****].</w:t>
      </w:r>
    </w:p>
    <w:p>
      <w:pPr>
        <w:spacing w:after="0" w:line="206"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5.1 Subject to the provisions of Section 5.2, below, the [****] shown in Attachment A to this Letter Agreement.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Boeing [****] pursuant to the provisions of Section 5.1 at [****] to Customer.</w:t>
      </w:r>
    </w:p>
    <w:p>
      <w:pPr>
        <w:spacing w:after="0" w:line="193"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6.1 The [****] are identified in Attachment A to this Letter Agreement. The [****] are identified in Attachment B to this Letter Agreement.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The [****] in accordance with the terms set forth in [****] as such provisions have been applied to the</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7"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color w:val="auto"/>
        </w:rPr>
        <w:t>6.3 At the time of execution of each [****], the [****] in accordance with the terms of the Purchase Agreement.</w:t>
      </w:r>
    </w:p>
    <w:p>
      <w:pPr>
        <w:spacing w:after="0" w:line="200" w:lineRule="exact"/>
        <w:rPr>
          <w:sz w:val="20"/>
          <w:szCs w:val="20"/>
          <w:color w:val="auto"/>
        </w:rPr>
      </w:pPr>
    </w:p>
    <w:p>
      <w:pPr>
        <w:spacing w:after="0" w:line="284"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color w:val="auto"/>
        </w:rPr>
        <w:t>[****]. Boeing will [****] to Customer: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AAL-PA-03219-LA-1804779R2 SA-20</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10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9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6.4.1</w:t>
      </w:r>
      <w:r>
        <w:rPr>
          <w:sz w:val="20"/>
          <w:szCs w:val="20"/>
          <w:color w:val="auto"/>
        </w:rPr>
        <w:tab/>
      </w:r>
      <w:r>
        <w:rPr>
          <w:rFonts w:ascii="Arial" w:cs="Arial" w:eastAsia="Arial" w:hAnsi="Arial"/>
          <w:sz w:val="21"/>
          <w:szCs w:val="21"/>
          <w:color w:val="auto"/>
        </w:rPr>
        <w:t>[****]. Boeing will [****] to Customer at the [****]. The [****] is:</w:t>
      </w:r>
    </w:p>
    <w:p>
      <w:pPr>
        <w:spacing w:after="0" w:line="206"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w:t>
        <w:tab/>
        <w: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Each such [****] in accordance with the provisions of the [****] as such provisions have been applied to the [****].</w:t>
      </w:r>
    </w:p>
    <w:p>
      <w:pPr>
        <w:spacing w:after="0" w:line="20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2"/>
          <w:szCs w:val="22"/>
          <w:color w:val="auto"/>
        </w:rPr>
        <w:t>6.4.2 [****]</w:t>
      </w:r>
      <w:r>
        <w:rPr>
          <w:rFonts w:ascii="Arial" w:cs="Arial" w:eastAsia="Arial" w:hAnsi="Arial"/>
          <w:sz w:val="22"/>
          <w:szCs w:val="22"/>
          <w:u w:val="single" w:color="auto"/>
          <w:color w:val="auto"/>
        </w:rPr>
        <w:t>.</w:t>
      </w:r>
      <w:r>
        <w:rPr>
          <w:rFonts w:ascii="Arial" w:cs="Arial" w:eastAsia="Arial" w:hAnsi="Arial"/>
          <w:sz w:val="22"/>
          <w:szCs w:val="22"/>
          <w:color w:val="auto"/>
        </w:rPr>
        <w:t xml:space="preserve"> Boeing will [****] to Customer at the [****]. The [****] in accordance with the provisions of the [****] as such provisions have been applied to the [****]. Such [****].</w:t>
      </w:r>
    </w:p>
    <w:p>
      <w:pPr>
        <w:spacing w:after="0" w:line="159"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6.4.3 [****]. Boeing will [****] to Customer at the [****]. The [****] in accordance with the provisions of the [****] as such provisions have been applied to the [****]. Such [****].</w:t>
      </w:r>
    </w:p>
    <w:p>
      <w:pPr>
        <w:spacing w:after="0" w:line="213"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6.4.4 [****]. In recognition of Customer [****] per this Letter Agreement, Boeing will [****] to Customer up to [****]. The [****] in accordance with the provisions of the [****] as such provisions have been applied to the [****]. Except as set forth below in this Section 6.4.4, the [****]. Each [****].</w:t>
      </w:r>
    </w:p>
    <w:p>
      <w:pPr>
        <w:spacing w:after="0" w:line="204" w:lineRule="exact"/>
        <w:rPr>
          <w:sz w:val="20"/>
          <w:szCs w:val="20"/>
          <w:color w:val="auto"/>
        </w:rPr>
      </w:pPr>
    </w:p>
    <w:p>
      <w:pPr>
        <w:jc w:val="both"/>
        <w:ind w:firstLine="1944"/>
        <w:spacing w:after="0" w:line="251" w:lineRule="auto"/>
        <w:rPr>
          <w:sz w:val="20"/>
          <w:szCs w:val="20"/>
          <w:color w:val="auto"/>
        </w:rPr>
      </w:pPr>
      <w:r>
        <w:rPr>
          <w:rFonts w:ascii="Arial" w:cs="Arial" w:eastAsia="Arial" w:hAnsi="Arial"/>
          <w:sz w:val="22"/>
          <w:szCs w:val="22"/>
          <w:color w:val="auto"/>
        </w:rPr>
        <w:t>6.4.4.1 If (i) Customer [****] or (ii) the [****]. The [****] in accordance with the provisions of the [****] Letter Agreement, as such provisions have been applied to the [****]. The [****]; provided that:</w:t>
      </w:r>
    </w:p>
    <w:p>
      <w:pPr>
        <w:spacing w:after="0" w:line="213" w:lineRule="exact"/>
        <w:rPr>
          <w:sz w:val="20"/>
          <w:szCs w:val="20"/>
          <w:color w:val="auto"/>
        </w:rPr>
      </w:pPr>
    </w:p>
    <w:p>
      <w:pPr>
        <w:ind w:left="3040" w:hanging="440"/>
        <w:spacing w:after="0"/>
        <w:tabs>
          <w:tab w:leader="none" w:pos="30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the [****]t;</w:t>
      </w:r>
    </w:p>
    <w:p>
      <w:pPr>
        <w:spacing w:after="0" w:line="233" w:lineRule="exact"/>
        <w:rPr>
          <w:rFonts w:ascii="Arial" w:cs="Arial" w:eastAsia="Arial" w:hAnsi="Arial"/>
          <w:sz w:val="22"/>
          <w:szCs w:val="22"/>
          <w:color w:val="auto"/>
        </w:rPr>
      </w:pPr>
    </w:p>
    <w:p>
      <w:pPr>
        <w:ind w:left="3080" w:hanging="480"/>
        <w:spacing w:after="0"/>
        <w:tabs>
          <w:tab w:leader="none" w:pos="30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the [****];</w:t>
      </w:r>
    </w:p>
    <w:p>
      <w:pPr>
        <w:spacing w:after="0" w:line="246" w:lineRule="exact"/>
        <w:rPr>
          <w:rFonts w:ascii="Arial" w:cs="Arial" w:eastAsia="Arial" w:hAnsi="Arial"/>
          <w:sz w:val="22"/>
          <w:szCs w:val="22"/>
          <w:color w:val="auto"/>
        </w:rPr>
      </w:pPr>
    </w:p>
    <w:p>
      <w:pPr>
        <w:ind w:left="2940" w:hanging="340"/>
        <w:spacing w:after="0"/>
        <w:tabs>
          <w:tab w:leader="none" w:pos="29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the [****];</w:t>
      </w:r>
    </w:p>
    <w:p>
      <w:pPr>
        <w:spacing w:after="0" w:line="233" w:lineRule="exact"/>
        <w:rPr>
          <w:rFonts w:ascii="Arial" w:cs="Arial" w:eastAsia="Arial" w:hAnsi="Arial"/>
          <w:sz w:val="22"/>
          <w:szCs w:val="22"/>
          <w:color w:val="auto"/>
        </w:rPr>
      </w:pPr>
    </w:p>
    <w:p>
      <w:pPr>
        <w:ind w:left="2960" w:hanging="360"/>
        <w:spacing w:after="0"/>
        <w:tabs>
          <w:tab w:leader="none" w:pos="29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the [****].</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Such [****].</w:t>
      </w:r>
    </w:p>
    <w:p>
      <w:pPr>
        <w:spacing w:after="0" w:line="247" w:lineRule="exact"/>
        <w:rPr>
          <w:sz w:val="20"/>
          <w:szCs w:val="20"/>
          <w:color w:val="auto"/>
        </w:rPr>
      </w:pPr>
    </w:p>
    <w:p>
      <w:pPr>
        <w:ind w:right="20" w:firstLine="1296"/>
        <w:spacing w:after="0" w:line="251" w:lineRule="auto"/>
        <w:rPr>
          <w:sz w:val="20"/>
          <w:szCs w:val="20"/>
          <w:color w:val="auto"/>
        </w:rPr>
      </w:pPr>
      <w:r>
        <w:rPr>
          <w:rFonts w:ascii="Arial" w:cs="Arial" w:eastAsia="Arial" w:hAnsi="Arial"/>
          <w:sz w:val="22"/>
          <w:szCs w:val="22"/>
          <w:color w:val="auto"/>
        </w:rPr>
        <w:t>6.4.5. [****]. Boeing will [****] to Customer at the [****]. The [****] in accordance with the provisions of the [****] as such provisions have been applied to the [****]. Such [****].</w:t>
      </w:r>
    </w:p>
    <w:p>
      <w:pPr>
        <w:spacing w:after="0" w:line="200"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left="500" w:firstLine="648"/>
        <w:spacing w:after="0" w:line="264" w:lineRule="auto"/>
        <w:rPr>
          <w:sz w:val="20"/>
          <w:szCs w:val="20"/>
          <w:color w:val="auto"/>
        </w:rPr>
      </w:pPr>
      <w:r>
        <w:rPr>
          <w:rFonts w:ascii="Arial" w:cs="Arial" w:eastAsia="Arial" w:hAnsi="Arial"/>
          <w:sz w:val="22"/>
          <w:szCs w:val="22"/>
          <w:color w:val="auto"/>
        </w:rPr>
        <w:t>7.1 Customer will [****], on the date of execution of this Letter Agreement. If Customer [****]. If Customer [****].</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AAL-PA-03219-LA-1804779R2 SA-20</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10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Customer shall [****]. For the avoidance of doubt, there shall be no [****].</w:t>
      </w:r>
    </w:p>
    <w:p>
      <w:pPr>
        <w:spacing w:after="0" w:line="220"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1"/>
          <w:szCs w:val="21"/>
          <w:color w:val="auto"/>
        </w:rPr>
        <w:t>Notwithstanding the [****], the [****]. Upon execution of SA-11, [****].</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7.4 Upon execution of a Limited Scope Supplemental Agreement [****] as specified in Section 1.4.2 of Letter Agreement 6-1162-CLO-1047R4, entitled “[****]” of the Purchase Agreement. The remainder of the [****] in accordance with the provisions of the Purchase Agreement. For the avoidance of doubt, [****] until the applicable Limited Scope Supplemental Agreement has been entered into by the parties.</w:t>
      </w:r>
    </w:p>
    <w:p>
      <w:pPr>
        <w:spacing w:after="0" w:line="185" w:lineRule="exact"/>
        <w:rPr>
          <w:sz w:val="20"/>
          <w:szCs w:val="20"/>
          <w:color w:val="auto"/>
        </w:rPr>
      </w:pPr>
    </w:p>
    <w:p>
      <w:pPr>
        <w:ind w:left="1060" w:hanging="1052"/>
        <w:spacing w:after="0"/>
        <w:tabs>
          <w:tab w:leader="none" w:pos="10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405"/>
        <w:spacing w:after="0" w:line="249" w:lineRule="auto"/>
        <w:rPr>
          <w:sz w:val="20"/>
          <w:szCs w:val="20"/>
          <w:color w:val="auto"/>
        </w:rPr>
      </w:pPr>
      <w:r>
        <w:rPr>
          <w:rFonts w:ascii="Arial" w:cs="Arial" w:eastAsia="Arial" w:hAnsi="Arial"/>
          <w:sz w:val="22"/>
          <w:szCs w:val="22"/>
          <w:color w:val="auto"/>
        </w:rPr>
        <w:t>Upon Customer’s [****], Boeing and Customer will enter into a Supplemental Agreement with respect to each [****], the scope and purpose of which shall be limited to [****] into the Purchase Agreement as an [****] (</w:t>
      </w:r>
      <w:r>
        <w:rPr>
          <w:rFonts w:ascii="Arial" w:cs="Arial" w:eastAsia="Arial" w:hAnsi="Arial"/>
          <w:sz w:val="22"/>
          <w:szCs w:val="22"/>
          <w:b w:val="1"/>
          <w:bCs w:val="1"/>
          <w:color w:val="auto"/>
        </w:rPr>
        <w:t>Limited</w:t>
      </w:r>
      <w:r>
        <w:rPr>
          <w:rFonts w:ascii="Arial" w:cs="Arial" w:eastAsia="Arial" w:hAnsi="Arial"/>
          <w:sz w:val="22"/>
          <w:szCs w:val="22"/>
          <w:color w:val="auto"/>
        </w:rPr>
        <w:t xml:space="preserve"> </w:t>
      </w:r>
      <w:r>
        <w:rPr>
          <w:rFonts w:ascii="Arial" w:cs="Arial" w:eastAsia="Arial" w:hAnsi="Arial"/>
          <w:sz w:val="22"/>
          <w:szCs w:val="22"/>
          <w:b w:val="1"/>
          <w:bCs w:val="1"/>
          <w:color w:val="auto"/>
        </w:rPr>
        <w:t>Scope Supplemental Agreement</w:t>
      </w:r>
      <w:r>
        <w:rPr>
          <w:rFonts w:ascii="Arial" w:cs="Arial" w:eastAsia="Arial" w:hAnsi="Arial"/>
          <w:sz w:val="22"/>
          <w:szCs w:val="22"/>
          <w:color w:val="auto"/>
        </w:rPr>
        <w:t>). The Limited Scope Supplemental Agreement will incorporate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Purchase Agreement as modified to reflect the provisions of this Letter Agreement (including, but not limited to, modifications to Attachment A to this Letter Agreement to reflect the addition of new [****] and modifications to Attachment A to Letter Agreement AAL-PA-03219-LA-1802262 entitled “[****]” to reflect the addition of the new Aircraft).</w:t>
      </w:r>
    </w:p>
    <w:p>
      <w:pPr>
        <w:spacing w:after="0" w:line="188" w:lineRule="exact"/>
        <w:rPr>
          <w:sz w:val="20"/>
          <w:szCs w:val="20"/>
          <w:color w:val="auto"/>
        </w:rPr>
      </w:pPr>
    </w:p>
    <w:p>
      <w:pPr>
        <w:ind w:left="1060" w:hanging="1052"/>
        <w:spacing w:after="0"/>
        <w:tabs>
          <w:tab w:leader="none" w:pos="106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AAL-PA-03219-LA-1804779R2 SA-20</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81"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7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 Subject to the terms and conditions of Letter Agreement 6-1162-TRW-0673R1 entitled “</w:t>
      </w:r>
      <w:r>
        <w:rPr>
          <w:rFonts w:ascii="Arial" w:cs="Arial" w:eastAsia="Arial" w:hAnsi="Arial"/>
          <w:sz w:val="21"/>
          <w:szCs w:val="21"/>
          <w:u w:val="single" w:color="auto"/>
          <w:color w:val="auto"/>
        </w:rPr>
        <w:t>Confidentiality</w:t>
      </w:r>
      <w:r>
        <w:rPr>
          <w:rFonts w:ascii="Arial" w:cs="Arial" w:eastAsia="Arial" w:hAnsi="Arial"/>
          <w:sz w:val="21"/>
          <w:szCs w:val="21"/>
          <w:color w:val="auto"/>
        </w:rPr>
        <w:t>”, either party may disclose the information contained herein without the consent of the other party when and to the extent required by any law applicable to such party or by a Governmental Authority.</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351"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33655</wp:posOffset>
            </wp:positionV>
            <wp:extent cx="33343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35"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33655</wp:posOffset>
            </wp:positionV>
            <wp:extent cx="33343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ACCEPTED AND AGREED TO this</w:t>
      </w:r>
    </w:p>
    <w:p>
      <w:pPr>
        <w:spacing w:after="0" w:line="341" w:lineRule="exact"/>
        <w:rPr>
          <w:sz w:val="20"/>
          <w:szCs w:val="20"/>
          <w:color w:val="auto"/>
        </w:rPr>
      </w:pPr>
    </w:p>
    <w:tbl>
      <w:tblPr>
        <w:tblLayout w:type="fixed"/>
        <w:tblInd w:w="180" w:type="dxa"/>
        <w:tblCellMar>
          <w:top w:w="0" w:type="dxa"/>
          <w:left w:w="0" w:type="dxa"/>
          <w:bottom w:w="0" w:type="dxa"/>
          <w:right w:w="0" w:type="dxa"/>
        </w:tblCellMar>
      </w:tblP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Date:</w:t>
            </w:r>
          </w:p>
        </w:tc>
        <w:tc>
          <w:tcPr>
            <w:tcW w:w="1180" w:type="dxa"/>
            <w:vAlign w:val="bottom"/>
          </w:tcPr>
          <w:p>
            <w:pPr>
              <w:spacing w:after="0"/>
              <w:rPr>
                <w:sz w:val="23"/>
                <w:szCs w:val="23"/>
                <w:color w:val="auto"/>
              </w:rPr>
            </w:pPr>
          </w:p>
        </w:tc>
        <w:tc>
          <w:tcPr>
            <w:tcW w:w="4080" w:type="dxa"/>
            <w:vAlign w:val="bottom"/>
          </w:tcPr>
          <w:p>
            <w:pPr>
              <w:ind w:left="60"/>
              <w:spacing w:after="0"/>
              <w:rPr>
                <w:sz w:val="20"/>
                <w:szCs w:val="20"/>
                <w:color w:val="auto"/>
              </w:rPr>
            </w:pPr>
            <w:r>
              <w:rPr>
                <w:rFonts w:ascii="Arial" w:cs="Arial" w:eastAsia="Arial" w:hAnsi="Arial"/>
                <w:sz w:val="22"/>
                <w:szCs w:val="22"/>
                <w:color w:val="auto"/>
              </w:rPr>
              <w:t>August 31, 2023</w:t>
            </w:r>
          </w:p>
        </w:tc>
      </w:tr>
      <w:tr>
        <w:trPr>
          <w:trHeight w:val="30"/>
        </w:trPr>
        <w:tc>
          <w:tcPr>
            <w:tcW w:w="1840" w:type="dxa"/>
            <w:vAlign w:val="bottom"/>
            <w:gridSpan w:val="2"/>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573"/>
        </w:trPr>
        <w:tc>
          <w:tcPr>
            <w:tcW w:w="5920" w:type="dxa"/>
            <w:vAlign w:val="bottom"/>
            <w:gridSpan w:val="3"/>
          </w:tcPr>
          <w:p>
            <w:pPr>
              <w:spacing w:after="0"/>
              <w:rPr>
                <w:sz w:val="20"/>
                <w:szCs w:val="20"/>
                <w:color w:val="auto"/>
              </w:rPr>
            </w:pPr>
            <w:r>
              <w:rPr>
                <w:rFonts w:ascii="Arial" w:cs="Arial" w:eastAsia="Arial" w:hAnsi="Arial"/>
                <w:sz w:val="22"/>
                <w:szCs w:val="22"/>
                <w:b w:val="1"/>
                <w:bCs w:val="1"/>
                <w:color w:val="auto"/>
              </w:rPr>
              <w:t>AMERICAN AIRLINES, INC.</w:t>
            </w:r>
          </w:p>
        </w:tc>
      </w:tr>
      <w:tr>
        <w:trPr>
          <w:trHeight w:val="578"/>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/s/ American Airlines, Inc.</w:t>
            </w:r>
          </w:p>
        </w:tc>
      </w:tr>
      <w:tr>
        <w:trPr>
          <w:trHeight w:val="30"/>
        </w:trPr>
        <w:tc>
          <w:tcPr>
            <w:tcW w:w="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557"/>
        </w:trPr>
        <w:tc>
          <w:tcPr>
            <w:tcW w:w="66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SVP, Treasurer</w:t>
            </w:r>
          </w:p>
        </w:tc>
      </w:tr>
      <w:tr>
        <w:trPr>
          <w:trHeight w:val="30"/>
        </w:trPr>
        <w:tc>
          <w:tcPr>
            <w:tcW w:w="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AAL-PA-03219-LA-1804779R2 SA-20</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5 of 10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31" w:name="page132"/>
    <w:bookmarkEnd w:id="131"/>
    <w:p>
      <w:pPr>
        <w:jc w:val="center"/>
        <w:ind w:right="-1100"/>
        <w:spacing w:after="0"/>
        <w:rPr>
          <w:sz w:val="20"/>
          <w:szCs w:val="20"/>
          <w:color w:val="auto"/>
        </w:rPr>
      </w:pPr>
      <w:r>
        <w:rPr>
          <w:rFonts w:ascii="Arial" w:cs="Arial" w:eastAsia="Arial" w:hAnsi="Arial"/>
          <w:sz w:val="22"/>
          <w:szCs w:val="22"/>
          <w:b w:val="1"/>
          <w:bCs w:val="1"/>
          <w:color w:val="auto"/>
        </w:rPr>
        <w:t>Attachment A to</w:t>
      </w:r>
    </w:p>
    <w:p>
      <w:pPr>
        <w:jc w:val="center"/>
        <w:ind w:right="-1100"/>
        <w:spacing w:after="0" w:line="204" w:lineRule="auto"/>
        <w:rPr>
          <w:sz w:val="20"/>
          <w:szCs w:val="20"/>
          <w:color w:val="auto"/>
        </w:rPr>
      </w:pPr>
      <w:r>
        <w:rPr>
          <w:rFonts w:ascii="Arial" w:cs="Arial" w:eastAsia="Arial" w:hAnsi="Arial"/>
          <w:sz w:val="22"/>
          <w:szCs w:val="22"/>
          <w:b w:val="1"/>
          <w:bCs w:val="1"/>
          <w:color w:val="auto"/>
        </w:rPr>
        <w:t>Letter Agreement No. AAL-0319-LA-1804779R2</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Detail</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Airframe Model/MTOW:</w:t>
            </w:r>
          </w:p>
        </w:tc>
        <w:tc>
          <w:tcPr>
            <w:tcW w:w="80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787-9</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 pounds</w:t>
            </w:r>
          </w:p>
        </w:tc>
        <w:tc>
          <w:tcPr>
            <w:tcW w:w="860" w:type="dxa"/>
            <w:vAlign w:val="bottom"/>
          </w:tcPr>
          <w:p>
            <w:pPr>
              <w:spacing w:after="0"/>
              <w:rPr>
                <w:sz w:val="16"/>
                <w:szCs w:val="16"/>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Specification:</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60" w:type="dxa"/>
            <w:vAlign w:val="bottom"/>
            <w:gridSpan w:val="8"/>
          </w:tcPr>
          <w:p>
            <w:pPr>
              <w:spacing w:after="0"/>
              <w:rPr>
                <w:sz w:val="20"/>
                <w:szCs w:val="20"/>
                <w:color w:val="auto"/>
              </w:rPr>
            </w:pPr>
            <w:r>
              <w:rPr>
                <w:rFonts w:ascii="Arial" w:cs="Arial" w:eastAsia="Arial" w:hAnsi="Arial"/>
                <w:sz w:val="14"/>
                <w:szCs w:val="14"/>
                <w:b w:val="1"/>
                <w:bCs w:val="1"/>
                <w:color w:val="auto"/>
              </w:rPr>
              <w:t>Airframe Price Base Year/Escalation</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Engine Model/Thrust:</w:t>
            </w:r>
          </w:p>
        </w:tc>
        <w:tc>
          <w:tcPr>
            <w:tcW w:w="1600" w:type="dxa"/>
            <w:vAlign w:val="bottom"/>
            <w:gridSpan w:val="2"/>
          </w:tcPr>
          <w:p>
            <w:pPr>
              <w:jc w:val="center"/>
              <w:ind w:left="468"/>
              <w:spacing w:after="0"/>
              <w:rPr>
                <w:sz w:val="20"/>
                <w:szCs w:val="20"/>
                <w:color w:val="auto"/>
              </w:rPr>
            </w:pPr>
            <w:r>
              <w:rPr>
                <w:rFonts w:ascii="Arial" w:cs="Arial" w:eastAsia="Arial" w:hAnsi="Arial"/>
                <w:sz w:val="14"/>
                <w:szCs w:val="14"/>
                <w:color w:val="auto"/>
                <w:w w:val="97"/>
              </w:rPr>
              <w:t>GENX-1B74/75</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 pounds</w:t>
            </w:r>
          </w:p>
        </w:tc>
        <w:tc>
          <w:tcPr>
            <w:tcW w:w="860" w:type="dxa"/>
            <w:vAlign w:val="bottom"/>
          </w:tcPr>
          <w:p>
            <w:pPr>
              <w:spacing w:after="0"/>
              <w:rPr>
                <w:sz w:val="16"/>
                <w:szCs w:val="16"/>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Formula:</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340"/>
              <w:spacing w:after="0"/>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243"/>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Airframe Price:</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740" w:type="dxa"/>
            <w:vAlign w:val="bottom"/>
            <w:gridSpan w:val="9"/>
          </w:tcPr>
          <w:p>
            <w:pPr>
              <w:spacing w:after="0"/>
              <w:rPr>
                <w:sz w:val="20"/>
                <w:szCs w:val="20"/>
                <w:color w:val="auto"/>
              </w:rPr>
            </w:pPr>
            <w:r>
              <w:rPr>
                <w:rFonts w:ascii="Arial" w:cs="Arial" w:eastAsia="Arial" w:hAnsi="Arial"/>
                <w:sz w:val="14"/>
                <w:szCs w:val="14"/>
                <w:b w:val="1"/>
                <w:bCs w:val="1"/>
                <w:color w:val="auto"/>
                <w:w w:val="92"/>
              </w:rPr>
              <w:t>Engine Price Base Year/Escalation Formula:</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Optional Features:</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26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Sub-Total of Airframe and Features:</w:t>
            </w:r>
          </w:p>
        </w:tc>
        <w:tc>
          <w:tcPr>
            <w:tcW w:w="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5"/>
              </w:rPr>
              <w:t>Airframe Escalation Data:</w:t>
            </w:r>
          </w:p>
        </w:tc>
        <w:tc>
          <w:tcPr>
            <w:tcW w:w="60" w:type="dxa"/>
            <w:vAlign w:val="bottom"/>
            <w:vMerge w:val="restart"/>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620" w:type="dxa"/>
            <w:vAlign w:val="bottom"/>
            <w:gridSpan w:val="4"/>
            <w:vMerge w:val="continue"/>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Borders>
              <w:bottom w:val="single" w:sz="8" w:color="auto"/>
            </w:tcBorders>
            <w:gridSpan w:val="5"/>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Engine Price (Per Aircraft):</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Base Year Index (ECI):</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3420" w:type="dxa"/>
            <w:vAlign w:val="bottom"/>
            <w:gridSpan w:val="5"/>
          </w:tcPr>
          <w:p>
            <w:pPr>
              <w:ind w:left="80"/>
              <w:spacing w:after="0"/>
              <w:rPr>
                <w:sz w:val="20"/>
                <w:szCs w:val="20"/>
                <w:color w:val="auto"/>
              </w:rPr>
            </w:pPr>
            <w:r>
              <w:rPr>
                <w:rFonts w:ascii="Arial" w:cs="Arial" w:eastAsia="Arial" w:hAnsi="Arial"/>
                <w:sz w:val="14"/>
                <w:szCs w:val="14"/>
                <w:b w:val="1"/>
                <w:bCs w:val="1"/>
                <w:color w:val="auto"/>
              </w:rPr>
              <w:t>Aircraft Basic Price (Excluding BFE/SPE):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Base Year Index (CPI):</w:t>
            </w: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34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Buyer Furnished Equipment (BFE) Estimate:</w:t>
            </w: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Engine Escalation Data:</w:t>
            </w: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gridSpan w:val="5"/>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gridSpan w:val="6"/>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gridSpan w:val="5"/>
            <w:vMerge w:val="continue"/>
          </w:tcPr>
          <w:p>
            <w:pPr>
              <w:spacing w:after="0"/>
              <w:rPr>
                <w:sz w:val="13"/>
                <w:szCs w:val="13"/>
                <w:color w:val="auto"/>
              </w:rPr>
            </w:pPr>
          </w:p>
        </w:tc>
        <w:tc>
          <w:tcPr>
            <w:tcW w:w="940" w:type="dxa"/>
            <w:vAlign w:val="bottom"/>
          </w:tcPr>
          <w:p>
            <w:pPr>
              <w:jc w:val="right"/>
              <w:ind w:right="8"/>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420" w:type="dxa"/>
            <w:vAlign w:val="bottom"/>
            <w:gridSpan w:val="5"/>
          </w:tcPr>
          <w:p>
            <w:pPr>
              <w:ind w:left="80"/>
              <w:spacing w:after="0"/>
              <w:rPr>
                <w:sz w:val="20"/>
                <w:szCs w:val="20"/>
                <w:color w:val="auto"/>
              </w:rPr>
            </w:pPr>
            <w:r>
              <w:rPr>
                <w:rFonts w:ascii="Arial" w:cs="Arial" w:eastAsia="Arial" w:hAnsi="Arial"/>
                <w:sz w:val="14"/>
                <w:szCs w:val="14"/>
                <w:b w:val="1"/>
                <w:bCs w:val="1"/>
                <w:color w:val="auto"/>
              </w:rPr>
              <w:t>//Seller Purchased Equipment (SPE)/In-Flight</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20" w:type="dxa"/>
            <w:vAlign w:val="bottom"/>
            <w:gridSpan w:val="4"/>
          </w:tcPr>
          <w:p>
            <w:pPr>
              <w:ind w:left="80"/>
              <w:spacing w:after="0"/>
              <w:rPr>
                <w:sz w:val="20"/>
                <w:szCs w:val="20"/>
                <w:color w:val="auto"/>
              </w:rPr>
            </w:pPr>
            <w:r>
              <w:rPr>
                <w:rFonts w:ascii="Arial" w:cs="Arial" w:eastAsia="Arial" w:hAnsi="Arial"/>
                <w:sz w:val="14"/>
                <w:szCs w:val="14"/>
                <w:b w:val="1"/>
                <w:bCs w:val="1"/>
                <w:color w:val="auto"/>
              </w:rPr>
              <w:t>Entertainment (IFE)// Estimate:</w:t>
            </w:r>
          </w:p>
        </w:tc>
        <w:tc>
          <w:tcPr>
            <w:tcW w:w="8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Base Year Index (ECI):</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20" w:type="dxa"/>
            <w:vAlign w:val="bottom"/>
            <w:gridSpan w:val="5"/>
          </w:tcPr>
          <w:p>
            <w:pPr>
              <w:ind w:left="80"/>
              <w:spacing w:after="0"/>
              <w:rPr>
                <w:sz w:val="20"/>
                <w:szCs w:val="20"/>
                <w:color w:val="auto"/>
              </w:rPr>
            </w:pPr>
            <w:r>
              <w:rPr>
                <w:rFonts w:ascii="Arial" w:cs="Arial" w:eastAsia="Arial" w:hAnsi="Arial"/>
                <w:sz w:val="14"/>
                <w:szCs w:val="14"/>
                <w:b w:val="1"/>
                <w:bCs w:val="1"/>
                <w:color w:val="auto"/>
              </w:rPr>
              <w:t>LIFT Seats Provided by Boeing (Estimate):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Base Year Index (CPI):</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Deposit per Aircraft:</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gridSpan w:val="3"/>
          </w:tcPr>
          <w:p>
            <w:pPr>
              <w:spacing w:after="0"/>
              <w:rPr>
                <w:sz w:val="24"/>
                <w:szCs w:val="24"/>
                <w:color w:val="auto"/>
              </w:rPr>
            </w:pPr>
          </w:p>
        </w:tc>
        <w:tc>
          <w:tcPr>
            <w:tcW w:w="1060" w:type="dxa"/>
            <w:vAlign w:val="bottom"/>
            <w:tcBorders>
              <w:bottom w:val="single" w:sz="8" w:color="auto"/>
            </w:tcBorders>
            <w:gridSpan w:val="3"/>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8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40" w:type="dxa"/>
            <w:vAlign w:val="bottom"/>
            <w:shd w:val="clear" w:color="auto" w:fill="C0C0C0"/>
          </w:tcPr>
          <w:p>
            <w:pPr>
              <w:spacing w:after="0"/>
              <w:rPr>
                <w:sz w:val="11"/>
                <w:szCs w:val="11"/>
                <w:color w:val="auto"/>
              </w:rPr>
            </w:pPr>
          </w:p>
        </w:tc>
        <w:tc>
          <w:tcPr>
            <w:tcW w:w="240" w:type="dxa"/>
            <w:vAlign w:val="bottom"/>
            <w:tcBorders>
              <w:right w:val="single" w:sz="8" w:color="auto"/>
            </w:tcBorders>
            <w:shd w:val="clear" w:color="auto" w:fill="C0C0C0"/>
          </w:tcPr>
          <w:p>
            <w:pPr>
              <w:spacing w:after="0"/>
              <w:rPr>
                <w:sz w:val="11"/>
                <w:szCs w:val="11"/>
                <w:color w:val="auto"/>
              </w:rPr>
            </w:pPr>
          </w:p>
        </w:tc>
        <w:tc>
          <w:tcPr>
            <w:tcW w:w="1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20" w:type="dxa"/>
            <w:vAlign w:val="bottom"/>
          </w:tcPr>
          <w:p>
            <w:pPr>
              <w:spacing w:after="0"/>
              <w:rPr>
                <w:sz w:val="11"/>
                <w:szCs w:val="11"/>
                <w:color w:val="auto"/>
              </w:rPr>
            </w:pPr>
          </w:p>
        </w:tc>
        <w:tc>
          <w:tcPr>
            <w:tcW w:w="3820" w:type="dxa"/>
            <w:vAlign w:val="bottom"/>
            <w:tcBorders>
              <w:right w:val="single" w:sz="8" w:color="auto"/>
            </w:tcBorders>
            <w:gridSpan w:val="10"/>
          </w:tcPr>
          <w:p>
            <w:pPr>
              <w:jc w:val="center"/>
              <w:ind w:right="48"/>
              <w:spacing w:after="0" w:line="129" w:lineRule="exact"/>
              <w:rPr>
                <w:sz w:val="20"/>
                <w:szCs w:val="20"/>
                <w:color w:val="auto"/>
              </w:rPr>
            </w:pPr>
            <w:r>
              <w:rPr>
                <w:rFonts w:ascii="Arial" w:cs="Arial" w:eastAsia="Arial" w:hAnsi="Arial"/>
                <w:sz w:val="14"/>
                <w:szCs w:val="14"/>
                <w:b w:val="1"/>
                <w:bCs w:val="1"/>
                <w:color w:val="auto"/>
                <w:w w:val="95"/>
              </w:rPr>
              <w:t>Advance Payment Per Aircraft (Amts. Due/Mos. Prior to</w:t>
            </w:r>
          </w:p>
        </w:tc>
        <w:tc>
          <w:tcPr>
            <w:tcW w:w="0" w:type="dxa"/>
            <w:vAlign w:val="bottom"/>
          </w:tcPr>
          <w:p>
            <w:pPr>
              <w:spacing w:after="0"/>
              <w:rPr>
                <w:sz w:val="1"/>
                <w:szCs w:val="1"/>
                <w:color w:val="auto"/>
              </w:rPr>
            </w:pPr>
          </w:p>
        </w:tc>
      </w:tr>
      <w:tr>
        <w:trPr>
          <w:trHeight w:val="123"/>
        </w:trPr>
        <w:tc>
          <w:tcPr>
            <w:tcW w:w="98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shd w:val="clear" w:color="auto" w:fill="C0C0C0"/>
          </w:tcPr>
          <w:p>
            <w:pPr>
              <w:spacing w:after="0"/>
              <w:rPr>
                <w:sz w:val="10"/>
                <w:szCs w:val="10"/>
                <w:color w:val="auto"/>
              </w:rPr>
            </w:pPr>
          </w:p>
        </w:tc>
        <w:tc>
          <w:tcPr>
            <w:tcW w:w="240" w:type="dxa"/>
            <w:vAlign w:val="bottom"/>
            <w:tcBorders>
              <w:right w:val="single" w:sz="8" w:color="auto"/>
            </w:tcBorders>
            <w:shd w:val="clear" w:color="auto" w:fill="C0C0C0"/>
          </w:tcPr>
          <w:p>
            <w:pPr>
              <w:spacing w:after="0"/>
              <w:rPr>
                <w:sz w:val="10"/>
                <w:szCs w:val="10"/>
                <w:color w:val="auto"/>
              </w:rPr>
            </w:pPr>
          </w:p>
        </w:tc>
        <w:tc>
          <w:tcPr>
            <w:tcW w:w="120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w w:val="97"/>
              </w:rPr>
              <w:t>Delivery):</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80" w:type="dxa"/>
            <w:vAlign w:val="bottom"/>
            <w:tcBorders>
              <w:left w:val="single" w:sz="8" w:color="auto"/>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1"/>
              </w:rPr>
              <w:t>Escalation</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940" w:type="dxa"/>
            <w:vAlign w:val="bottom"/>
            <w:vMerge w:val="restart"/>
            <w:shd w:val="clear" w:color="auto" w:fill="C0C0C0"/>
          </w:tcPr>
          <w:p>
            <w:pPr>
              <w:jc w:val="center"/>
              <w:ind w:left="128"/>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0C0C0"/>
          </w:tcPr>
          <w:p>
            <w:pPr>
              <w:spacing w:after="0"/>
              <w:rPr>
                <w:sz w:val="5"/>
                <w:szCs w:val="5"/>
                <w:color w:val="auto"/>
              </w:rPr>
            </w:pPr>
          </w:p>
        </w:tc>
        <w:tc>
          <w:tcPr>
            <w:tcW w:w="1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98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940" w:type="dxa"/>
            <w:vAlign w:val="bottom"/>
            <w:vMerge w:val="continue"/>
            <w:shd w:val="clear" w:color="auto" w:fill="C0C0C0"/>
          </w:tcPr>
          <w:p>
            <w:pPr>
              <w:spacing w:after="0"/>
              <w:rPr>
                <w:sz w:val="10"/>
                <w:szCs w:val="10"/>
                <w:color w:val="auto"/>
              </w:rPr>
            </w:pPr>
          </w:p>
        </w:tc>
        <w:tc>
          <w:tcPr>
            <w:tcW w:w="240" w:type="dxa"/>
            <w:vAlign w:val="bottom"/>
            <w:tcBorders>
              <w:right w:val="single" w:sz="8" w:color="auto"/>
            </w:tcBorders>
            <w:shd w:val="clear" w:color="auto" w:fill="C0C0C0"/>
          </w:tcPr>
          <w:p>
            <w:pPr>
              <w:spacing w:after="0"/>
              <w:rPr>
                <w:sz w:val="10"/>
                <w:szCs w:val="10"/>
                <w:color w:val="auto"/>
              </w:rPr>
            </w:pPr>
          </w:p>
        </w:tc>
        <w:tc>
          <w:tcPr>
            <w:tcW w:w="120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98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1180" w:type="dxa"/>
            <w:vAlign w:val="bottom"/>
            <w:tcBorders>
              <w:bottom w:val="single" w:sz="8" w:color="C0C0C0"/>
              <w:right w:val="single" w:sz="8" w:color="auto"/>
            </w:tcBorders>
            <w:gridSpan w:val="2"/>
            <w:vMerge w:val="restart"/>
            <w:shd w:val="clear" w:color="auto" w:fill="C0C0C0"/>
          </w:tcPr>
          <w:p>
            <w:pPr>
              <w:jc w:val="center"/>
              <w:ind w:right="40"/>
              <w:spacing w:after="0"/>
              <w:rPr>
                <w:sz w:val="20"/>
                <w:szCs w:val="20"/>
                <w:color w:val="auto"/>
              </w:rPr>
            </w:pPr>
            <w:r>
              <w:rPr>
                <w:rFonts w:ascii="Arial" w:cs="Arial" w:eastAsia="Arial" w:hAnsi="Arial"/>
                <w:sz w:val="14"/>
                <w:szCs w:val="14"/>
                <w:b w:val="1"/>
                <w:bCs w:val="1"/>
                <w:color w:val="auto"/>
              </w:rPr>
              <w:t>Aircraft</w:t>
            </w:r>
          </w:p>
        </w:tc>
        <w:tc>
          <w:tcPr>
            <w:tcW w:w="1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Adv Payment</w:t>
            </w: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98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gridSpan w:val="2"/>
            <w:vMerge w:val="continue"/>
            <w:shd w:val="clear" w:color="auto" w:fill="C0C0C0"/>
          </w:tcPr>
          <w:p>
            <w:pPr>
              <w:spacing w:after="0"/>
              <w:rPr>
                <w:sz w:val="16"/>
                <w:szCs w:val="16"/>
                <w:color w:val="auto"/>
              </w:rPr>
            </w:pPr>
          </w:p>
        </w:tc>
        <w:tc>
          <w:tcPr>
            <w:tcW w:w="120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6"/>
                <w:szCs w:val="16"/>
                <w:color w:val="auto"/>
              </w:rPr>
            </w:pPr>
          </w:p>
        </w:tc>
        <w:tc>
          <w:tcPr>
            <w:tcW w:w="80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Factor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1180" w:type="dxa"/>
            <w:vAlign w:val="bottom"/>
            <w:tcBorders>
              <w:right w:val="single" w:sz="8" w:color="auto"/>
            </w:tcBorders>
            <w:gridSpan w:val="2"/>
            <w:shd w:val="clear" w:color="auto" w:fill="C0C0C0"/>
          </w:tcPr>
          <w:p>
            <w:pPr>
              <w:jc w:val="right"/>
              <w:ind w:right="300"/>
              <w:spacing w:after="0"/>
              <w:rPr>
                <w:sz w:val="20"/>
                <w:szCs w:val="20"/>
                <w:color w:val="auto"/>
              </w:rPr>
            </w:pPr>
            <w:r>
              <w:rPr>
                <w:rFonts w:ascii="Arial" w:cs="Arial" w:eastAsia="Arial" w:hAnsi="Arial"/>
                <w:sz w:val="14"/>
                <w:szCs w:val="14"/>
                <w:b w:val="1"/>
                <w:bCs w:val="1"/>
                <w:color w:val="auto"/>
              </w:rPr>
              <w:t>Scheduled</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Base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jc w:val="center"/>
              <w:ind w:right="2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7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60" w:type="dxa"/>
            <w:vAlign w:val="bottom"/>
          </w:tcPr>
          <w:p>
            <w:pPr>
              <w:spacing w:after="0"/>
              <w:rPr>
                <w:sz w:val="24"/>
                <w:szCs w:val="24"/>
                <w:color w:val="auto"/>
              </w:rPr>
            </w:pPr>
          </w:p>
        </w:tc>
        <w:tc>
          <w:tcPr>
            <w:tcW w:w="80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(Airframe)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(Engine)</w:t>
            </w:r>
          </w:p>
        </w:tc>
        <w:tc>
          <w:tcPr>
            <w:tcW w:w="1180" w:type="dxa"/>
            <w:vAlign w:val="bottom"/>
            <w:tcBorders>
              <w:bottom w:val="single" w:sz="8" w:color="C0C0C0"/>
              <w:right w:val="single" w:sz="8" w:color="auto"/>
            </w:tcBorders>
            <w:gridSpan w:val="2"/>
            <w:shd w:val="clear" w:color="auto" w:fill="C0C0C0"/>
          </w:tcPr>
          <w:p>
            <w:pPr>
              <w:jc w:val="center"/>
              <w:ind w:right="40"/>
              <w:spacing w:after="0"/>
              <w:rPr>
                <w:sz w:val="20"/>
                <w:szCs w:val="20"/>
                <w:color w:val="auto"/>
              </w:rPr>
            </w:pPr>
            <w:r>
              <w:rPr>
                <w:rFonts w:ascii="Arial" w:cs="Arial" w:eastAsia="Arial" w:hAnsi="Arial"/>
                <w:sz w:val="14"/>
                <w:szCs w:val="14"/>
                <w:b w:val="1"/>
                <w:bCs w:val="1"/>
                <w:color w:val="auto"/>
                <w:w w:val="97"/>
              </w:rPr>
              <w:t>Delivery Quarter</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Price Per A/P</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right w:val="single" w:sz="8" w:color="auto"/>
            </w:tcBorders>
          </w:tcPr>
          <w:p>
            <w:pPr>
              <w:jc w:val="center"/>
              <w:ind w:right="2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18"/>
                <w:szCs w:val="18"/>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 xml:space="preserve">AAL-PA-03219-LA-1804779R2, Attach A, [****] SA-20 121644-1O.txt </w:t>
      </w:r>
      <w:r>
        <w:rPr>
          <w:rFonts w:ascii="Arial" w:cs="Arial" w:eastAsia="Arial" w:hAnsi="Arial"/>
          <w:sz w:val="14"/>
          <w:szCs w:val="14"/>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Page 1</w:t>
      </w:r>
    </w:p>
    <w:p>
      <w:pPr>
        <w:sectPr>
          <w:pgSz w:w="11900" w:h="16838" w:orient="portrait"/>
          <w:cols w:equalWidth="0" w:num="2">
            <w:col w:w="3420" w:space="640"/>
            <w:col w:w="6079"/>
          </w:cols>
          <w:pgMar w:left="320" w:top="86" w:right="1440" w:bottom="1440" w:gutter="0" w:footer="0" w:header="0"/>
          <w:type w:val="continuous"/>
        </w:sectPr>
      </w:pPr>
    </w:p>
    <w:bookmarkStart w:id="132" w:name="page133"/>
    <w:bookmarkEnd w:id="132"/>
    <w:p>
      <w:pPr>
        <w:jc w:val="center"/>
        <w:ind w:right="-1100"/>
        <w:spacing w:after="0"/>
        <w:rPr>
          <w:sz w:val="20"/>
          <w:szCs w:val="20"/>
          <w:color w:val="auto"/>
        </w:rPr>
      </w:pPr>
      <w:r>
        <w:rPr>
          <w:rFonts w:ascii="Arial" w:cs="Arial" w:eastAsia="Arial" w:hAnsi="Arial"/>
          <w:sz w:val="22"/>
          <w:szCs w:val="22"/>
          <w:b w:val="1"/>
          <w:bCs w:val="1"/>
          <w:color w:val="auto"/>
        </w:rPr>
        <w:t>Attachment A to</w:t>
      </w:r>
    </w:p>
    <w:p>
      <w:pPr>
        <w:jc w:val="center"/>
        <w:ind w:right="-1100"/>
        <w:spacing w:after="0" w:line="204" w:lineRule="auto"/>
        <w:rPr>
          <w:sz w:val="20"/>
          <w:szCs w:val="20"/>
          <w:color w:val="auto"/>
        </w:rPr>
      </w:pPr>
      <w:r>
        <w:rPr>
          <w:rFonts w:ascii="Arial" w:cs="Arial" w:eastAsia="Arial" w:hAnsi="Arial"/>
          <w:sz w:val="22"/>
          <w:szCs w:val="22"/>
          <w:b w:val="1"/>
          <w:bCs w:val="1"/>
          <w:color w:val="auto"/>
        </w:rPr>
        <w:t>Letter Agreement No. AAL-0319-LA-1804779R2</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shd w:val="clear" w:color="auto" w:fill="C0C0C0"/>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396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Advance Payment Per Aircraft (Amts. Due/Mos. Prior to</w:t>
            </w: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1220" w:type="dxa"/>
            <w:vAlign w:val="bottom"/>
          </w:tcPr>
          <w:p>
            <w:pPr>
              <w:spacing w:after="0"/>
              <w:rPr>
                <w:sz w:val="16"/>
                <w:szCs w:val="16"/>
                <w:color w:val="auto"/>
              </w:rPr>
            </w:pPr>
          </w:p>
        </w:tc>
        <w:tc>
          <w:tcPr>
            <w:tcW w:w="106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3"/>
              </w:rPr>
              <w:t>Delivery):</w:t>
            </w:r>
          </w:p>
        </w:tc>
        <w:tc>
          <w:tcPr>
            <w:tcW w:w="8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940" w:type="dxa"/>
            <w:vAlign w:val="bottom"/>
            <w:tcBorders>
              <w:left w:val="single" w:sz="8" w:color="auto"/>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118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Aircraft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Adv Payment</w:t>
            </w: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continue"/>
            <w:shd w:val="clear" w:color="auto" w:fill="C0C0C0"/>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Scheduled</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Base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(Engine)</w:t>
            </w:r>
          </w:p>
        </w:tc>
        <w:tc>
          <w:tcPr>
            <w:tcW w:w="11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7"/>
              </w:rPr>
              <w:t>Delivery Quarter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A/P</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2026</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14</w:t>
            </w:r>
          </w:p>
        </w:tc>
        <w:tc>
          <w:tcPr>
            <w:tcW w:w="8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80"/>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Note: [****]</w:t>
      </w:r>
    </w:p>
    <w:p>
      <w:pPr>
        <w:sectPr>
          <w:pgSz w:w="11900" w:h="16838" w:orient="portrait"/>
          <w:cols w:equalWidth="0" w:num="1">
            <w:col w:w="10139"/>
          </w:cols>
          <w:pgMar w:left="320" w:top="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AAL-PA-03219-LA-1804779R2, Attach A, [****] SA-20 121644-1O.txt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ectPr>
          <w:pgSz w:w="11900" w:h="16838" w:orient="portrait"/>
          <w:cols w:equalWidth="0" w:num="2">
            <w:col w:w="3420" w:space="640"/>
            <w:col w:w="6079"/>
          </w:cols>
          <w:pgMar w:left="320" w:top="86" w:right="1440" w:bottom="1440" w:gutter="0" w:footer="0" w:header="0"/>
          <w:type w:val="continuous"/>
        </w:sectPr>
      </w:pPr>
    </w:p>
    <w:bookmarkStart w:id="133" w:name="page134"/>
    <w:bookmarkEnd w:id="133"/>
    <w:p>
      <w:pPr>
        <w:jc w:val="center"/>
        <w:ind w:right="-1100"/>
        <w:spacing w:after="0"/>
        <w:rPr>
          <w:sz w:val="20"/>
          <w:szCs w:val="20"/>
          <w:color w:val="auto"/>
        </w:rPr>
      </w:pPr>
      <w:r>
        <w:rPr>
          <w:rFonts w:ascii="Arial" w:cs="Arial" w:eastAsia="Arial" w:hAnsi="Arial"/>
          <w:sz w:val="22"/>
          <w:szCs w:val="22"/>
          <w:b w:val="1"/>
          <w:bCs w:val="1"/>
          <w:color w:val="auto"/>
        </w:rPr>
        <w:t>Attachment B to</w:t>
      </w:r>
    </w:p>
    <w:p>
      <w:pPr>
        <w:jc w:val="center"/>
        <w:ind w:right="-1100"/>
        <w:spacing w:after="0" w:line="204" w:lineRule="auto"/>
        <w:rPr>
          <w:sz w:val="20"/>
          <w:szCs w:val="20"/>
          <w:color w:val="auto"/>
        </w:rPr>
      </w:pPr>
      <w:r>
        <w:rPr>
          <w:rFonts w:ascii="Arial" w:cs="Arial" w:eastAsia="Arial" w:hAnsi="Arial"/>
          <w:sz w:val="22"/>
          <w:szCs w:val="22"/>
          <w:b w:val="1"/>
          <w:bCs w:val="1"/>
          <w:color w:val="auto"/>
        </w:rPr>
        <w:t>Letter Agreement No. AAL-0319-LA-1804779R2</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Detail</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Airframe Model/MTOW:</w:t>
            </w:r>
          </w:p>
        </w:tc>
        <w:tc>
          <w:tcPr>
            <w:tcW w:w="80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787-9</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 pounds</w:t>
            </w:r>
          </w:p>
        </w:tc>
        <w:tc>
          <w:tcPr>
            <w:tcW w:w="860" w:type="dxa"/>
            <w:vAlign w:val="bottom"/>
          </w:tcPr>
          <w:p>
            <w:pPr>
              <w:spacing w:after="0"/>
              <w:rPr>
                <w:sz w:val="16"/>
                <w:szCs w:val="16"/>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Specification:</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60" w:type="dxa"/>
            <w:vAlign w:val="bottom"/>
            <w:gridSpan w:val="8"/>
          </w:tcPr>
          <w:p>
            <w:pPr>
              <w:spacing w:after="0"/>
              <w:rPr>
                <w:sz w:val="20"/>
                <w:szCs w:val="20"/>
                <w:color w:val="auto"/>
              </w:rPr>
            </w:pPr>
            <w:r>
              <w:rPr>
                <w:rFonts w:ascii="Arial" w:cs="Arial" w:eastAsia="Arial" w:hAnsi="Arial"/>
                <w:sz w:val="14"/>
                <w:szCs w:val="14"/>
                <w:b w:val="1"/>
                <w:bCs w:val="1"/>
                <w:color w:val="auto"/>
              </w:rPr>
              <w:t>Airframe Price Base Year/Escalation</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Engine Model/Thrust:</w:t>
            </w:r>
          </w:p>
        </w:tc>
        <w:tc>
          <w:tcPr>
            <w:tcW w:w="1600" w:type="dxa"/>
            <w:vAlign w:val="bottom"/>
            <w:gridSpan w:val="2"/>
          </w:tcPr>
          <w:p>
            <w:pPr>
              <w:jc w:val="center"/>
              <w:ind w:left="468"/>
              <w:spacing w:after="0"/>
              <w:rPr>
                <w:sz w:val="20"/>
                <w:szCs w:val="20"/>
                <w:color w:val="auto"/>
              </w:rPr>
            </w:pPr>
            <w:r>
              <w:rPr>
                <w:rFonts w:ascii="Arial" w:cs="Arial" w:eastAsia="Arial" w:hAnsi="Arial"/>
                <w:sz w:val="14"/>
                <w:szCs w:val="14"/>
                <w:color w:val="auto"/>
                <w:w w:val="97"/>
              </w:rPr>
              <w:t>GENX-1B74/75</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 pounds</w:t>
            </w:r>
          </w:p>
        </w:tc>
        <w:tc>
          <w:tcPr>
            <w:tcW w:w="860" w:type="dxa"/>
            <w:vAlign w:val="bottom"/>
          </w:tcPr>
          <w:p>
            <w:pPr>
              <w:spacing w:after="0"/>
              <w:rPr>
                <w:sz w:val="16"/>
                <w:szCs w:val="16"/>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Formula:</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340"/>
              <w:spacing w:after="0"/>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243"/>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Airframe Price:</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740" w:type="dxa"/>
            <w:vAlign w:val="bottom"/>
            <w:gridSpan w:val="9"/>
          </w:tcPr>
          <w:p>
            <w:pPr>
              <w:spacing w:after="0"/>
              <w:rPr>
                <w:sz w:val="20"/>
                <w:szCs w:val="20"/>
                <w:color w:val="auto"/>
              </w:rPr>
            </w:pPr>
            <w:r>
              <w:rPr>
                <w:rFonts w:ascii="Arial" w:cs="Arial" w:eastAsia="Arial" w:hAnsi="Arial"/>
                <w:sz w:val="14"/>
                <w:szCs w:val="14"/>
                <w:b w:val="1"/>
                <w:bCs w:val="1"/>
                <w:color w:val="auto"/>
                <w:w w:val="92"/>
              </w:rPr>
              <w:t>Engine Price Base Year/Escalation Formula:</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Optional Features:</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26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Sub-Total of Airframe and Features:</w:t>
            </w:r>
          </w:p>
        </w:tc>
        <w:tc>
          <w:tcPr>
            <w:tcW w:w="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5"/>
              </w:rPr>
              <w:t>Airframe Escalation Data:</w:t>
            </w:r>
          </w:p>
        </w:tc>
        <w:tc>
          <w:tcPr>
            <w:tcW w:w="60" w:type="dxa"/>
            <w:vAlign w:val="bottom"/>
            <w:vMerge w:val="restart"/>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620" w:type="dxa"/>
            <w:vAlign w:val="bottom"/>
            <w:gridSpan w:val="4"/>
            <w:vMerge w:val="continue"/>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tcBorders>
              <w:bottom w:val="single" w:sz="8" w:color="auto"/>
            </w:tcBorders>
            <w:gridSpan w:val="5"/>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Engine Price (Per Aircraft):</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Base Year Index (ECI):</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3420" w:type="dxa"/>
            <w:vAlign w:val="bottom"/>
            <w:gridSpan w:val="5"/>
          </w:tcPr>
          <w:p>
            <w:pPr>
              <w:ind w:left="80"/>
              <w:spacing w:after="0"/>
              <w:rPr>
                <w:sz w:val="20"/>
                <w:szCs w:val="20"/>
                <w:color w:val="auto"/>
              </w:rPr>
            </w:pPr>
            <w:r>
              <w:rPr>
                <w:rFonts w:ascii="Arial" w:cs="Arial" w:eastAsia="Arial" w:hAnsi="Arial"/>
                <w:sz w:val="14"/>
                <w:szCs w:val="14"/>
                <w:b w:val="1"/>
                <w:bCs w:val="1"/>
                <w:color w:val="auto"/>
              </w:rPr>
              <w:t>Aircraft Basic Price (Excluding BFE/SPE):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Base Year Index (CPI):</w:t>
            </w: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34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Buyer Furnished Equipment (BFE) Estimate:</w:t>
            </w: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Engine Escalation Data:</w:t>
            </w: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gridSpan w:val="5"/>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gridSpan w:val="6"/>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gridSpan w:val="5"/>
            <w:vMerge w:val="continue"/>
          </w:tcPr>
          <w:p>
            <w:pPr>
              <w:spacing w:after="0"/>
              <w:rPr>
                <w:sz w:val="13"/>
                <w:szCs w:val="13"/>
                <w:color w:val="auto"/>
              </w:rPr>
            </w:pPr>
          </w:p>
        </w:tc>
        <w:tc>
          <w:tcPr>
            <w:tcW w:w="940" w:type="dxa"/>
            <w:vAlign w:val="bottom"/>
          </w:tcPr>
          <w:p>
            <w:pPr>
              <w:jc w:val="right"/>
              <w:ind w:right="8"/>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420" w:type="dxa"/>
            <w:vAlign w:val="bottom"/>
            <w:gridSpan w:val="5"/>
          </w:tcPr>
          <w:p>
            <w:pPr>
              <w:ind w:left="80"/>
              <w:spacing w:after="0"/>
              <w:rPr>
                <w:sz w:val="20"/>
                <w:szCs w:val="20"/>
                <w:color w:val="auto"/>
              </w:rPr>
            </w:pPr>
            <w:r>
              <w:rPr>
                <w:rFonts w:ascii="Arial" w:cs="Arial" w:eastAsia="Arial" w:hAnsi="Arial"/>
                <w:sz w:val="14"/>
                <w:szCs w:val="14"/>
                <w:b w:val="1"/>
                <w:bCs w:val="1"/>
                <w:color w:val="auto"/>
              </w:rPr>
              <w:t>//Seller Purchased Equipment (SPE)/In-Flight</w:t>
            </w: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20" w:type="dxa"/>
            <w:vAlign w:val="bottom"/>
            <w:gridSpan w:val="4"/>
          </w:tcPr>
          <w:p>
            <w:pPr>
              <w:ind w:left="80"/>
              <w:spacing w:after="0"/>
              <w:rPr>
                <w:sz w:val="20"/>
                <w:szCs w:val="20"/>
                <w:color w:val="auto"/>
              </w:rPr>
            </w:pPr>
            <w:r>
              <w:rPr>
                <w:rFonts w:ascii="Arial" w:cs="Arial" w:eastAsia="Arial" w:hAnsi="Arial"/>
                <w:sz w:val="14"/>
                <w:szCs w:val="14"/>
                <w:b w:val="1"/>
                <w:bCs w:val="1"/>
                <w:color w:val="auto"/>
              </w:rPr>
              <w:t>Entertainment (IFE)// Estimate:</w:t>
            </w:r>
          </w:p>
        </w:tc>
        <w:tc>
          <w:tcPr>
            <w:tcW w:w="8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Base Year Index (ECI):</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20" w:type="dxa"/>
            <w:vAlign w:val="bottom"/>
            <w:gridSpan w:val="5"/>
          </w:tcPr>
          <w:p>
            <w:pPr>
              <w:ind w:left="80"/>
              <w:spacing w:after="0"/>
              <w:rPr>
                <w:sz w:val="20"/>
                <w:szCs w:val="20"/>
                <w:color w:val="auto"/>
              </w:rPr>
            </w:pPr>
            <w:r>
              <w:rPr>
                <w:rFonts w:ascii="Arial" w:cs="Arial" w:eastAsia="Arial" w:hAnsi="Arial"/>
                <w:sz w:val="14"/>
                <w:szCs w:val="14"/>
                <w:b w:val="1"/>
                <w:bCs w:val="1"/>
                <w:color w:val="auto"/>
              </w:rPr>
              <w:t>LIFT Seats Provided by Boeing (Estimate):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700" w:type="dxa"/>
            <w:vAlign w:val="bottom"/>
            <w:gridSpan w:val="6"/>
          </w:tcPr>
          <w:p>
            <w:pPr>
              <w:spacing w:after="0"/>
              <w:rPr>
                <w:sz w:val="20"/>
                <w:szCs w:val="20"/>
                <w:color w:val="auto"/>
              </w:rPr>
            </w:pPr>
            <w:r>
              <w:rPr>
                <w:rFonts w:ascii="Arial" w:cs="Arial" w:eastAsia="Arial" w:hAnsi="Arial"/>
                <w:sz w:val="14"/>
                <w:szCs w:val="14"/>
                <w:b w:val="1"/>
                <w:bCs w:val="1"/>
                <w:color w:val="auto"/>
              </w:rPr>
              <w:t>Base Year Index (CPI):</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3"/>
          </w:tcPr>
          <w:p>
            <w:pPr>
              <w:jc w:val="right"/>
              <w:ind w:right="5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Deposit per Aircraft:</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800" w:type="dxa"/>
            <w:vAlign w:val="bottom"/>
            <w:tcBorders>
              <w:bottom w:val="single" w:sz="8" w:color="auto"/>
            </w:tcBorders>
            <w:gridSpan w:val="3"/>
          </w:tcPr>
          <w:p>
            <w:pPr>
              <w:spacing w:after="0"/>
              <w:rPr>
                <w:sz w:val="24"/>
                <w:szCs w:val="24"/>
                <w:color w:val="auto"/>
              </w:rPr>
            </w:pPr>
          </w:p>
        </w:tc>
        <w:tc>
          <w:tcPr>
            <w:tcW w:w="1060" w:type="dxa"/>
            <w:vAlign w:val="bottom"/>
            <w:tcBorders>
              <w:bottom w:val="single" w:sz="8" w:color="auto"/>
            </w:tcBorders>
            <w:gridSpan w:val="3"/>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8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40" w:type="dxa"/>
            <w:vAlign w:val="bottom"/>
            <w:shd w:val="clear" w:color="auto" w:fill="C0C0C0"/>
          </w:tcPr>
          <w:p>
            <w:pPr>
              <w:spacing w:after="0"/>
              <w:rPr>
                <w:sz w:val="11"/>
                <w:szCs w:val="11"/>
                <w:color w:val="auto"/>
              </w:rPr>
            </w:pPr>
          </w:p>
        </w:tc>
        <w:tc>
          <w:tcPr>
            <w:tcW w:w="240" w:type="dxa"/>
            <w:vAlign w:val="bottom"/>
            <w:tcBorders>
              <w:right w:val="single" w:sz="8" w:color="auto"/>
            </w:tcBorders>
            <w:shd w:val="clear" w:color="auto" w:fill="C0C0C0"/>
          </w:tcPr>
          <w:p>
            <w:pPr>
              <w:spacing w:after="0"/>
              <w:rPr>
                <w:sz w:val="11"/>
                <w:szCs w:val="11"/>
                <w:color w:val="auto"/>
              </w:rPr>
            </w:pPr>
          </w:p>
        </w:tc>
        <w:tc>
          <w:tcPr>
            <w:tcW w:w="1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20" w:type="dxa"/>
            <w:vAlign w:val="bottom"/>
          </w:tcPr>
          <w:p>
            <w:pPr>
              <w:spacing w:after="0"/>
              <w:rPr>
                <w:sz w:val="11"/>
                <w:szCs w:val="11"/>
                <w:color w:val="auto"/>
              </w:rPr>
            </w:pPr>
          </w:p>
        </w:tc>
        <w:tc>
          <w:tcPr>
            <w:tcW w:w="3820" w:type="dxa"/>
            <w:vAlign w:val="bottom"/>
            <w:tcBorders>
              <w:right w:val="single" w:sz="8" w:color="auto"/>
            </w:tcBorders>
            <w:gridSpan w:val="10"/>
          </w:tcPr>
          <w:p>
            <w:pPr>
              <w:jc w:val="center"/>
              <w:ind w:right="48"/>
              <w:spacing w:after="0" w:line="129" w:lineRule="exact"/>
              <w:rPr>
                <w:sz w:val="20"/>
                <w:szCs w:val="20"/>
                <w:color w:val="auto"/>
              </w:rPr>
            </w:pPr>
            <w:r>
              <w:rPr>
                <w:rFonts w:ascii="Arial" w:cs="Arial" w:eastAsia="Arial" w:hAnsi="Arial"/>
                <w:sz w:val="14"/>
                <w:szCs w:val="14"/>
                <w:b w:val="1"/>
                <w:bCs w:val="1"/>
                <w:color w:val="auto"/>
                <w:w w:val="95"/>
              </w:rPr>
              <w:t>Advance Payment Per Aircraft (Amts. Due/Mos. Prior to</w:t>
            </w:r>
          </w:p>
        </w:tc>
        <w:tc>
          <w:tcPr>
            <w:tcW w:w="0" w:type="dxa"/>
            <w:vAlign w:val="bottom"/>
          </w:tcPr>
          <w:p>
            <w:pPr>
              <w:spacing w:after="0"/>
              <w:rPr>
                <w:sz w:val="1"/>
                <w:szCs w:val="1"/>
                <w:color w:val="auto"/>
              </w:rPr>
            </w:pPr>
          </w:p>
        </w:tc>
      </w:tr>
      <w:tr>
        <w:trPr>
          <w:trHeight w:val="123"/>
        </w:trPr>
        <w:tc>
          <w:tcPr>
            <w:tcW w:w="98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40" w:type="dxa"/>
            <w:vAlign w:val="bottom"/>
            <w:shd w:val="clear" w:color="auto" w:fill="C0C0C0"/>
          </w:tcPr>
          <w:p>
            <w:pPr>
              <w:spacing w:after="0"/>
              <w:rPr>
                <w:sz w:val="10"/>
                <w:szCs w:val="10"/>
                <w:color w:val="auto"/>
              </w:rPr>
            </w:pPr>
          </w:p>
        </w:tc>
        <w:tc>
          <w:tcPr>
            <w:tcW w:w="240" w:type="dxa"/>
            <w:vAlign w:val="bottom"/>
            <w:tcBorders>
              <w:right w:val="single" w:sz="8" w:color="auto"/>
            </w:tcBorders>
            <w:shd w:val="clear" w:color="auto" w:fill="C0C0C0"/>
          </w:tcPr>
          <w:p>
            <w:pPr>
              <w:spacing w:after="0"/>
              <w:rPr>
                <w:sz w:val="10"/>
                <w:szCs w:val="10"/>
                <w:color w:val="auto"/>
              </w:rPr>
            </w:pPr>
          </w:p>
        </w:tc>
        <w:tc>
          <w:tcPr>
            <w:tcW w:w="120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w w:val="97"/>
              </w:rPr>
              <w:t>Delivery):</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980" w:type="dxa"/>
            <w:vAlign w:val="bottom"/>
            <w:tcBorders>
              <w:left w:val="single" w:sz="8" w:color="auto"/>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1"/>
              </w:rPr>
              <w:t>Escalation</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940" w:type="dxa"/>
            <w:vAlign w:val="bottom"/>
            <w:vMerge w:val="restart"/>
            <w:shd w:val="clear" w:color="auto" w:fill="C0C0C0"/>
          </w:tcPr>
          <w:p>
            <w:pPr>
              <w:jc w:val="center"/>
              <w:ind w:left="128"/>
              <w:spacing w:after="0"/>
              <w:rPr>
                <w:sz w:val="20"/>
                <w:szCs w:val="20"/>
                <w:color w:val="auto"/>
              </w:rPr>
            </w:pPr>
            <w:r>
              <w:rPr>
                <w:rFonts w:ascii="Arial" w:cs="Arial" w:eastAsia="Arial" w:hAnsi="Arial"/>
                <w:sz w:val="14"/>
                <w:szCs w:val="14"/>
                <w:b w:val="1"/>
                <w:bCs w:val="1"/>
                <w:color w:val="auto"/>
              </w:rPr>
              <w:t>[****]</w:t>
            </w:r>
          </w:p>
        </w:tc>
        <w:tc>
          <w:tcPr>
            <w:tcW w:w="240" w:type="dxa"/>
            <w:vAlign w:val="bottom"/>
            <w:tcBorders>
              <w:right w:val="single" w:sz="8" w:color="auto"/>
            </w:tcBorders>
            <w:shd w:val="clear" w:color="auto" w:fill="C0C0C0"/>
          </w:tcPr>
          <w:p>
            <w:pPr>
              <w:spacing w:after="0"/>
              <w:rPr>
                <w:sz w:val="5"/>
                <w:szCs w:val="5"/>
                <w:color w:val="auto"/>
              </w:rPr>
            </w:pPr>
          </w:p>
        </w:tc>
        <w:tc>
          <w:tcPr>
            <w:tcW w:w="1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98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940" w:type="dxa"/>
            <w:vAlign w:val="bottom"/>
            <w:vMerge w:val="continue"/>
            <w:shd w:val="clear" w:color="auto" w:fill="C0C0C0"/>
          </w:tcPr>
          <w:p>
            <w:pPr>
              <w:spacing w:after="0"/>
              <w:rPr>
                <w:sz w:val="10"/>
                <w:szCs w:val="10"/>
                <w:color w:val="auto"/>
              </w:rPr>
            </w:pPr>
          </w:p>
        </w:tc>
        <w:tc>
          <w:tcPr>
            <w:tcW w:w="240" w:type="dxa"/>
            <w:vAlign w:val="bottom"/>
            <w:tcBorders>
              <w:right w:val="single" w:sz="8" w:color="auto"/>
            </w:tcBorders>
            <w:shd w:val="clear" w:color="auto" w:fill="C0C0C0"/>
          </w:tcPr>
          <w:p>
            <w:pPr>
              <w:spacing w:after="0"/>
              <w:rPr>
                <w:sz w:val="10"/>
                <w:szCs w:val="10"/>
                <w:color w:val="auto"/>
              </w:rPr>
            </w:pPr>
          </w:p>
        </w:tc>
        <w:tc>
          <w:tcPr>
            <w:tcW w:w="120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98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1180" w:type="dxa"/>
            <w:vAlign w:val="bottom"/>
            <w:tcBorders>
              <w:bottom w:val="single" w:sz="8" w:color="C0C0C0"/>
              <w:right w:val="single" w:sz="8" w:color="auto"/>
            </w:tcBorders>
            <w:gridSpan w:val="2"/>
            <w:vMerge w:val="restart"/>
            <w:shd w:val="clear" w:color="auto" w:fill="C0C0C0"/>
          </w:tcPr>
          <w:p>
            <w:pPr>
              <w:jc w:val="center"/>
              <w:ind w:right="40"/>
              <w:spacing w:after="0"/>
              <w:rPr>
                <w:sz w:val="20"/>
                <w:szCs w:val="20"/>
                <w:color w:val="auto"/>
              </w:rPr>
            </w:pPr>
            <w:r>
              <w:rPr>
                <w:rFonts w:ascii="Arial" w:cs="Arial" w:eastAsia="Arial" w:hAnsi="Arial"/>
                <w:sz w:val="14"/>
                <w:szCs w:val="14"/>
                <w:b w:val="1"/>
                <w:bCs w:val="1"/>
                <w:color w:val="auto"/>
              </w:rPr>
              <w:t>Aircraft</w:t>
            </w:r>
          </w:p>
        </w:tc>
        <w:tc>
          <w:tcPr>
            <w:tcW w:w="1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Adv Payment</w:t>
            </w: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98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gridSpan w:val="2"/>
            <w:vMerge w:val="continue"/>
            <w:shd w:val="clear" w:color="auto" w:fill="C0C0C0"/>
          </w:tcPr>
          <w:p>
            <w:pPr>
              <w:spacing w:after="0"/>
              <w:rPr>
                <w:sz w:val="16"/>
                <w:szCs w:val="16"/>
                <w:color w:val="auto"/>
              </w:rPr>
            </w:pPr>
          </w:p>
        </w:tc>
        <w:tc>
          <w:tcPr>
            <w:tcW w:w="120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6"/>
                <w:szCs w:val="16"/>
                <w:color w:val="auto"/>
              </w:rPr>
            </w:pPr>
          </w:p>
        </w:tc>
        <w:tc>
          <w:tcPr>
            <w:tcW w:w="80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Factor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Factor</w:t>
            </w:r>
          </w:p>
        </w:tc>
        <w:tc>
          <w:tcPr>
            <w:tcW w:w="1180" w:type="dxa"/>
            <w:vAlign w:val="bottom"/>
            <w:tcBorders>
              <w:right w:val="single" w:sz="8" w:color="auto"/>
            </w:tcBorders>
            <w:gridSpan w:val="2"/>
            <w:shd w:val="clear" w:color="auto" w:fill="C0C0C0"/>
          </w:tcPr>
          <w:p>
            <w:pPr>
              <w:jc w:val="right"/>
              <w:ind w:right="300"/>
              <w:spacing w:after="0"/>
              <w:rPr>
                <w:sz w:val="20"/>
                <w:szCs w:val="20"/>
                <w:color w:val="auto"/>
              </w:rPr>
            </w:pPr>
            <w:r>
              <w:rPr>
                <w:rFonts w:ascii="Arial" w:cs="Arial" w:eastAsia="Arial" w:hAnsi="Arial"/>
                <w:sz w:val="14"/>
                <w:szCs w:val="14"/>
                <w:b w:val="1"/>
                <w:bCs w:val="1"/>
                <w:color w:val="auto"/>
              </w:rPr>
              <w:t>Scheduled</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Base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jc w:val="center"/>
              <w:ind w:right="2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7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2"/>
        </w:trPr>
        <w:tc>
          <w:tcPr>
            <w:tcW w:w="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60" w:type="dxa"/>
            <w:vAlign w:val="bottom"/>
          </w:tcPr>
          <w:p>
            <w:pPr>
              <w:spacing w:after="0"/>
              <w:rPr>
                <w:sz w:val="24"/>
                <w:szCs w:val="24"/>
                <w:color w:val="auto"/>
              </w:rPr>
            </w:pPr>
          </w:p>
        </w:tc>
        <w:tc>
          <w:tcPr>
            <w:tcW w:w="80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(Airframe)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(Engine)</w:t>
            </w:r>
          </w:p>
        </w:tc>
        <w:tc>
          <w:tcPr>
            <w:tcW w:w="1180" w:type="dxa"/>
            <w:vAlign w:val="bottom"/>
            <w:tcBorders>
              <w:bottom w:val="single" w:sz="8" w:color="C0C0C0"/>
              <w:right w:val="single" w:sz="8" w:color="auto"/>
            </w:tcBorders>
            <w:gridSpan w:val="2"/>
            <w:shd w:val="clear" w:color="auto" w:fill="C0C0C0"/>
          </w:tcPr>
          <w:p>
            <w:pPr>
              <w:jc w:val="center"/>
              <w:ind w:right="40"/>
              <w:spacing w:after="0"/>
              <w:rPr>
                <w:sz w:val="20"/>
                <w:szCs w:val="20"/>
                <w:color w:val="auto"/>
              </w:rPr>
            </w:pPr>
            <w:r>
              <w:rPr>
                <w:rFonts w:ascii="Arial" w:cs="Arial" w:eastAsia="Arial" w:hAnsi="Arial"/>
                <w:sz w:val="14"/>
                <w:szCs w:val="14"/>
                <w:b w:val="1"/>
                <w:bCs w:val="1"/>
                <w:color w:val="auto"/>
                <w:w w:val="97"/>
              </w:rPr>
              <w:t>Delivery Quarter</w:t>
            </w:r>
          </w:p>
        </w:tc>
        <w:tc>
          <w:tcPr>
            <w:tcW w:w="12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Price Per A/P</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right w:val="single" w:sz="8" w:color="auto"/>
            </w:tcBorders>
          </w:tcPr>
          <w:p>
            <w:pPr>
              <w:jc w:val="center"/>
              <w:ind w:right="2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20"/>
                <w:szCs w:val="20"/>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2027</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C0C0C0"/>
            </w:tcBorders>
            <w:shd w:val="clear" w:color="auto" w:fill="C0C0C0"/>
          </w:tcPr>
          <w:p>
            <w:pPr>
              <w:jc w:val="center"/>
              <w:ind w:left="128"/>
              <w:spacing w:after="0"/>
              <w:rPr>
                <w:sz w:val="20"/>
                <w:szCs w:val="20"/>
                <w:color w:val="auto"/>
              </w:rPr>
            </w:pPr>
            <w:r>
              <w:rPr>
                <w:rFonts w:ascii="Arial" w:cs="Arial" w:eastAsia="Arial" w:hAnsi="Arial"/>
                <w:sz w:val="14"/>
                <w:szCs w:val="14"/>
                <w:color w:val="auto"/>
              </w:rPr>
              <w:t>[****] 2027</w:t>
            </w:r>
          </w:p>
        </w:tc>
        <w:tc>
          <w:tcPr>
            <w:tcW w:w="240" w:type="dxa"/>
            <w:vAlign w:val="bottom"/>
            <w:tcBorders>
              <w:top w:val="single" w:sz="8" w:color="auto"/>
              <w:bottom w:val="single" w:sz="8" w:color="C0C0C0"/>
              <w:right w:val="single" w:sz="8" w:color="auto"/>
            </w:tcBorders>
            <w:shd w:val="clear" w:color="auto" w:fill="C0C0C0"/>
          </w:tcPr>
          <w:p>
            <w:pPr>
              <w:spacing w:after="0"/>
              <w:rPr>
                <w:sz w:val="18"/>
                <w:szCs w:val="18"/>
                <w:color w:val="auto"/>
              </w:rPr>
            </w:pPr>
          </w:p>
        </w:tc>
        <w:tc>
          <w:tcPr>
            <w:tcW w:w="86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gridSpan w:val="2"/>
          </w:tcPr>
          <w:p>
            <w:pPr>
              <w:jc w:val="center"/>
              <w:ind w:right="18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 xml:space="preserve">AAL-PA-03219-LA-1804779R2, Attach B, [****] SA-20 121644-1O.txt </w:t>
      </w:r>
      <w:r>
        <w:rPr>
          <w:rFonts w:ascii="Arial" w:cs="Arial" w:eastAsia="Arial" w:hAnsi="Arial"/>
          <w:sz w:val="14"/>
          <w:szCs w:val="14"/>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Page 1</w:t>
      </w:r>
    </w:p>
    <w:p>
      <w:pPr>
        <w:sectPr>
          <w:pgSz w:w="11900" w:h="16838" w:orient="portrait"/>
          <w:cols w:equalWidth="0" w:num="2">
            <w:col w:w="3420" w:space="640"/>
            <w:col w:w="6079"/>
          </w:cols>
          <w:pgMar w:left="320" w:top="86" w:right="1440" w:bottom="1440" w:gutter="0" w:footer="0" w:header="0"/>
          <w:type w:val="continuous"/>
        </w:sectPr>
      </w:pPr>
    </w:p>
    <w:bookmarkStart w:id="134" w:name="page135"/>
    <w:bookmarkEnd w:id="134"/>
    <w:p>
      <w:pPr>
        <w:jc w:val="center"/>
        <w:ind w:right="-1100"/>
        <w:spacing w:after="0"/>
        <w:rPr>
          <w:sz w:val="20"/>
          <w:szCs w:val="20"/>
          <w:color w:val="auto"/>
        </w:rPr>
      </w:pPr>
      <w:r>
        <w:rPr>
          <w:rFonts w:ascii="Arial" w:cs="Arial" w:eastAsia="Arial" w:hAnsi="Arial"/>
          <w:sz w:val="22"/>
          <w:szCs w:val="22"/>
          <w:b w:val="1"/>
          <w:bCs w:val="1"/>
          <w:color w:val="auto"/>
        </w:rPr>
        <w:t>Attachment B to</w:t>
      </w:r>
    </w:p>
    <w:p>
      <w:pPr>
        <w:jc w:val="center"/>
        <w:ind w:right="-1100"/>
        <w:spacing w:after="0" w:line="204" w:lineRule="auto"/>
        <w:rPr>
          <w:sz w:val="20"/>
          <w:szCs w:val="20"/>
          <w:color w:val="auto"/>
        </w:rPr>
      </w:pPr>
      <w:r>
        <w:rPr>
          <w:rFonts w:ascii="Arial" w:cs="Arial" w:eastAsia="Arial" w:hAnsi="Arial"/>
          <w:sz w:val="22"/>
          <w:szCs w:val="22"/>
          <w:b w:val="1"/>
          <w:bCs w:val="1"/>
          <w:color w:val="auto"/>
        </w:rPr>
        <w:t>Letter Agreement No. AAL-0319-LA-1804779R2</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940" w:type="dxa"/>
            <w:vAlign w:val="bottom"/>
            <w:tcBorders>
              <w:top w:val="single" w:sz="8" w:color="auto"/>
              <w:left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shd w:val="clear" w:color="auto" w:fill="C0C0C0"/>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3960" w:type="dxa"/>
            <w:vAlign w:val="bottom"/>
            <w:tcBorders>
              <w:top w:val="single" w:sz="8" w:color="auto"/>
              <w:right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Advance Payment Per Aircraft (Amts. Due/Mos. Prior to</w:t>
            </w: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1220" w:type="dxa"/>
            <w:vAlign w:val="bottom"/>
          </w:tcPr>
          <w:p>
            <w:pPr>
              <w:spacing w:after="0"/>
              <w:rPr>
                <w:sz w:val="16"/>
                <w:szCs w:val="16"/>
                <w:color w:val="auto"/>
              </w:rPr>
            </w:pPr>
          </w:p>
        </w:tc>
        <w:tc>
          <w:tcPr>
            <w:tcW w:w="106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3"/>
              </w:rPr>
              <w:t>Delivery):</w:t>
            </w:r>
          </w:p>
        </w:tc>
        <w:tc>
          <w:tcPr>
            <w:tcW w:w="8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940" w:type="dxa"/>
            <w:vAlign w:val="bottom"/>
            <w:tcBorders>
              <w:left w:val="single" w:sz="8" w:color="auto"/>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118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Aircraft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Adv Payment</w:t>
            </w: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continue"/>
            <w:shd w:val="clear" w:color="auto" w:fill="C0C0C0"/>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Delivery</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Factor</w:t>
            </w:r>
          </w:p>
        </w:tc>
        <w:tc>
          <w:tcPr>
            <w:tcW w:w="11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Scheduled</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Base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82"/>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Aircraft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(Airframe)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(Engine)</w:t>
            </w:r>
          </w:p>
        </w:tc>
        <w:tc>
          <w:tcPr>
            <w:tcW w:w="11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7"/>
              </w:rPr>
              <w:t>Delivery Quarter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A/P</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2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2028</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4"/>
                <w:szCs w:val="14"/>
                <w:color w:val="auto"/>
              </w:rPr>
              <w:t>[****] 2028</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jc w:val="center"/>
              <w:ind w:right="2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Total:</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14</w:t>
            </w:r>
          </w:p>
        </w:tc>
        <w:tc>
          <w:tcPr>
            <w:tcW w:w="8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80"/>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Note: [****]t</w:t>
      </w:r>
    </w:p>
    <w:p>
      <w:pPr>
        <w:sectPr>
          <w:pgSz w:w="11900" w:h="16838" w:orient="portrait"/>
          <w:cols w:equalWidth="0" w:num="1">
            <w:col w:w="10139"/>
          </w:cols>
          <w:pgMar w:left="320" w:top="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 xml:space="preserve">AAL-PA-03219-LA-1804779R2, Attach B, [****] SA-20 121644-1O.txt </w:t>
      </w:r>
      <w:r>
        <w:rPr>
          <w:rFonts w:ascii="Arial" w:cs="Arial" w:eastAsia="Arial" w:hAnsi="Arial"/>
          <w:sz w:val="14"/>
          <w:szCs w:val="14"/>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ectPr>
          <w:pgSz w:w="11900" w:h="16838" w:orient="portrait"/>
          <w:cols w:equalWidth="0" w:num="2">
            <w:col w:w="3420" w:space="640"/>
            <w:col w:w="6079"/>
          </w:cols>
          <w:pgMar w:left="320" w:top="86" w:right="1440" w:bottom="1440" w:gutter="0" w:footer="0" w:header="0"/>
          <w:type w:val="continuous"/>
        </w:sectPr>
      </w:pPr>
    </w:p>
    <w:bookmarkStart w:id="135" w:name="page136"/>
    <w:bookmarkEnd w:id="135"/>
    <w:p>
      <w:pPr>
        <w:ind w:left="292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226060</wp:posOffset>
            </wp:positionV>
            <wp:extent cx="1491615" cy="3429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920"/>
        <w:spacing w:after="0" w:line="216" w:lineRule="auto"/>
        <w:rPr>
          <w:sz w:val="20"/>
          <w:szCs w:val="20"/>
          <w:color w:val="auto"/>
        </w:rPr>
      </w:pPr>
      <w:r>
        <w:rPr>
          <w:rFonts w:ascii="Arial" w:cs="Arial" w:eastAsia="Arial" w:hAnsi="Arial"/>
          <w:sz w:val="13"/>
          <w:szCs w:val="13"/>
          <w:color w:val="808080"/>
        </w:rPr>
        <w:t>P.O. Box 3707</w:t>
      </w:r>
    </w:p>
    <w:p>
      <w:pPr>
        <w:ind w:left="292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AAL-PA-3219-LA-2101557R1</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190"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96" w:lineRule="exact"/>
        <w:rPr>
          <w:sz w:val="20"/>
          <w:szCs w:val="20"/>
          <w:color w:val="auto"/>
        </w:rPr>
      </w:pPr>
    </w:p>
    <w:p>
      <w:pPr>
        <w:jc w:val="both"/>
        <w:ind w:left="1420" w:hanging="1781"/>
        <w:spacing w:after="0"/>
        <w:tabs>
          <w:tab w:leader="none" w:pos="1400" w:val="left"/>
        </w:tabs>
        <w:rPr>
          <w:sz w:val="20"/>
          <w:szCs w:val="20"/>
          <w:color w:val="auto"/>
        </w:rPr>
      </w:pPr>
      <w:r>
        <w:rPr>
          <w:rFonts w:ascii="Arial" w:cs="Arial" w:eastAsia="Arial" w:hAnsi="Arial"/>
          <w:sz w:val="22"/>
          <w:szCs w:val="22"/>
          <w:color w:val="auto"/>
        </w:rPr>
        <w:t>References:</w:t>
        <w:tab/>
        <w:t>(a) Purchase Agreement No. 3219 (</w:t>
      </w:r>
      <w:r>
        <w:rPr>
          <w:rFonts w:ascii="Arial" w:cs="Arial" w:eastAsia="Arial" w:hAnsi="Arial"/>
          <w:sz w:val="22"/>
          <w:szCs w:val="22"/>
          <w:b w:val="1"/>
          <w:b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color w:val="auto"/>
        </w:rPr>
        <w:t>Customer</w:t>
      </w:r>
      <w:r>
        <w:rPr>
          <w:rFonts w:ascii="Arial" w:cs="Arial" w:eastAsia="Arial" w:hAnsi="Arial"/>
          <w:sz w:val="22"/>
          <w:szCs w:val="22"/>
          <w:color w:val="auto"/>
        </w:rPr>
        <w:t>) relating to Model 787 aircraft (collectively</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Aircraft</w:t>
      </w:r>
      <w:r>
        <w:rPr>
          <w:rFonts w:ascii="Arial" w:cs="Arial" w:eastAsia="Arial" w:hAnsi="Arial"/>
          <w:sz w:val="22"/>
          <w:szCs w:val="22"/>
          <w:color w:val="auto"/>
        </w:rPr>
        <w:t>); and</w:t>
      </w:r>
    </w:p>
    <w:p>
      <w:pPr>
        <w:spacing w:after="0" w:line="385" w:lineRule="exact"/>
        <w:rPr>
          <w:sz w:val="20"/>
          <w:szCs w:val="20"/>
          <w:color w:val="auto"/>
        </w:rPr>
      </w:pPr>
    </w:p>
    <w:p>
      <w:pPr>
        <w:ind w:left="1800" w:hanging="496"/>
        <w:spacing w:after="0" w:line="237" w:lineRule="auto"/>
        <w:tabs>
          <w:tab w:leader="none" w:pos="1638" w:val="left"/>
        </w:tabs>
        <w:numPr>
          <w:ilvl w:val="0"/>
          <w:numId w:val="82"/>
        </w:numPr>
        <w:rPr>
          <w:rFonts w:ascii="Arial" w:cs="Arial" w:eastAsia="Arial" w:hAnsi="Arial"/>
          <w:sz w:val="22"/>
          <w:szCs w:val="22"/>
          <w:color w:val="auto"/>
        </w:rPr>
      </w:pPr>
      <w:r>
        <w:rPr>
          <w:rFonts w:ascii="Arial" w:cs="Arial" w:eastAsia="Arial" w:hAnsi="Arial"/>
          <w:sz w:val="22"/>
          <w:szCs w:val="22"/>
          <w:color w:val="auto"/>
        </w:rPr>
        <w:t>Aircraft General Terms Agreement No. AGTA-AAL (</w:t>
      </w:r>
      <w:r>
        <w:rPr>
          <w:rFonts w:ascii="Arial" w:cs="Arial" w:eastAsia="Arial" w:hAnsi="Arial"/>
          <w:sz w:val="22"/>
          <w:szCs w:val="22"/>
          <w:b w:val="1"/>
          <w:bCs w:val="1"/>
          <w:color w:val="auto"/>
        </w:rPr>
        <w:t>AGTA</w:t>
      </w:r>
      <w:r>
        <w:rPr>
          <w:rFonts w:ascii="Arial" w:cs="Arial" w:eastAsia="Arial" w:hAnsi="Arial"/>
          <w:sz w:val="22"/>
          <w:szCs w:val="22"/>
          <w:color w:val="auto"/>
        </w:rPr>
        <w:t>) between Boeing and Customer dated as of October 31, 1997.</w:t>
      </w:r>
    </w:p>
    <w:p>
      <w:pPr>
        <w:spacing w:after="0" w:line="256"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This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amends and supplements the Purchase Agreement. All terms used but not defined in this Letter Agreement have the same meaning as in the Purchase Agreement or the AGTA, as the context requires.</w:t>
      </w:r>
    </w:p>
    <w:p>
      <w:pPr>
        <w:spacing w:after="0" w:line="200" w:lineRule="exact"/>
        <w:rPr>
          <w:sz w:val="20"/>
          <w:szCs w:val="20"/>
          <w:color w:val="auto"/>
        </w:rPr>
      </w:pP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As of the date of this Letter Agreement, Customer has [****] ([****]) 2018 787-9 [****] Aircraft as [****] of the Purchase Agreement ([****] </w:t>
      </w:r>
      <w:r>
        <w:rPr>
          <w:rFonts w:ascii="Arial" w:cs="Arial" w:eastAsia="Arial" w:hAnsi="Arial"/>
          <w:sz w:val="22"/>
          <w:szCs w:val="22"/>
          <w:b w:val="1"/>
          <w:bCs w:val="1"/>
          <w:color w:val="auto"/>
        </w:rPr>
        <w:t>2018 787-9</w:t>
      </w:r>
      <w:r>
        <w:rPr>
          <w:rFonts w:ascii="Arial" w:cs="Arial" w:eastAsia="Arial" w:hAnsi="Arial"/>
          <w:sz w:val="22"/>
          <w:szCs w:val="22"/>
          <w:color w:val="auto"/>
        </w:rPr>
        <w:t xml:space="preserve"> [****] </w:t>
      </w:r>
      <w:r>
        <w:rPr>
          <w:rFonts w:ascii="Arial" w:cs="Arial" w:eastAsia="Arial" w:hAnsi="Arial"/>
          <w:sz w:val="22"/>
          <w:szCs w:val="22"/>
          <w:b w:val="1"/>
          <w:bCs w:val="1"/>
          <w:color w:val="auto"/>
        </w:rPr>
        <w:t>Aircraft</w:t>
      </w:r>
      <w:r>
        <w:rPr>
          <w:rFonts w:ascii="Arial" w:cs="Arial" w:eastAsia="Arial" w:hAnsi="Arial"/>
          <w:sz w:val="22"/>
          <w:szCs w:val="22"/>
          <w:color w:val="auto"/>
        </w:rPr>
        <w:t xml:space="preserve">), [****] ([****]) [****] 2018 787-9 [****] Aircraft [****] ([****] </w:t>
      </w:r>
      <w:r>
        <w:rPr>
          <w:rFonts w:ascii="Arial" w:cs="Arial" w:eastAsia="Arial" w:hAnsi="Arial"/>
          <w:sz w:val="22"/>
          <w:szCs w:val="22"/>
          <w:b w:val="1"/>
          <w:bCs w:val="1"/>
          <w:color w:val="auto"/>
        </w:rPr>
        <w:t>2018 787-9</w:t>
      </w:r>
      <w:r>
        <w:rPr>
          <w:rFonts w:ascii="Arial" w:cs="Arial" w:eastAsia="Arial" w:hAnsi="Arial"/>
          <w:sz w:val="22"/>
          <w:szCs w:val="22"/>
          <w:color w:val="auto"/>
        </w:rPr>
        <w:t xml:space="preserve"> [****] </w:t>
      </w:r>
      <w:r>
        <w:rPr>
          <w:rFonts w:ascii="Arial" w:cs="Arial" w:eastAsia="Arial" w:hAnsi="Arial"/>
          <w:sz w:val="22"/>
          <w:szCs w:val="22"/>
          <w:b w:val="1"/>
          <w:bCs w:val="1"/>
          <w:color w:val="auto"/>
        </w:rPr>
        <w:t xml:space="preserve">Aircraft) </w:t>
      </w:r>
      <w:r>
        <w:rPr>
          <w:rFonts w:ascii="Arial" w:cs="Arial" w:eastAsia="Arial" w:hAnsi="Arial"/>
          <w:sz w:val="22"/>
          <w:szCs w:val="22"/>
          <w:color w:val="auto"/>
        </w:rPr>
        <w:t>and [****] ([****]) [****] 2018 787-8 [****] Aircraft under the Purchase Agreement.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Boeing and Customer agree as follows:</w:t>
      </w:r>
    </w:p>
    <w:p>
      <w:pPr>
        <w:spacing w:after="0" w:line="220"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787-8 [****] Aircraft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u w:val="single" w:color="auto"/>
          <w:color w:val="auto"/>
        </w:rPr>
        <w:t>1.1 [****] 2018 787-8 [****] Aircraft</w:t>
      </w:r>
      <w:r>
        <w:rPr>
          <w:rFonts w:ascii="Arial" w:cs="Arial" w:eastAsia="Arial" w:hAnsi="Arial"/>
          <w:sz w:val="22"/>
          <w:szCs w:val="22"/>
          <w:color w:val="auto"/>
        </w:rPr>
        <w:t>.</w:t>
      </w:r>
    </w:p>
    <w:p>
      <w:pPr>
        <w:spacing w:after="0" w:line="220" w:lineRule="exact"/>
        <w:rPr>
          <w:sz w:val="20"/>
          <w:szCs w:val="20"/>
          <w:color w:val="auto"/>
        </w:rPr>
      </w:pPr>
    </w:p>
    <w:p>
      <w:pPr>
        <w:jc w:val="both"/>
        <w:ind w:firstLine="1299"/>
        <w:spacing w:after="0" w:line="254" w:lineRule="auto"/>
        <w:rPr>
          <w:sz w:val="20"/>
          <w:szCs w:val="20"/>
          <w:color w:val="auto"/>
        </w:rPr>
      </w:pPr>
      <w:r>
        <w:rPr>
          <w:rFonts w:ascii="Arial" w:cs="Arial" w:eastAsia="Arial" w:hAnsi="Arial"/>
          <w:sz w:val="22"/>
          <w:szCs w:val="22"/>
          <w:color w:val="auto"/>
        </w:rPr>
        <w:t xml:space="preserve">1.1.1 Boeing and Customer acknowledge that the [****] of [****] ([****]) [****] 2018 787-8 [****] Aircraft and [****] ([****]) [****] 2018 787-8 [****] Aircraft ([****] </w:t>
      </w:r>
      <w:r>
        <w:rPr>
          <w:rFonts w:ascii="Arial" w:cs="Arial" w:eastAsia="Arial" w:hAnsi="Arial"/>
          <w:sz w:val="22"/>
          <w:szCs w:val="22"/>
          <w:b w:val="1"/>
          <w:bCs w:val="1"/>
          <w:color w:val="auto"/>
        </w:rPr>
        <w:t>2018 787-8</w:t>
      </w:r>
      <w:r>
        <w:rPr>
          <w:rFonts w:ascii="Arial" w:cs="Arial" w:eastAsia="Arial" w:hAnsi="Arial"/>
          <w:sz w:val="22"/>
          <w:szCs w:val="22"/>
          <w:color w:val="auto"/>
        </w:rPr>
        <w:t xml:space="preserve"> [****] </w:t>
      </w:r>
      <w:r>
        <w:rPr>
          <w:rFonts w:ascii="Arial" w:cs="Arial" w:eastAsia="Arial" w:hAnsi="Arial"/>
          <w:sz w:val="22"/>
          <w:szCs w:val="22"/>
          <w:b w:val="1"/>
          <w:bCs w:val="1"/>
          <w:color w:val="auto"/>
        </w:rPr>
        <w:t>Aircraft</w:t>
      </w:r>
      <w:r>
        <w:rPr>
          <w:rFonts w:ascii="Arial" w:cs="Arial" w:eastAsia="Arial" w:hAnsi="Arial"/>
          <w:sz w:val="22"/>
          <w:szCs w:val="22"/>
          <w:color w:val="auto"/>
        </w:rPr>
        <w:t>) were [****] as set forth in Attachment A and [****].</w:t>
      </w:r>
    </w:p>
    <w:p>
      <w:pPr>
        <w:spacing w:after="0" w:line="19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Boeing and Customer agree that the [****] 2018 787-8 [****] Aircraft [****].</w:t>
      </w:r>
    </w:p>
    <w:p>
      <w:pPr>
        <w:spacing w:after="0" w:line="220" w:lineRule="exact"/>
        <w:rPr>
          <w:sz w:val="20"/>
          <w:szCs w:val="20"/>
          <w:color w:val="auto"/>
        </w:rPr>
      </w:pPr>
    </w:p>
    <w:p>
      <w:pPr>
        <w:ind w:left="440" w:hanging="429"/>
        <w:spacing w:after="0"/>
        <w:tabs>
          <w:tab w:leader="none" w:pos="4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 2018 787-8 Aircraft to [****</w:t>
      </w:r>
      <w:r>
        <w:rPr>
          <w:rFonts w:ascii="Arial" w:cs="Arial" w:eastAsia="Arial" w:hAnsi="Arial"/>
          <w:sz w:val="22"/>
          <w:szCs w:val="22"/>
          <w:color w:val="auto"/>
        </w:rPr>
        <w:t>].</w:t>
      </w:r>
    </w:p>
    <w:p>
      <w:pPr>
        <w:spacing w:after="0" w:line="3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2.1 Customer and Boeing agree that the [****] Aircraft set forth in Attachment B [****] from [****] aircraft [****] with the [****] as set forth in Attachment B [****]. The [****] will [****], and [****] to its applicable Scheduled Delivery Month [****] in accordance with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540" w:val="left"/>
          <w:tab w:leader="none" w:pos="246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22"/>
          <w:szCs w:val="22"/>
          <w:b w:val="1"/>
          <w:bCs w:val="1"/>
          <w:color w:val="auto"/>
        </w:rPr>
        <w:t>SA-20</w:t>
      </w:r>
      <w:r>
        <w:rPr>
          <w:sz w:val="20"/>
          <w:szCs w:val="20"/>
          <w:color w:val="auto"/>
        </w:rPr>
        <w:tab/>
      </w:r>
      <w:r>
        <w:rPr>
          <w:rFonts w:ascii="Arial" w:cs="Arial" w:eastAsia="Arial" w:hAnsi="Arial"/>
          <w:sz w:val="21"/>
          <w:szCs w:val="21"/>
          <w:color w:val="auto"/>
        </w:rPr>
        <w:t>L.A. AAL-PA-3219-LA-2101557R1</w:t>
      </w:r>
    </w:p>
    <w:p>
      <w:pPr>
        <w:spacing w:after="0" w:line="214" w:lineRule="auto"/>
        <w:tabs>
          <w:tab w:leader="none" w:pos="5100" w:val="left"/>
        </w:tabs>
        <w:rPr>
          <w:sz w:val="20"/>
          <w:szCs w:val="20"/>
          <w:color w:val="auto"/>
        </w:rPr>
      </w:pPr>
      <w:r>
        <w:rPr>
          <w:rFonts w:ascii="Arial" w:cs="Arial" w:eastAsia="Arial" w:hAnsi="Arial"/>
          <w:sz w:val="22"/>
          <w:szCs w:val="22"/>
          <w:color w:val="auto"/>
        </w:rPr>
        <w:t>2021 787 Aircraft Business Matters</w:t>
      </w:r>
      <w:r>
        <w:rPr>
          <w:sz w:val="20"/>
          <w:szCs w:val="20"/>
          <w:color w:val="auto"/>
        </w:rPr>
        <w:tab/>
      </w:r>
      <w:r>
        <w:rPr>
          <w:rFonts w:ascii="Arial" w:cs="Arial" w:eastAsia="Arial" w:hAnsi="Arial"/>
          <w:sz w:val="21"/>
          <w:szCs w:val="21"/>
          <w:color w:val="auto"/>
        </w:rPr>
        <w:t>Page 1</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435" w:right="339" w:bottom="1440" w:gutter="0" w:footer="0" w:header="0"/>
        </w:sectPr>
      </w:pPr>
    </w:p>
    <w:bookmarkStart w:id="136" w:name="page137"/>
    <w:bookmarkEnd w:id="136"/>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jc w:val="both"/>
        <w:ind w:firstLine="648"/>
        <w:spacing w:after="0" w:line="250" w:lineRule="auto"/>
        <w:rPr>
          <w:sz w:val="20"/>
          <w:szCs w:val="20"/>
          <w:color w:val="auto"/>
        </w:rPr>
      </w:pPr>
      <w:r>
        <w:rPr>
          <w:rFonts w:ascii="Arial" w:cs="Arial" w:eastAsia="Arial" w:hAnsi="Arial"/>
          <w:sz w:val="22"/>
          <w:szCs w:val="22"/>
          <w:color w:val="auto"/>
        </w:rPr>
        <w:t xml:space="preserve">2.2 For avoidance of doubt, the [****] for the [****] includes [****] of Letter Agreement No. 6-1162-TRW-0674R4 to the Purchase Agreement entitled </w:t>
      </w:r>
      <w:r>
        <w:rPr>
          <w:rFonts w:ascii="Arial" w:cs="Arial" w:eastAsia="Arial" w:hAnsi="Arial"/>
          <w:sz w:val="22"/>
          <w:szCs w:val="22"/>
          <w:u w:val="single" w:color="auto"/>
          <w:color w:val="auto"/>
        </w:rPr>
        <w:t>Business Considerations</w:t>
      </w:r>
      <w:r>
        <w:rPr>
          <w:rFonts w:ascii="Arial" w:cs="Arial" w:eastAsia="Arial" w:hAnsi="Arial"/>
          <w:sz w:val="22"/>
          <w:szCs w:val="22"/>
          <w:color w:val="auto"/>
        </w:rPr>
        <w:t xml:space="preserve"> (</w:t>
      </w:r>
      <w:r>
        <w:rPr>
          <w:rFonts w:ascii="Arial" w:cs="Arial" w:eastAsia="Arial" w:hAnsi="Arial"/>
          <w:sz w:val="22"/>
          <w:szCs w:val="22"/>
          <w:b w:val="1"/>
          <w:bCs w:val="1"/>
          <w:color w:val="auto"/>
        </w:rPr>
        <w:t>Business Considerations LA</w:t>
      </w:r>
      <w:r>
        <w:rPr>
          <w:rFonts w:ascii="Arial" w:cs="Arial" w:eastAsia="Arial" w:hAnsi="Arial"/>
          <w:sz w:val="22"/>
          <w:szCs w:val="22"/>
          <w:color w:val="auto"/>
        </w:rPr>
        <w:t>) [****], and the [****] described in Section 2.2.1 below. The parties hereby confirm that [****] with Supplemental Agreement No. 5 and Supplemental Agreement No. 11, for the [****]. Such [****] in accordance with the Purchase Agreement.</w:t>
      </w:r>
    </w:p>
    <w:p>
      <w:pPr>
        <w:spacing w:after="0" w:line="188"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2.2.1 Boeing and Customer agree that Boeing will provide to Customer a [****] ([****]) in the [****] of [****] ([****]). The [****] is [****] and shall be[****] is [****] by Boeing in [****] of the Supplemental Exhibit AE1-[****] as such provisions have been applied to the [****]. Except as provided in Section 2.2.1.1, below, the [****] shall be [****] by Boeing to Customer at the [****] of the [****]. The [****], in whole or in part, [****], and/or [****]. The [****] is in addition to the [****] of the Business Considerations LA.</w:t>
      </w:r>
    </w:p>
    <w:p>
      <w:pPr>
        <w:spacing w:after="0" w:line="158" w:lineRule="exact"/>
        <w:rPr>
          <w:sz w:val="20"/>
          <w:szCs w:val="20"/>
          <w:color w:val="auto"/>
        </w:rPr>
      </w:pPr>
    </w:p>
    <w:p>
      <w:pPr>
        <w:jc w:val="both"/>
        <w:ind w:right="20" w:firstLine="1944"/>
        <w:spacing w:after="0" w:line="233" w:lineRule="auto"/>
        <w:rPr>
          <w:sz w:val="20"/>
          <w:szCs w:val="20"/>
          <w:color w:val="auto"/>
        </w:rPr>
      </w:pPr>
      <w:r>
        <w:rPr>
          <w:rFonts w:ascii="Arial" w:cs="Arial" w:eastAsia="Arial" w:hAnsi="Arial"/>
          <w:sz w:val="22"/>
          <w:szCs w:val="22"/>
          <w:color w:val="auto"/>
        </w:rPr>
        <w:t>2.2.1.1 If [****], either [****] the Purchase Agreement as to the [****] Aircraft as and [****] (as defined in Section 7.3 of the Business Considerations LA), the [****] ([****]) ([****]) [****].</w:t>
      </w:r>
    </w:p>
    <w:p>
      <w:pPr>
        <w:spacing w:after="0" w:line="200" w:lineRule="exact"/>
        <w:rPr>
          <w:sz w:val="20"/>
          <w:szCs w:val="20"/>
          <w:color w:val="auto"/>
        </w:rPr>
      </w:pPr>
    </w:p>
    <w:p>
      <w:pPr>
        <w:spacing w:after="0" w:line="227" w:lineRule="exact"/>
        <w:rPr>
          <w:sz w:val="20"/>
          <w:szCs w:val="20"/>
          <w:color w:val="auto"/>
        </w:rPr>
      </w:pPr>
    </w:p>
    <w:p>
      <w:pPr>
        <w:jc w:val="both"/>
        <w:ind w:firstLine="1944"/>
        <w:spacing w:after="0" w:line="233" w:lineRule="auto"/>
        <w:rPr>
          <w:sz w:val="20"/>
          <w:szCs w:val="20"/>
          <w:color w:val="auto"/>
        </w:rPr>
      </w:pPr>
      <w:r>
        <w:rPr>
          <w:rFonts w:ascii="Arial" w:cs="Arial" w:eastAsia="Arial" w:hAnsi="Arial"/>
          <w:sz w:val="22"/>
          <w:szCs w:val="22"/>
          <w:color w:val="auto"/>
        </w:rPr>
        <w:t>2.2.1.2 If a [****] 2018 787-9 [****] Aircraft is [****] in accordance with a [****], then [****] ([****]) ([****]) for [****] 2018 787-9 [****] Aircraft [****] 2018 787-9 [****] Aircraft [****].</w:t>
      </w:r>
    </w:p>
    <w:p>
      <w:pPr>
        <w:spacing w:after="0" w:line="157" w:lineRule="exact"/>
        <w:rPr>
          <w:sz w:val="20"/>
          <w:szCs w:val="20"/>
          <w:color w:val="auto"/>
        </w:rPr>
      </w:pPr>
    </w:p>
    <w:p>
      <w:pPr>
        <w:ind w:left="660" w:right="8580" w:hanging="571"/>
        <w:spacing w:after="0" w:line="429" w:lineRule="auto"/>
        <w:tabs>
          <w:tab w:leader="none" w:pos="651"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 Considerations</w:t>
      </w:r>
      <w:r>
        <w:rPr>
          <w:rFonts w:ascii="Arial" w:cs="Arial" w:eastAsia="Arial" w:hAnsi="Arial"/>
          <w:sz w:val="21"/>
          <w:szCs w:val="21"/>
          <w:color w:val="auto"/>
        </w:rPr>
        <w:t xml:space="preserve">. 3.1 </w:t>
      </w:r>
      <w:r>
        <w:rPr>
          <w:rFonts w:ascii="Arial" w:cs="Arial" w:eastAsia="Arial" w:hAnsi="Arial"/>
          <w:sz w:val="21"/>
          <w:szCs w:val="21"/>
          <w:u w:val="single" w:color="auto"/>
          <w:color w:val="auto"/>
        </w:rPr>
        <w:t>[****].</w:t>
      </w:r>
    </w:p>
    <w:p>
      <w:pPr>
        <w:spacing w:after="0" w:line="1" w:lineRule="exact"/>
        <w:rPr>
          <w:sz w:val="20"/>
          <w:szCs w:val="20"/>
          <w:color w:val="auto"/>
        </w:rPr>
      </w:pPr>
    </w:p>
    <w:p>
      <w:pPr>
        <w:jc w:val="both"/>
        <w:ind w:right="20" w:firstLine="1296"/>
        <w:spacing w:after="0" w:line="241" w:lineRule="auto"/>
        <w:rPr>
          <w:sz w:val="20"/>
          <w:szCs w:val="20"/>
          <w:color w:val="auto"/>
        </w:rPr>
      </w:pPr>
      <w:r>
        <w:rPr>
          <w:rFonts w:ascii="Arial" w:cs="Arial" w:eastAsia="Arial" w:hAnsi="Arial"/>
          <w:sz w:val="22"/>
          <w:szCs w:val="22"/>
          <w:color w:val="auto"/>
        </w:rPr>
        <w:t xml:space="preserve">3.1.1 [****], Boeing [****] Customer, [****], a [****] 787-9 aircraft [****] as [****] Purchase Agreement ([****] </w:t>
      </w:r>
      <w:r>
        <w:rPr>
          <w:rFonts w:ascii="Arial" w:cs="Arial" w:eastAsia="Arial" w:hAnsi="Arial"/>
          <w:sz w:val="22"/>
          <w:szCs w:val="22"/>
          <w:b w:val="1"/>
          <w:bCs w:val="1"/>
          <w:color w:val="auto"/>
        </w:rPr>
        <w:t>787-9 Aircraft</w:t>
      </w:r>
      <w:r>
        <w:rPr>
          <w:rFonts w:ascii="Arial" w:cs="Arial" w:eastAsia="Arial" w:hAnsi="Arial"/>
          <w:sz w:val="22"/>
          <w:szCs w:val="22"/>
          <w:color w:val="auto"/>
        </w:rPr>
        <w:t>). Customer [****] for (i) [****] and (ii) [****] the [****] 787-9 Aircraft.</w:t>
      </w:r>
    </w:p>
    <w:p>
      <w:pPr>
        <w:spacing w:after="0" w:line="167"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color w:val="auto"/>
        </w:rPr>
        <w:t>3.1.2. [****] Customer [****] Boeing [****] ([****]) [****]2018 787-9 [****] Aircraft, the [****] 2018 787-9 [****] Aircraft, and [****] 787-9 Aircraft [****] (or [****]) [****] this Agreement, Boeing [****] 2018 787-9 [****] Aircraft,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2018 787-9 [****] Aircraft, or [****] 787-9 Aircraft [****] (or [****]) [****] of this Agreement. In the event that [****] 2018 787-9 [****] Aircraft, a [****] 2018 787-9 [****] Aircraft, and [****] 787-9 Aircraft [****] (or [****]), [****], except Customer [****].</w:t>
      </w:r>
    </w:p>
    <w:p>
      <w:pPr>
        <w:spacing w:after="0" w:line="165" w:lineRule="exact"/>
        <w:rPr>
          <w:sz w:val="20"/>
          <w:szCs w:val="20"/>
          <w:color w:val="auto"/>
        </w:rPr>
      </w:pPr>
    </w:p>
    <w:p>
      <w:pPr>
        <w:ind w:left="1300"/>
        <w:spacing w:after="0"/>
        <w:tabs>
          <w:tab w:leader="none" w:pos="202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21"/>
          <w:szCs w:val="21"/>
          <w:color w:val="auto"/>
        </w:rPr>
        <w:t>Within [****] ([****]) days [****] Customer, Boeing [****] Customer, [****], [****] 787-9 Aircraft [****].</w:t>
      </w:r>
    </w:p>
    <w:p>
      <w:pPr>
        <w:spacing w:after="0"/>
        <w:rPr>
          <w:sz w:val="20"/>
          <w:szCs w:val="20"/>
          <w:color w:val="auto"/>
        </w:rPr>
      </w:pPr>
      <w:r>
        <w:rPr>
          <w:rFonts w:ascii="Arial" w:cs="Arial" w:eastAsia="Arial" w:hAnsi="Arial"/>
          <w:sz w:val="22"/>
          <w:szCs w:val="22"/>
          <w:color w:val="auto"/>
        </w:rPr>
        <w:t>Customer [****] for (i) [****] and (ii) [****] 787-9 Aircraft.</w:t>
      </w:r>
    </w:p>
    <w:p>
      <w:pPr>
        <w:spacing w:after="0" w:line="16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3.2 [****]. The parties acknowledge that [****] to that [****] by and between Boeing and Customer (as amended by that certain Letter Agreement No. AAL-LA-2002714 entitled </w:t>
      </w:r>
      <w:r>
        <w:rPr>
          <w:rFonts w:ascii="Arial" w:cs="Arial" w:eastAsia="Arial" w:hAnsi="Arial"/>
          <w:sz w:val="22"/>
          <w:szCs w:val="22"/>
          <w:u w:val="single" w:color="auto"/>
          <w:color w:val="auto"/>
        </w:rPr>
        <w:t>[****] for 737 Max [****]</w:t>
      </w:r>
      <w:r>
        <w:rPr>
          <w:rFonts w:ascii="Arial" w:cs="Arial" w:eastAsia="Arial" w:hAnsi="Arial"/>
          <w:sz w:val="22"/>
          <w:szCs w:val="22"/>
          <w:color w:val="auto"/>
        </w:rPr>
        <w:t>), Boeing [****] Customer [****]. Boeing [****] Customer, [****], [****].</w:t>
      </w:r>
    </w:p>
    <w:p>
      <w:pPr>
        <w:spacing w:after="0" w:line="18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w:t>
      </w:r>
      <w:r>
        <w:rPr>
          <w:rFonts w:ascii="Arial" w:cs="Arial" w:eastAsia="Arial" w:hAnsi="Arial"/>
          <w:sz w:val="22"/>
          <w:szCs w:val="22"/>
          <w:color w:val="auto"/>
        </w:rPr>
        <w:t>. As [****] to Section 1.3.1.3 of Letter Agreement AAL-PA-3219-LA-1604503 entitled [****], the parties agree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P.A. No. 3219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0"/>
        <w:spacing w:after="0"/>
        <w:rPr>
          <w:sz w:val="20"/>
          <w:szCs w:val="20"/>
          <w:color w:val="auto"/>
        </w:rPr>
      </w:pPr>
      <w:r>
        <w:rPr>
          <w:rFonts w:ascii="Arial" w:cs="Arial" w:eastAsia="Arial" w:hAnsi="Arial"/>
          <w:sz w:val="21"/>
          <w:szCs w:val="21"/>
          <w:color w:val="auto"/>
        </w:rPr>
        <w:t>L.A. AAL-PA-3219-LA-2101557R1</w:t>
      </w:r>
    </w:p>
    <w:p>
      <w:pPr>
        <w:spacing w:after="0"/>
        <w:rPr>
          <w:sz w:val="20"/>
          <w:szCs w:val="20"/>
          <w:color w:val="auto"/>
        </w:rPr>
      </w:pPr>
      <w:r>
        <w:rPr>
          <w:rFonts w:ascii="Arial" w:cs="Arial" w:eastAsia="Arial" w:hAnsi="Arial"/>
          <w:sz w:val="22"/>
          <w:szCs w:val="22"/>
          <w:color w:val="auto"/>
        </w:rPr>
        <w:t>Page 2</w:t>
      </w:r>
    </w:p>
    <w:p>
      <w:pPr>
        <w:spacing w:after="0" w:line="7" w:lineRule="exact"/>
        <w:rPr>
          <w:sz w:val="20"/>
          <w:szCs w:val="20"/>
          <w:color w:val="auto"/>
        </w:rPr>
      </w:pPr>
    </w:p>
    <w:p>
      <w:pPr>
        <w:sectPr>
          <w:pgSz w:w="11900" w:h="16838" w:orient="portrait"/>
          <w:cols w:equalWidth="0" w:num="3">
            <w:col w:w="1320" w:space="240"/>
            <w:col w:w="620" w:space="20"/>
            <w:col w:w="9040"/>
          </w:cols>
          <w:pgMar w:left="320" w:top="1440" w:right="339" w:bottom="1440" w:gutter="0" w:footer="0" w:header="0"/>
          <w:type w:val="continuous"/>
        </w:sectPr>
      </w:pPr>
    </w:p>
    <w:p>
      <w:pPr>
        <w:jc w:val="center"/>
        <w:spacing w:after="0" w:line="230"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bookmarkStart w:id="137" w:name="page138"/>
    <w:bookmarkEnd w:id="137"/>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ind w:left="1300"/>
        <w:spacing w:after="0"/>
        <w:tabs>
          <w:tab w:leader="none" w:pos="2000" w:val="left"/>
        </w:tabs>
        <w:rPr>
          <w:sz w:val="20"/>
          <w:szCs w:val="20"/>
          <w:color w:val="auto"/>
        </w:rPr>
      </w:pPr>
      <w:r>
        <w:rPr>
          <w:rFonts w:ascii="Arial" w:cs="Arial" w:eastAsia="Arial" w:hAnsi="Arial"/>
          <w:sz w:val="22"/>
          <w:szCs w:val="22"/>
          <w:color w:val="auto"/>
        </w:rPr>
        <w:t>3.3.1</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Boeing [****] Customer, [****], a [****] of twenty-two (22) 787-9 Aircraft [****].</w:t>
      </w:r>
    </w:p>
    <w:p>
      <w:pPr>
        <w:spacing w:after="0" w:line="22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3.3.2</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 787-9 Aircraft [****] Boeing under the Purchase Agreement [****] ([****]) will be [****].</w:t>
      </w:r>
    </w:p>
    <w:p>
      <w:pPr>
        <w:spacing w:after="0" w:line="233"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2"/>
          <w:szCs w:val="22"/>
          <w:color w:val="auto"/>
        </w:rPr>
        <w:t xml:space="preserve">3.3.3 </w:t>
      </w:r>
      <w:r>
        <w:rPr>
          <w:rFonts w:ascii="Arial" w:cs="Arial" w:eastAsia="Arial" w:hAnsi="Arial"/>
          <w:sz w:val="22"/>
          <w:szCs w:val="22"/>
          <w:u w:val="single" w:color="auto"/>
          <w:color w:val="auto"/>
        </w:rPr>
        <w:t>[****]</w:t>
      </w:r>
      <w:r>
        <w:rPr>
          <w:rFonts w:ascii="Arial" w:cs="Arial" w:eastAsia="Arial" w:hAnsi="Arial"/>
          <w:sz w:val="22"/>
          <w:szCs w:val="22"/>
          <w:color w:val="auto"/>
        </w:rPr>
        <w:t>. If, [****], [****] of the 787-9 Aircraft [****] by Boeing to Customer under the Purchase Agreement, then [****] Boeing, Boeing [****] Customer, [****], [****] 787-9 Aircraft.</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3.3.4 </w:t>
      </w:r>
      <w:r>
        <w:rPr>
          <w:rFonts w:ascii="Arial" w:cs="Arial" w:eastAsia="Arial" w:hAnsi="Arial"/>
          <w:sz w:val="22"/>
          <w:szCs w:val="22"/>
          <w:u w:val="single" w:color="auto"/>
          <w:color w:val="auto"/>
        </w:rPr>
        <w:t>[****]</w:t>
      </w:r>
      <w:r>
        <w:rPr>
          <w:rFonts w:ascii="Arial" w:cs="Arial" w:eastAsia="Arial" w:hAnsi="Arial"/>
          <w:sz w:val="22"/>
          <w:szCs w:val="22"/>
          <w:color w:val="auto"/>
        </w:rPr>
        <w:t>. If [****], [****] 787-9 aircraft is [****] Agreement ([****]), then [****] 787-9 Aircraft, Boeing [****] Customer [****], [****]. Such [****] by Customer to Boeing [****]</w:t>
      </w:r>
      <w:r>
        <w:rPr>
          <w:rFonts w:ascii="Arial" w:cs="Arial" w:eastAsia="Arial" w:hAnsi="Arial"/>
          <w:sz w:val="22"/>
          <w:szCs w:val="22"/>
          <w:b w:val="1"/>
          <w:bCs w:val="1"/>
          <w:color w:val="auto"/>
        </w:rPr>
        <w:t>.</w:t>
      </w:r>
      <w:r>
        <w:rPr>
          <w:rFonts w:ascii="Arial" w:cs="Arial" w:eastAsia="Arial" w:hAnsi="Arial"/>
          <w:sz w:val="22"/>
          <w:szCs w:val="22"/>
          <w:color w:val="auto"/>
        </w:rPr>
        <w:t xml:space="preserve"> [****] Customer [****] Aircraft or [****] Aircraft, Customer [****] pursuant to Section 3.3.3 above.</w:t>
      </w:r>
    </w:p>
    <w:p>
      <w:pPr>
        <w:spacing w:after="0" w:line="185" w:lineRule="exact"/>
        <w:rPr>
          <w:sz w:val="20"/>
          <w:szCs w:val="20"/>
          <w:color w:val="auto"/>
        </w:rPr>
      </w:pPr>
    </w:p>
    <w:p>
      <w:pPr>
        <w:ind w:left="480" w:hanging="472"/>
        <w:spacing w:after="0"/>
        <w:tabs>
          <w:tab w:leader="none" w:pos="48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9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u w:val="single" w:color="auto"/>
          <w:color w:val="auto"/>
        </w:rPr>
        <w:t>[****] in regards to [****] 2018 787-9 [****] Aircraft</w:t>
      </w:r>
      <w:r>
        <w:rPr>
          <w:rFonts w:ascii="Arial" w:cs="Arial" w:eastAsia="Arial" w:hAnsi="Arial"/>
          <w:sz w:val="21"/>
          <w:szCs w:val="21"/>
          <w:color w:val="auto"/>
        </w:rPr>
        <w:t>.</w:t>
      </w:r>
    </w:p>
    <w:p>
      <w:pPr>
        <w:spacing w:after="0" w:line="200" w:lineRule="exact"/>
        <w:rPr>
          <w:sz w:val="20"/>
          <w:szCs w:val="20"/>
          <w:color w:val="auto"/>
        </w:rPr>
      </w:pPr>
    </w:p>
    <w:p>
      <w:pPr>
        <w:spacing w:after="0" w:line="35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21"/>
          <w:szCs w:val="21"/>
          <w:u w:val="single" w:color="auto"/>
          <w:color w:val="auto"/>
        </w:rPr>
        <w:t>[****] in regards to [****] 2018 787-9 [****] Aircraft</w:t>
      </w:r>
      <w:r>
        <w:rPr>
          <w:rFonts w:ascii="Arial" w:cs="Arial" w:eastAsia="Arial" w:hAnsi="Arial"/>
          <w:sz w:val="21"/>
          <w:szCs w:val="21"/>
          <w:color w:val="auto"/>
        </w:rPr>
        <w:t>.</w:t>
      </w:r>
    </w:p>
    <w:p>
      <w:pPr>
        <w:spacing w:after="0" w:line="32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2"/>
          <w:szCs w:val="22"/>
          <w:color w:val="auto"/>
        </w:rPr>
        <w:t>4.1.1 Boeing will [****] 2018 787-8 [****] Aircraft and [****] by Customer for the [****] 2018 787-8 [****] Aircraft. The parties agree that [****], Customer [****] on the [****] 2018 787-8 [****] Aircraft that [****] of this Agreement.</w:t>
      </w:r>
    </w:p>
    <w:p>
      <w:pPr>
        <w:spacing w:after="0" w:line="19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4.1.2 Boeing [****] 2018 787-8 [****] Aircraft that are being [****] to [****] 2018 787-9 [****] Aircraft (the [****]). The [****] ([****]). Boeing [****] ([****]) [****] ([****] ([****]) [****] as defined in Section 1.4.1 of Letter Agreement No. 6-1162-CLO-1047R4 entitled [****]</w:t>
      </w:r>
      <w:r>
        <w:rPr>
          <w:rFonts w:ascii="Arial" w:cs="Arial" w:eastAsia="Arial" w:hAnsi="Arial"/>
          <w:sz w:val="22"/>
          <w:szCs w:val="22"/>
          <w:u w:val="single" w:color="auto"/>
          <w:color w:val="auto"/>
        </w:rPr>
        <w:t>)</w:t>
      </w:r>
      <w:r>
        <w:rPr>
          <w:rFonts w:ascii="Arial" w:cs="Arial" w:eastAsia="Arial" w:hAnsi="Arial"/>
          <w:sz w:val="22"/>
          <w:szCs w:val="22"/>
          <w:color w:val="auto"/>
        </w:rPr>
        <w:t xml:space="preserve"> that are [****] 2018 787-9 [****] Aircraft [****] 2018 787-9 [****] Aircraft. Boeing [****] 787-9 Aircraft ([****], the [****] 2018 787-9 [****] Aircraft and the [****] 2018 787-9 [****] Aircraft) [****] the terms of the Purchase Agreement are applicable.</w:t>
      </w:r>
    </w:p>
    <w:p>
      <w:pPr>
        <w:spacing w:after="0" w:line="200" w:lineRule="exact"/>
        <w:rPr>
          <w:sz w:val="20"/>
          <w:szCs w:val="20"/>
          <w:color w:val="auto"/>
        </w:rPr>
      </w:pPr>
    </w:p>
    <w:p>
      <w:pPr>
        <w:spacing w:after="0" w:line="214" w:lineRule="exact"/>
        <w:rPr>
          <w:sz w:val="20"/>
          <w:szCs w:val="20"/>
          <w:color w:val="auto"/>
        </w:rPr>
      </w:pPr>
    </w:p>
    <w:p>
      <w:pPr>
        <w:ind w:left="420" w:hanging="412"/>
        <w:spacing w:after="0"/>
        <w:tabs>
          <w:tab w:leader="none" w:pos="42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 2018 787-9 [****] Aircraft [****]</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5.1 Customer has [****] ([****]) for the [****] 2018 787-8 [****] Aircraft ([****]) in which [****] ([****]) [****] ([****]) and [****]. [****], [****] the [****] 2018 787-9 [****] Aircraft into the [****].</w:t>
      </w:r>
    </w:p>
    <w:p>
      <w:pPr>
        <w:spacing w:after="0" w:line="20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Section 9.2 of Supplemental Agreement No. 11 (</w:t>
      </w:r>
      <w:r>
        <w:rPr>
          <w:rFonts w:ascii="Arial" w:cs="Arial" w:eastAsia="Arial" w:hAnsi="Arial"/>
          <w:sz w:val="22"/>
          <w:szCs w:val="22"/>
          <w:b w:val="1"/>
          <w:bCs w:val="1"/>
          <w:color w:val="auto"/>
        </w:rPr>
        <w:t>SA-11</w:t>
      </w:r>
      <w:r>
        <w:rPr>
          <w:rFonts w:ascii="Arial" w:cs="Arial" w:eastAsia="Arial" w:hAnsi="Arial"/>
          <w:sz w:val="22"/>
          <w:szCs w:val="22"/>
          <w:color w:val="auto"/>
        </w:rPr>
        <w:t>) (as such Section 9.2 was amended by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Supplemental Agreement No. 14) is hereby deleted in its entirety and replaced with the following:</w:t>
      </w:r>
    </w:p>
    <w:p>
      <w:pPr>
        <w:spacing w:after="0" w:line="20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“9.2</w:t>
        <w:tab/>
        <w:t>Customer and Boeing will [****]:</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P.A. No. 3219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80"/>
        <w:spacing w:after="0"/>
        <w:rPr>
          <w:sz w:val="20"/>
          <w:szCs w:val="20"/>
          <w:color w:val="auto"/>
        </w:rPr>
      </w:pPr>
      <w:r>
        <w:rPr>
          <w:rFonts w:ascii="Arial" w:cs="Arial" w:eastAsia="Arial" w:hAnsi="Arial"/>
          <w:sz w:val="21"/>
          <w:szCs w:val="21"/>
          <w:color w:val="auto"/>
        </w:rPr>
        <w:t>L.A. AAL-PA-3219-LA-2101557R1</w:t>
      </w:r>
    </w:p>
    <w:p>
      <w:pPr>
        <w:spacing w:after="0"/>
        <w:rPr>
          <w:sz w:val="20"/>
          <w:szCs w:val="20"/>
          <w:color w:val="auto"/>
        </w:rPr>
      </w:pPr>
      <w:r>
        <w:rPr>
          <w:rFonts w:ascii="Arial" w:cs="Arial" w:eastAsia="Arial" w:hAnsi="Arial"/>
          <w:sz w:val="22"/>
          <w:szCs w:val="22"/>
          <w:color w:val="auto"/>
        </w:rPr>
        <w:t>Page 3</w:t>
      </w:r>
    </w:p>
    <w:p>
      <w:pPr>
        <w:spacing w:after="0" w:line="7" w:lineRule="exact"/>
        <w:rPr>
          <w:sz w:val="20"/>
          <w:szCs w:val="20"/>
          <w:color w:val="auto"/>
        </w:rPr>
      </w:pPr>
    </w:p>
    <w:p>
      <w:pPr>
        <w:sectPr>
          <w:pgSz w:w="11900" w:h="16838" w:orient="portrait"/>
          <w:cols w:equalWidth="0" w:num="3">
            <w:col w:w="1320" w:space="240"/>
            <w:col w:w="620" w:space="20"/>
            <w:col w:w="9040"/>
          </w:cols>
          <w:pgMar w:left="320" w:top="1440" w:right="339" w:bottom="1440" w:gutter="0" w:footer="0" w:header="0"/>
          <w:type w:val="continuous"/>
        </w:sectPr>
      </w:pPr>
    </w:p>
    <w:p>
      <w:pPr>
        <w:jc w:val="center"/>
        <w:spacing w:after="0" w:line="230"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bookmarkStart w:id="138" w:name="page139"/>
    <w:bookmarkEnd w:id="138"/>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ind w:left="1300"/>
        <w:spacing w:after="0"/>
        <w:tabs>
          <w:tab w:leader="none" w:pos="2060" w:val="left"/>
        </w:tabs>
        <w:rPr>
          <w:sz w:val="20"/>
          <w:szCs w:val="20"/>
          <w:color w:val="auto"/>
        </w:rPr>
      </w:pPr>
      <w:r>
        <w:rPr>
          <w:rFonts w:ascii="Arial" w:cs="Arial" w:eastAsia="Arial" w:hAnsi="Arial"/>
          <w:sz w:val="22"/>
          <w:szCs w:val="22"/>
          <w:color w:val="auto"/>
        </w:rPr>
        <w:t>9.2.1</w:t>
      </w:r>
      <w:r>
        <w:rPr>
          <w:sz w:val="20"/>
          <w:szCs w:val="20"/>
          <w:color w:val="auto"/>
        </w:rPr>
        <w:tab/>
      </w:r>
      <w:r>
        <w:rPr>
          <w:rFonts w:ascii="Arial" w:cs="Arial" w:eastAsia="Arial" w:hAnsi="Arial"/>
          <w:sz w:val="21"/>
          <w:szCs w:val="21"/>
          <w:color w:val="auto"/>
        </w:rPr>
        <w:t>the [****] for any [****] Aircraft [****] Customer of the applicable [****];</w:t>
      </w:r>
    </w:p>
    <w:p>
      <w:pPr>
        <w:spacing w:after="0" w:line="22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9.2.2</w:t>
      </w:r>
      <w:r>
        <w:rPr>
          <w:sz w:val="20"/>
          <w:szCs w:val="20"/>
          <w:color w:val="auto"/>
        </w:rPr>
        <w:tab/>
      </w:r>
      <w:r>
        <w:rPr>
          <w:rFonts w:ascii="Arial" w:cs="Arial" w:eastAsia="Arial" w:hAnsi="Arial"/>
          <w:sz w:val="21"/>
          <w:szCs w:val="21"/>
          <w:color w:val="auto"/>
        </w:rPr>
        <w:t>Boeing, [****] for the [****] for such [****] Aircraft; or</w:t>
      </w:r>
    </w:p>
    <w:p>
      <w:pPr>
        <w:spacing w:after="0" w:line="220" w:lineRule="exact"/>
        <w:rPr>
          <w:sz w:val="20"/>
          <w:szCs w:val="20"/>
          <w:color w:val="auto"/>
        </w:rPr>
      </w:pPr>
    </w:p>
    <w:p>
      <w:pPr>
        <w:ind w:left="660" w:firstLine="648"/>
        <w:spacing w:after="0" w:line="233" w:lineRule="auto"/>
        <w:rPr>
          <w:sz w:val="20"/>
          <w:szCs w:val="20"/>
          <w:color w:val="auto"/>
        </w:rPr>
      </w:pPr>
      <w:r>
        <w:rPr>
          <w:rFonts w:ascii="Arial" w:cs="Arial" w:eastAsia="Arial" w:hAnsi="Arial"/>
          <w:sz w:val="22"/>
          <w:szCs w:val="22"/>
          <w:color w:val="auto"/>
        </w:rPr>
        <w:t>9.2.3 Boeing [****] 2018 787-9 [****] Aircraft [****] (as defined in Section 5.3 of Letter Agreement AAL-LA-2100511) [****] 2018 787-9 [****] Aircraft.</w:t>
      </w:r>
    </w:p>
    <w:p>
      <w:pPr>
        <w:spacing w:after="0" w:line="184"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the event of a [****], Boeing agrees to [****] of the applicable [****] Aircraft for the [****]. Customer shall not be [****] the applicable [****] Aircraft during such [****] and, if required, [****] to Customer the [****] 2018 787-9 [****] Aircraft [****] for the applicable [****] Aircraft, [****] Aircraft may otherwise be [****] during such [****]. For the avoidance of doubt, the [****] as defined in Section 1.13 of the Misc. Commitments LA, the [****] is otherwise subject to the terms and conditions of the AGTA and the Purchase Agreement.</w:t>
      </w:r>
    </w:p>
    <w:p>
      <w:pPr>
        <w:spacing w:after="0" w:line="185"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If prior to the [****], Boeing and Customer are [****], Customer may, within [****] following the [****], and [****], either (i) [****] the applicable [****] Aircraft for which the [****], or (ii) [****] the Purchase Agreement [****] to (A) the applicable</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 Aircraft for which the [****], or (B) any [****] Aircraft, including the applicable [****] Aircraft for which the [****], without [****] Aircraft [****] by Customer [****] clause (ii) of this paragraph. If Customer [****] the Purchase Agreement as to [****] Aircraft under this Section 9.2, Boeing shall (x) [****] Aircraft with [****] from Customer to Boeing of the [****] to Customer by Boeing pursuant to this Section 9.2, (y) [****] from Customer all [****] related to the [****] Aircraft at the [****], by Customer, and (z) [****] Customer for all [****] of such [****] Aircraft, including, but not limited to, all [****] Aircraft that have been [****] with this Section 9.2 but are not yet [****].”</w:t>
      </w:r>
    </w:p>
    <w:p>
      <w:pPr>
        <w:spacing w:after="0" w:line="18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5.3 At the [****] of each [****] 2018 787-9 [****] Aircraft, for which [****] (as defined in Section 9 of SA-11), Boeing will [****] Customer a [****] ([****]) [****]. The [****] from Boeing to Customer pursuant Section 2.2.1 above.</w:t>
      </w:r>
    </w:p>
    <w:p>
      <w:pPr>
        <w:spacing w:after="0" w:line="147" w:lineRule="exact"/>
        <w:rPr>
          <w:sz w:val="20"/>
          <w:szCs w:val="20"/>
          <w:color w:val="auto"/>
        </w:rPr>
      </w:pPr>
    </w:p>
    <w:p>
      <w:pPr>
        <w:ind w:left="400" w:hanging="311"/>
        <w:spacing w:after="0"/>
        <w:tabs>
          <w:tab w:leader="none" w:pos="400" w:val="left"/>
        </w:tabs>
        <w:numPr>
          <w:ilvl w:val="0"/>
          <w:numId w:val="88"/>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p>
    <w:p>
      <w:pPr>
        <w:spacing w:after="0" w:line="18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Notwithstanding any other provision of the Purchase Agreement except for the AGTA Assignment Provisions (as defined in Section 1 of Letter Agreement AAl-LA-1106678 entitled “</w:t>
      </w:r>
      <w:r>
        <w:rPr>
          <w:rFonts w:ascii="Arial" w:cs="Arial" w:eastAsia="Arial" w:hAnsi="Arial"/>
          <w:sz w:val="22"/>
          <w:szCs w:val="22"/>
          <w:u w:val="single" w:color="auto"/>
          <w:color w:val="auto"/>
        </w:rPr>
        <w:t>Assignment Matter</w:t>
      </w:r>
      <w:r>
        <w:rPr>
          <w:rFonts w:ascii="Arial" w:cs="Arial" w:eastAsia="Arial" w:hAnsi="Arial"/>
          <w:sz w:val="22"/>
          <w:szCs w:val="22"/>
          <w:color w:val="auto"/>
        </w:rPr>
        <w: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7"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Treatment.</w:t>
      </w:r>
    </w:p>
    <w:p>
      <w:pPr>
        <w:spacing w:after="0" w:line="18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Customer and Boeing understand that the information contained herein represents confidential business information and has value precisely because it is not available generally or to other parties. This Letter Agreement Letter shall be subject to the terms and conditions of Letter Agreement 6-1162-TRW-0673R1 entitled “Confidentiality.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P.A. No. 3219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L.A. AAL-PA-3219-LA-2101557R1</w:t>
      </w:r>
    </w:p>
    <w:p>
      <w:pPr>
        <w:spacing w:after="0"/>
        <w:rPr>
          <w:sz w:val="20"/>
          <w:szCs w:val="20"/>
          <w:color w:val="auto"/>
        </w:rPr>
      </w:pPr>
      <w:r>
        <w:rPr>
          <w:rFonts w:ascii="Arial" w:cs="Arial" w:eastAsia="Arial" w:hAnsi="Arial"/>
          <w:sz w:val="22"/>
          <w:szCs w:val="22"/>
          <w:color w:val="auto"/>
        </w:rPr>
        <w:t>Page 4</w:t>
      </w:r>
    </w:p>
    <w:p>
      <w:pPr>
        <w:spacing w:after="0" w:line="7" w:lineRule="exact"/>
        <w:rPr>
          <w:sz w:val="20"/>
          <w:szCs w:val="20"/>
          <w:color w:val="auto"/>
        </w:rPr>
      </w:pPr>
    </w:p>
    <w:p>
      <w:pPr>
        <w:sectPr>
          <w:pgSz w:w="11900" w:h="16838" w:orient="portrait"/>
          <w:cols w:equalWidth="0" w:num="3">
            <w:col w:w="1320" w:space="240"/>
            <w:col w:w="620" w:space="20"/>
            <w:col w:w="9040"/>
          </w:cols>
          <w:pgMar w:left="320" w:top="1440" w:right="339" w:bottom="1440" w:gutter="0" w:footer="0" w:header="0"/>
          <w:type w:val="continuous"/>
        </w:sectPr>
      </w:pPr>
    </w:p>
    <w:p>
      <w:pPr>
        <w:jc w:val="center"/>
        <w:spacing w:after="0" w:line="230"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1819"/>
        <w:spacing w:after="0"/>
        <w:rPr>
          <w:sz w:val="20"/>
          <w:szCs w:val="20"/>
          <w:color w:val="auto"/>
        </w:rPr>
      </w:pPr>
      <w:r>
        <w:rPr>
          <w:rFonts w:ascii="Arial" w:cs="Arial" w:eastAsia="Arial" w:hAnsi="Arial"/>
          <w:sz w:val="21"/>
          <w:szCs w:val="21"/>
          <w:b w:val="1"/>
          <w:bCs w:val="1"/>
          <w:i w:val="1"/>
          <w:iCs w:val="1"/>
          <w:color w:val="auto"/>
        </w:rPr>
        <w:t>The rest of this page is left intentionally blank.</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P.A. No. 3219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80"/>
        <w:spacing w:after="0"/>
        <w:rPr>
          <w:sz w:val="20"/>
          <w:szCs w:val="20"/>
          <w:color w:val="auto"/>
        </w:rPr>
      </w:pPr>
      <w:r>
        <w:rPr>
          <w:rFonts w:ascii="Arial" w:cs="Arial" w:eastAsia="Arial" w:hAnsi="Arial"/>
          <w:sz w:val="21"/>
          <w:szCs w:val="21"/>
          <w:color w:val="auto"/>
        </w:rPr>
        <w:t>L.A. AAL-PA-3219-LA-2101557R1</w:t>
      </w:r>
    </w:p>
    <w:p>
      <w:pPr>
        <w:spacing w:after="0"/>
        <w:rPr>
          <w:sz w:val="20"/>
          <w:szCs w:val="20"/>
          <w:color w:val="auto"/>
        </w:rPr>
      </w:pPr>
      <w:r>
        <w:rPr>
          <w:rFonts w:ascii="Arial" w:cs="Arial" w:eastAsia="Arial" w:hAnsi="Arial"/>
          <w:sz w:val="22"/>
          <w:szCs w:val="22"/>
          <w:color w:val="auto"/>
        </w:rPr>
        <w:t>Page 5</w:t>
      </w:r>
    </w:p>
    <w:p>
      <w:pPr>
        <w:spacing w:after="0" w:line="7" w:lineRule="exact"/>
        <w:rPr>
          <w:sz w:val="20"/>
          <w:szCs w:val="20"/>
          <w:color w:val="auto"/>
        </w:rPr>
      </w:pPr>
    </w:p>
    <w:p>
      <w:pPr>
        <w:sectPr>
          <w:pgSz w:w="11900" w:h="16838" w:orient="portrait"/>
          <w:cols w:equalWidth="0" w:num="3">
            <w:col w:w="1320" w:space="240"/>
            <w:col w:w="620" w:space="20"/>
            <w:col w:w="7939"/>
          </w:cols>
          <w:pgMar w:left="320" w:top="1440" w:right="1440" w:bottom="1440" w:gutter="0" w:footer="0" w:header="0"/>
          <w:type w:val="continuous"/>
        </w:sectPr>
      </w:pPr>
    </w:p>
    <w:p>
      <w:pPr>
        <w:ind w:left="4400"/>
        <w:spacing w:after="0" w:line="230"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gridSpan w:val="4"/>
          </w:tcPr>
          <w:p>
            <w:pPr>
              <w:spacing w:after="0"/>
              <w:rPr>
                <w:sz w:val="20"/>
                <w:szCs w:val="20"/>
                <w:color w:val="auto"/>
              </w:rPr>
            </w:pPr>
            <w:r>
              <w:rPr>
                <w:rFonts w:ascii="Arial" w:cs="Arial" w:eastAsia="Arial" w:hAnsi="Arial"/>
                <w:sz w:val="22"/>
                <w:szCs w:val="22"/>
                <w:color w:val="auto"/>
              </w:rPr>
              <w:t>EXECUTED as of August 31  , 2023</w:t>
            </w:r>
          </w:p>
        </w:tc>
        <w:tc>
          <w:tcPr>
            <w:tcW w:w="1400" w:type="dxa"/>
            <w:vAlign w:val="bottom"/>
          </w:tcPr>
          <w:p>
            <w:pPr>
              <w:spacing w:after="0"/>
              <w:rPr>
                <w:sz w:val="21"/>
                <w:szCs w:val="21"/>
                <w:color w:val="auto"/>
              </w:rPr>
            </w:pPr>
          </w:p>
        </w:tc>
        <w:tc>
          <w:tcPr>
            <w:tcW w:w="3400" w:type="dxa"/>
            <w:vAlign w:val="bottom"/>
          </w:tcPr>
          <w:p>
            <w:pPr>
              <w:spacing w:after="0"/>
              <w:rPr>
                <w:sz w:val="21"/>
                <w:szCs w:val="21"/>
                <w:color w:val="auto"/>
              </w:rPr>
            </w:pPr>
          </w:p>
        </w:tc>
      </w:tr>
      <w:tr>
        <w:trPr>
          <w:trHeight w:val="20"/>
        </w:trPr>
        <w:tc>
          <w:tcPr>
            <w:tcW w:w="178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r>
      <w:tr>
        <w:trPr>
          <w:trHeight w:val="843"/>
        </w:trPr>
        <w:tc>
          <w:tcPr>
            <w:tcW w:w="4460" w:type="dxa"/>
            <w:vAlign w:val="bottom"/>
            <w:gridSpan w:val="4"/>
          </w:tcPr>
          <w:p>
            <w:pPr>
              <w:ind w:left="20"/>
              <w:spacing w:after="0"/>
              <w:rPr>
                <w:sz w:val="20"/>
                <w:szCs w:val="20"/>
                <w:color w:val="auto"/>
              </w:rPr>
            </w:pPr>
            <w:r>
              <w:rPr>
                <w:rFonts w:ascii="Arial" w:cs="Arial" w:eastAsia="Arial" w:hAnsi="Arial"/>
                <w:sz w:val="22"/>
                <w:szCs w:val="22"/>
                <w:b w:val="1"/>
                <w:bCs w:val="1"/>
                <w:color w:val="auto"/>
              </w:rPr>
              <w:t>THE BOEING COMPANY</w:t>
            </w:r>
          </w:p>
        </w:tc>
        <w:tc>
          <w:tcPr>
            <w:tcW w:w="4800" w:type="dxa"/>
            <w:vAlign w:val="bottom"/>
            <w:gridSpan w:val="2"/>
          </w:tcPr>
          <w:p>
            <w:pPr>
              <w:ind w:left="360"/>
              <w:spacing w:after="0"/>
              <w:rPr>
                <w:sz w:val="20"/>
                <w:szCs w:val="20"/>
                <w:color w:val="auto"/>
              </w:rPr>
            </w:pPr>
            <w:r>
              <w:rPr>
                <w:rFonts w:ascii="Arial" w:cs="Arial" w:eastAsia="Arial" w:hAnsi="Arial"/>
                <w:sz w:val="22"/>
                <w:szCs w:val="22"/>
                <w:b w:val="1"/>
                <w:bCs w:val="1"/>
                <w:color w:val="auto"/>
              </w:rPr>
              <w:t>AMERICAN AIRLINES, INC.</w:t>
            </w:r>
          </w:p>
        </w:tc>
      </w:tr>
      <w:tr>
        <w:trPr>
          <w:trHeight w:val="484"/>
        </w:trPr>
        <w:tc>
          <w:tcPr>
            <w:tcW w:w="1060" w:type="dxa"/>
            <w:vAlign w:val="bottom"/>
          </w:tcPr>
          <w:p>
            <w:pPr>
              <w:ind w:left="20"/>
              <w:spacing w:after="0"/>
              <w:rPr>
                <w:sz w:val="20"/>
                <w:szCs w:val="20"/>
                <w:color w:val="auto"/>
              </w:rPr>
            </w:pPr>
            <w:r>
              <w:rPr>
                <w:rFonts w:ascii="Arial" w:cs="Arial" w:eastAsia="Arial" w:hAnsi="Arial"/>
                <w:sz w:val="22"/>
                <w:szCs w:val="22"/>
                <w:color w:val="auto"/>
              </w:rPr>
              <w:t>By:</w:t>
            </w:r>
          </w:p>
        </w:tc>
        <w:tc>
          <w:tcPr>
            <w:tcW w:w="3400" w:type="dxa"/>
            <w:vAlign w:val="bottom"/>
            <w:gridSpan w:val="3"/>
          </w:tcPr>
          <w:p>
            <w:pPr>
              <w:ind w:left="20"/>
              <w:spacing w:after="0"/>
              <w:rPr>
                <w:sz w:val="20"/>
                <w:szCs w:val="20"/>
                <w:color w:val="auto"/>
              </w:rPr>
            </w:pPr>
            <w:r>
              <w:rPr>
                <w:rFonts w:ascii="Arial" w:cs="Arial" w:eastAsia="Arial" w:hAnsi="Arial"/>
                <w:sz w:val="22"/>
                <w:szCs w:val="22"/>
                <w:color w:val="auto"/>
              </w:rPr>
              <w:t>/s/ The Boeing Company</w:t>
            </w:r>
          </w:p>
        </w:tc>
        <w:tc>
          <w:tcPr>
            <w:tcW w:w="1400" w:type="dxa"/>
            <w:vAlign w:val="bottom"/>
          </w:tcPr>
          <w:p>
            <w:pPr>
              <w:ind w:left="360"/>
              <w:spacing w:after="0"/>
              <w:rPr>
                <w:sz w:val="20"/>
                <w:szCs w:val="20"/>
                <w:color w:val="auto"/>
              </w:rPr>
            </w:pPr>
            <w:r>
              <w:rPr>
                <w:rFonts w:ascii="Arial" w:cs="Arial" w:eastAsia="Arial" w:hAnsi="Arial"/>
                <w:sz w:val="22"/>
                <w:szCs w:val="22"/>
                <w:color w:val="auto"/>
              </w:rPr>
              <w:t>By:</w:t>
            </w:r>
          </w:p>
        </w:tc>
        <w:tc>
          <w:tcPr>
            <w:tcW w:w="3400" w:type="dxa"/>
            <w:vAlign w:val="bottom"/>
          </w:tcPr>
          <w:p>
            <w:pPr>
              <w:ind w:left="20"/>
              <w:spacing w:after="0"/>
              <w:rPr>
                <w:sz w:val="20"/>
                <w:szCs w:val="20"/>
                <w:color w:val="auto"/>
              </w:rPr>
            </w:pPr>
            <w:r>
              <w:rPr>
                <w:rFonts w:ascii="Arial" w:cs="Arial" w:eastAsia="Arial" w:hAnsi="Arial"/>
                <w:sz w:val="22"/>
                <w:szCs w:val="22"/>
                <w:color w:val="auto"/>
              </w:rPr>
              <w:t>/s/ American Airlines, Inc.</w:t>
            </w:r>
          </w:p>
        </w:tc>
      </w:tr>
      <w:tr>
        <w:trPr>
          <w:trHeight w:val="30"/>
        </w:trPr>
        <w:tc>
          <w:tcPr>
            <w:tcW w:w="1060" w:type="dxa"/>
            <w:vAlign w:val="bottom"/>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14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557"/>
        </w:trPr>
        <w:tc>
          <w:tcPr>
            <w:tcW w:w="1060" w:type="dxa"/>
            <w:vAlign w:val="bottom"/>
          </w:tcPr>
          <w:p>
            <w:pPr>
              <w:ind w:left="20"/>
              <w:spacing w:after="0"/>
              <w:rPr>
                <w:sz w:val="20"/>
                <w:szCs w:val="20"/>
                <w:color w:val="auto"/>
              </w:rPr>
            </w:pPr>
            <w:r>
              <w:rPr>
                <w:rFonts w:ascii="Arial" w:cs="Arial" w:eastAsia="Arial" w:hAnsi="Arial"/>
                <w:sz w:val="22"/>
                <w:szCs w:val="22"/>
                <w:color w:val="auto"/>
              </w:rPr>
              <w:t>Name:</w:t>
            </w:r>
          </w:p>
        </w:tc>
        <w:tc>
          <w:tcPr>
            <w:tcW w:w="3400" w:type="dxa"/>
            <w:vAlign w:val="bottom"/>
            <w:gridSpan w:val="3"/>
          </w:tcPr>
          <w:p>
            <w:pPr>
              <w:ind w:left="20"/>
              <w:spacing w:after="0"/>
              <w:rPr>
                <w:sz w:val="20"/>
                <w:szCs w:val="20"/>
                <w:color w:val="auto"/>
              </w:rPr>
            </w:pPr>
            <w:r>
              <w:rPr>
                <w:rFonts w:ascii="Arial" w:cs="Arial" w:eastAsia="Arial" w:hAnsi="Arial"/>
                <w:sz w:val="22"/>
                <w:szCs w:val="22"/>
                <w:color w:val="auto"/>
              </w:rPr>
              <w:t>The Boeing Company</w:t>
            </w:r>
          </w:p>
        </w:tc>
        <w:tc>
          <w:tcPr>
            <w:tcW w:w="1400" w:type="dxa"/>
            <w:vAlign w:val="bottom"/>
          </w:tcPr>
          <w:p>
            <w:pPr>
              <w:ind w:left="360"/>
              <w:spacing w:after="0"/>
              <w:rPr>
                <w:sz w:val="20"/>
                <w:szCs w:val="20"/>
                <w:color w:val="auto"/>
              </w:rPr>
            </w:pPr>
            <w:r>
              <w:rPr>
                <w:rFonts w:ascii="Arial" w:cs="Arial" w:eastAsia="Arial" w:hAnsi="Arial"/>
                <w:sz w:val="22"/>
                <w:szCs w:val="22"/>
                <w:color w:val="auto"/>
              </w:rPr>
              <w:t>Name:</w:t>
            </w:r>
          </w:p>
        </w:tc>
        <w:tc>
          <w:tcPr>
            <w:tcW w:w="3400" w:type="dxa"/>
            <w:vAlign w:val="bottom"/>
          </w:tcPr>
          <w:p>
            <w:pPr>
              <w:ind w:left="20"/>
              <w:spacing w:after="0"/>
              <w:rPr>
                <w:sz w:val="20"/>
                <w:szCs w:val="20"/>
                <w:color w:val="auto"/>
              </w:rPr>
            </w:pPr>
            <w:r>
              <w:rPr>
                <w:rFonts w:ascii="Arial" w:cs="Arial" w:eastAsia="Arial" w:hAnsi="Arial"/>
                <w:sz w:val="22"/>
                <w:szCs w:val="22"/>
                <w:color w:val="auto"/>
              </w:rPr>
              <w:t>American Airlines, Inc.</w:t>
            </w:r>
          </w:p>
        </w:tc>
      </w:tr>
      <w:tr>
        <w:trPr>
          <w:trHeight w:val="30"/>
        </w:trPr>
        <w:tc>
          <w:tcPr>
            <w:tcW w:w="1060" w:type="dxa"/>
            <w:vAlign w:val="bottom"/>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14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557"/>
        </w:trPr>
        <w:tc>
          <w:tcPr>
            <w:tcW w:w="1060" w:type="dxa"/>
            <w:vAlign w:val="bottom"/>
          </w:tcPr>
          <w:p>
            <w:pPr>
              <w:ind w:left="20"/>
              <w:spacing w:after="0"/>
              <w:rPr>
                <w:sz w:val="20"/>
                <w:szCs w:val="20"/>
                <w:color w:val="auto"/>
              </w:rPr>
            </w:pPr>
            <w:r>
              <w:rPr>
                <w:rFonts w:ascii="Arial" w:cs="Arial" w:eastAsia="Arial" w:hAnsi="Arial"/>
                <w:sz w:val="22"/>
                <w:szCs w:val="22"/>
                <w:color w:val="auto"/>
              </w:rPr>
              <w:t>Title:</w:t>
            </w:r>
          </w:p>
        </w:tc>
        <w:tc>
          <w:tcPr>
            <w:tcW w:w="3400" w:type="dxa"/>
            <w:vAlign w:val="bottom"/>
            <w:gridSpan w:val="3"/>
          </w:tcPr>
          <w:p>
            <w:pPr>
              <w:ind w:left="20"/>
              <w:spacing w:after="0"/>
              <w:rPr>
                <w:sz w:val="20"/>
                <w:szCs w:val="20"/>
                <w:color w:val="auto"/>
              </w:rPr>
            </w:pPr>
            <w:r>
              <w:rPr>
                <w:rFonts w:ascii="Arial" w:cs="Arial" w:eastAsia="Arial" w:hAnsi="Arial"/>
                <w:sz w:val="22"/>
                <w:szCs w:val="22"/>
                <w:color w:val="auto"/>
              </w:rPr>
              <w:t>Attorney-In-Fact</w:t>
            </w:r>
          </w:p>
        </w:tc>
        <w:tc>
          <w:tcPr>
            <w:tcW w:w="1400" w:type="dxa"/>
            <w:vAlign w:val="bottom"/>
          </w:tcPr>
          <w:p>
            <w:pPr>
              <w:ind w:left="360"/>
              <w:spacing w:after="0"/>
              <w:rPr>
                <w:sz w:val="20"/>
                <w:szCs w:val="20"/>
                <w:color w:val="auto"/>
              </w:rPr>
            </w:pPr>
            <w:r>
              <w:rPr>
                <w:rFonts w:ascii="Arial" w:cs="Arial" w:eastAsia="Arial" w:hAnsi="Arial"/>
                <w:sz w:val="22"/>
                <w:szCs w:val="22"/>
                <w:color w:val="auto"/>
              </w:rPr>
              <w:t>Title:</w:t>
            </w:r>
          </w:p>
        </w:tc>
        <w:tc>
          <w:tcPr>
            <w:tcW w:w="3400" w:type="dxa"/>
            <w:vAlign w:val="bottom"/>
          </w:tcPr>
          <w:p>
            <w:pPr>
              <w:ind w:left="20"/>
              <w:spacing w:after="0"/>
              <w:rPr>
                <w:sz w:val="20"/>
                <w:szCs w:val="20"/>
                <w:color w:val="auto"/>
              </w:rPr>
            </w:pPr>
            <w:r>
              <w:rPr>
                <w:rFonts w:ascii="Arial" w:cs="Arial" w:eastAsia="Arial" w:hAnsi="Arial"/>
                <w:sz w:val="22"/>
                <w:szCs w:val="22"/>
                <w:color w:val="auto"/>
              </w:rPr>
              <w:t>SVP, Treasurer</w:t>
            </w:r>
          </w:p>
        </w:tc>
      </w:tr>
      <w:tr>
        <w:trPr>
          <w:trHeight w:val="30"/>
        </w:trPr>
        <w:tc>
          <w:tcPr>
            <w:tcW w:w="10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P.A. No. 3219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rPr>
          <w:sz w:val="20"/>
          <w:szCs w:val="20"/>
          <w:color w:val="auto"/>
        </w:rPr>
      </w:pPr>
      <w:r>
        <w:rPr>
          <w:rFonts w:ascii="Arial" w:cs="Arial" w:eastAsia="Arial" w:hAnsi="Arial"/>
          <w:sz w:val="21"/>
          <w:szCs w:val="21"/>
          <w:color w:val="auto"/>
        </w:rPr>
        <w:t>L.A. AAL-PA-3219-LA-2101557R1</w:t>
      </w:r>
    </w:p>
    <w:p>
      <w:pPr>
        <w:spacing w:after="0"/>
        <w:rPr>
          <w:sz w:val="20"/>
          <w:szCs w:val="20"/>
          <w:color w:val="auto"/>
        </w:rPr>
      </w:pPr>
      <w:r>
        <w:rPr>
          <w:rFonts w:ascii="Arial" w:cs="Arial" w:eastAsia="Arial" w:hAnsi="Arial"/>
          <w:sz w:val="22"/>
          <w:szCs w:val="22"/>
          <w:color w:val="auto"/>
        </w:rPr>
        <w:t>Page 6</w:t>
      </w:r>
    </w:p>
    <w:p>
      <w:pPr>
        <w:spacing w:after="0" w:line="7" w:lineRule="exact"/>
        <w:rPr>
          <w:sz w:val="20"/>
          <w:szCs w:val="20"/>
          <w:color w:val="auto"/>
        </w:rPr>
      </w:pPr>
    </w:p>
    <w:p>
      <w:pPr>
        <w:sectPr>
          <w:pgSz w:w="11900" w:h="16838" w:orient="portrait"/>
          <w:cols w:equalWidth="0" w:num="3">
            <w:col w:w="1320" w:space="240"/>
            <w:col w:w="620" w:space="20"/>
            <w:col w:w="7939"/>
          </w:cols>
          <w:pgMar w:left="320" w:top="1440" w:right="1440" w:bottom="1440" w:gutter="0" w:footer="0" w:header="0"/>
          <w:type w:val="continuous"/>
        </w:sectPr>
      </w:pPr>
    </w:p>
    <w:p>
      <w:pPr>
        <w:ind w:left="4400"/>
        <w:spacing w:after="0" w:line="230"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41" w:name="page142"/>
    <w:bookmarkEnd w:id="141"/>
    <w:tbl>
      <w:tblPr>
        <w:tblLayout w:type="fixed"/>
        <w:tblInd w:w="690" w:type="dxa"/>
        <w:tblCellMar>
          <w:top w:w="0" w:type="dxa"/>
          <w:left w:w="0" w:type="dxa"/>
          <w:bottom w:w="0" w:type="dxa"/>
          <w:right w:w="0" w:type="dxa"/>
        </w:tblCellMar>
      </w:tblPr>
      <w:tr>
        <w:trPr>
          <w:trHeight w:val="253"/>
        </w:trPr>
        <w:tc>
          <w:tcPr>
            <w:tcW w:w="6060" w:type="dxa"/>
            <w:vAlign w:val="bottom"/>
            <w:gridSpan w:val="2"/>
          </w:tcPr>
          <w:p>
            <w:pPr>
              <w:jc w:val="center"/>
              <w:ind w:left="3740"/>
              <w:spacing w:after="0"/>
              <w:rPr>
                <w:sz w:val="20"/>
                <w:szCs w:val="20"/>
                <w:color w:val="auto"/>
              </w:rPr>
            </w:pPr>
            <w:r>
              <w:rPr>
                <w:rFonts w:ascii="Arial" w:cs="Arial" w:eastAsia="Arial" w:hAnsi="Arial"/>
                <w:sz w:val="22"/>
                <w:szCs w:val="22"/>
                <w:b w:val="1"/>
                <w:bCs w:val="1"/>
                <w:color w:val="auto"/>
                <w:w w:val="90"/>
              </w:rPr>
              <w:t>Attachment A</w:t>
            </w:r>
          </w:p>
        </w:tc>
        <w:tc>
          <w:tcPr>
            <w:tcW w:w="2820" w:type="dxa"/>
            <w:vAlign w:val="bottom"/>
          </w:tcPr>
          <w:p>
            <w:pPr>
              <w:spacing w:after="0"/>
              <w:rPr>
                <w:sz w:val="21"/>
                <w:szCs w:val="21"/>
                <w:color w:val="auto"/>
              </w:rPr>
            </w:pPr>
          </w:p>
        </w:tc>
      </w:tr>
      <w:tr>
        <w:trPr>
          <w:trHeight w:val="216"/>
        </w:trPr>
        <w:tc>
          <w:tcPr>
            <w:tcW w:w="4420" w:type="dxa"/>
            <w:vAlign w:val="bottom"/>
          </w:tcPr>
          <w:p>
            <w:pPr>
              <w:spacing w:after="0"/>
              <w:rPr>
                <w:sz w:val="18"/>
                <w:szCs w:val="18"/>
                <w:color w:val="auto"/>
              </w:rPr>
            </w:pPr>
          </w:p>
        </w:tc>
        <w:tc>
          <w:tcPr>
            <w:tcW w:w="1640" w:type="dxa"/>
            <w:vAlign w:val="bottom"/>
          </w:tcPr>
          <w:p>
            <w:pPr>
              <w:jc w:val="center"/>
              <w:ind w:right="472"/>
              <w:spacing w:after="0" w:line="216" w:lineRule="exact"/>
              <w:rPr>
                <w:sz w:val="20"/>
                <w:szCs w:val="20"/>
                <w:color w:val="auto"/>
              </w:rPr>
            </w:pPr>
            <w:r>
              <w:rPr>
                <w:rFonts w:ascii="Arial" w:cs="Arial" w:eastAsia="Arial" w:hAnsi="Arial"/>
                <w:sz w:val="22"/>
                <w:szCs w:val="22"/>
                <w:b w:val="1"/>
                <w:bCs w:val="1"/>
                <w:color w:val="auto"/>
                <w:w w:val="86"/>
              </w:rPr>
              <w:t>to</w:t>
            </w:r>
          </w:p>
        </w:tc>
        <w:tc>
          <w:tcPr>
            <w:tcW w:w="2820" w:type="dxa"/>
            <w:vAlign w:val="bottom"/>
          </w:tcPr>
          <w:p>
            <w:pPr>
              <w:spacing w:after="0"/>
              <w:rPr>
                <w:sz w:val="18"/>
                <w:szCs w:val="18"/>
                <w:color w:val="auto"/>
              </w:rPr>
            </w:pPr>
          </w:p>
        </w:tc>
      </w:tr>
      <w:tr>
        <w:trPr>
          <w:trHeight w:val="280"/>
        </w:trPr>
        <w:tc>
          <w:tcPr>
            <w:tcW w:w="8880" w:type="dxa"/>
            <w:vAlign w:val="bottom"/>
            <w:gridSpan w:val="3"/>
          </w:tcPr>
          <w:p>
            <w:pPr>
              <w:jc w:val="center"/>
              <w:ind w:left="900"/>
              <w:spacing w:after="0"/>
              <w:rPr>
                <w:sz w:val="20"/>
                <w:szCs w:val="20"/>
                <w:color w:val="auto"/>
              </w:rPr>
            </w:pPr>
            <w:r>
              <w:rPr>
                <w:rFonts w:ascii="Arial" w:cs="Arial" w:eastAsia="Arial" w:hAnsi="Arial"/>
                <w:sz w:val="22"/>
                <w:szCs w:val="22"/>
                <w:b w:val="1"/>
                <w:bCs w:val="1"/>
                <w:color w:val="auto"/>
                <w:w w:val="92"/>
              </w:rPr>
              <w:t>AAL-PA-3219-LA-2101557R1</w:t>
            </w:r>
          </w:p>
        </w:tc>
      </w:tr>
      <w:tr>
        <w:trPr>
          <w:trHeight w:val="489"/>
        </w:trPr>
        <w:tc>
          <w:tcPr>
            <w:tcW w:w="44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323"/>
        </w:trPr>
        <w:tc>
          <w:tcPr>
            <w:tcW w:w="6060" w:type="dxa"/>
            <w:vAlign w:val="bottom"/>
            <w:tcBorders>
              <w:left w:val="single" w:sz="8" w:color="auto"/>
              <w:bottom w:val="single" w:sz="8" w:color="D9D9D9"/>
            </w:tcBorders>
            <w:gridSpan w:val="2"/>
            <w:shd w:val="clear" w:color="auto" w:fill="D9D9D9"/>
          </w:tcPr>
          <w:p>
            <w:pPr>
              <w:ind w:left="3080"/>
              <w:spacing w:after="0"/>
              <w:rPr>
                <w:sz w:val="20"/>
                <w:szCs w:val="20"/>
                <w:color w:val="auto"/>
              </w:rPr>
            </w:pPr>
            <w:r>
              <w:rPr>
                <w:rFonts w:ascii="Arial" w:cs="Arial" w:eastAsia="Arial" w:hAnsi="Arial"/>
                <w:sz w:val="20"/>
                <w:szCs w:val="20"/>
                <w:color w:val="auto"/>
              </w:rPr>
              <w:t>[****] 2018 787-8 [****] Aircraft</w:t>
            </w:r>
          </w:p>
        </w:tc>
        <w:tc>
          <w:tcPr>
            <w:tcW w:w="282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268"/>
        </w:trPr>
        <w:tc>
          <w:tcPr>
            <w:tcW w:w="4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 Scheduled Delivery Month</w:t>
            </w:r>
          </w:p>
        </w:tc>
        <w:tc>
          <w:tcPr>
            <w:tcW w:w="1640" w:type="dxa"/>
            <w:vAlign w:val="bottom"/>
            <w:tcBorders>
              <w:top w:val="single" w:sz="8" w:color="auto"/>
            </w:tcBorders>
          </w:tcPr>
          <w:p>
            <w:pPr>
              <w:spacing w:after="0"/>
              <w:rPr>
                <w:sz w:val="23"/>
                <w:szCs w:val="23"/>
                <w:color w:val="auto"/>
              </w:rPr>
            </w:pPr>
          </w:p>
        </w:tc>
        <w:tc>
          <w:tcPr>
            <w:tcW w:w="2820" w:type="dxa"/>
            <w:vAlign w:val="bottom"/>
            <w:tcBorders>
              <w:top w:val="single" w:sz="8" w:color="auto"/>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[****]-2020</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8"/>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7"/>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r>
        <w:trPr>
          <w:trHeight w:val="267"/>
        </w:trPr>
        <w:tc>
          <w:tcPr>
            <w:tcW w:w="4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1640" w:type="dxa"/>
            <w:vAlign w:val="bottom"/>
          </w:tcPr>
          <w:p>
            <w:pPr>
              <w:spacing w:after="0"/>
              <w:rPr>
                <w:sz w:val="23"/>
                <w:szCs w:val="23"/>
                <w:color w:val="auto"/>
              </w:rPr>
            </w:pPr>
          </w:p>
        </w:tc>
        <w:tc>
          <w:tcPr>
            <w:tcW w:w="2820" w:type="dxa"/>
            <w:vAlign w:val="bottom"/>
            <w:tcBorders>
              <w:right w:val="single" w:sz="8" w:color="auto"/>
            </w:tcBorders>
          </w:tcPr>
          <w:p>
            <w:pPr>
              <w:jc w:val="center"/>
              <w:ind w:right="1561"/>
              <w:spacing w:after="0"/>
              <w:rPr>
                <w:sz w:val="20"/>
                <w:szCs w:val="20"/>
                <w:color w:val="auto"/>
              </w:rPr>
            </w:pPr>
            <w:r>
              <w:rPr>
                <w:rFonts w:ascii="Arial" w:cs="Arial" w:eastAsia="Arial" w:hAnsi="Arial"/>
                <w:sz w:val="20"/>
                <w:szCs w:val="20"/>
                <w:color w:val="auto"/>
              </w:rPr>
              <w:t>[****]</w:t>
            </w:r>
          </w:p>
        </w:tc>
      </w:tr>
      <w:tr>
        <w:trPr>
          <w:trHeight w:val="50"/>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8"/>
          <w:szCs w:val="18"/>
          <w:color w:val="auto"/>
        </w:rPr>
        <w:t>[****]</w:t>
      </w:r>
      <w:r>
        <w:rPr>
          <w:rFonts w:ascii="Arial" w:cs="Arial" w:eastAsia="Arial" w:hAnsi="Arial"/>
          <w:sz w:val="21"/>
          <w:szCs w:val="21"/>
          <w:color w:val="auto"/>
        </w:rPr>
        <w:t xml:space="preserve">. For this aircraft, </w:t>
      </w:r>
      <w:r>
        <w:rPr>
          <w:rFonts w:ascii="Arial" w:cs="Arial" w:eastAsia="Arial" w:hAnsi="Arial"/>
          <w:sz w:val="18"/>
          <w:szCs w:val="18"/>
          <w:color w:val="auto"/>
        </w:rPr>
        <w:t>[****]-2021</w:t>
      </w:r>
      <w:r>
        <w:rPr>
          <w:rFonts w:ascii="Arial" w:cs="Arial" w:eastAsia="Arial" w:hAnsi="Arial"/>
          <w:sz w:val="21"/>
          <w:szCs w:val="21"/>
          <w:color w:val="auto"/>
        </w:rPr>
        <w:t xml:space="preserve">. The parties also agreed that for the avoidance of doubt, </w:t>
      </w:r>
      <w:r>
        <w:rPr>
          <w:rFonts w:ascii="Arial" w:cs="Arial" w:eastAsia="Arial" w:hAnsi="Arial"/>
          <w:sz w:val="18"/>
          <w:szCs w:val="18"/>
          <w:color w:val="auto"/>
        </w:rPr>
        <w:t>[****]-2021</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SA-20</w:t>
      </w:r>
    </w:p>
    <w:p>
      <w:pPr>
        <w:ind w:left="440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358" w:right="1440" w:bottom="1440" w:gutter="0" w:footer="0" w:header="0"/>
        </w:sectPr>
      </w:pPr>
    </w:p>
    <w:bookmarkStart w:id="142" w:name="page143"/>
    <w:bookmarkEnd w:id="142"/>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Attachment B</w:t>
      </w:r>
    </w:p>
    <w:p>
      <w:pPr>
        <w:jc w:val="center"/>
        <w:ind w:right="20"/>
        <w:spacing w:after="0" w:line="204" w:lineRule="auto"/>
        <w:rPr>
          <w:sz w:val="20"/>
          <w:szCs w:val="20"/>
          <w:color w:val="auto"/>
        </w:rPr>
      </w:pPr>
      <w:r>
        <w:rPr>
          <w:rFonts w:ascii="Arial" w:cs="Arial" w:eastAsia="Arial" w:hAnsi="Arial"/>
          <w:sz w:val="22"/>
          <w:szCs w:val="22"/>
          <w:b w:val="1"/>
          <w:bCs w:val="1"/>
          <w:color w:val="auto"/>
        </w:rPr>
        <w:t>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AAL-PA-3219-LA-2101557R1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40575" cy="1671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0575" cy="1671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2018 787-9[****] Aircraft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560" w:type="dxa"/>
            <w:vAlign w:val="bottom"/>
            <w:tcBorders>
              <w:top w:val="single" w:sz="8" w:color="auto"/>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[****]Scheduled Delivery</w:t>
            </w:r>
          </w:p>
        </w:tc>
        <w:tc>
          <w:tcPr>
            <w:tcW w:w="3040" w:type="dxa"/>
            <w:vAlign w:val="bottom"/>
            <w:tcBorders>
              <w:top w:val="single" w:sz="8" w:color="auto"/>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Borders>
              <w:top w:val="single" w:sz="8" w:color="auto"/>
            </w:tcBorders>
          </w:tcPr>
          <w:p>
            <w:pPr>
              <w:jc w:val="right"/>
              <w:ind w:right="1181"/>
              <w:spacing w:after="0"/>
              <w:rPr>
                <w:sz w:val="20"/>
                <w:szCs w:val="20"/>
                <w:color w:val="auto"/>
              </w:rPr>
            </w:pPr>
            <w:r>
              <w:rPr>
                <w:rFonts w:ascii="Arial" w:cs="Arial" w:eastAsia="Arial" w:hAnsi="Arial"/>
                <w:sz w:val="20"/>
                <w:szCs w:val="20"/>
                <w:color w:val="auto"/>
              </w:rPr>
              <w:t>[****]</w:t>
            </w:r>
          </w:p>
        </w:tc>
      </w:tr>
      <w:tr>
        <w:trPr>
          <w:trHeight w:val="270"/>
        </w:trPr>
        <w:tc>
          <w:tcPr>
            <w:tcW w:w="256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Month</w:t>
            </w:r>
          </w:p>
        </w:tc>
        <w:tc>
          <w:tcPr>
            <w:tcW w:w="3040" w:type="dxa"/>
            <w:vAlign w:val="bottom"/>
            <w:tcBorders>
              <w:right w:val="single" w:sz="8" w:color="auto"/>
            </w:tcBorders>
          </w:tcPr>
          <w:p>
            <w:pPr>
              <w:spacing w:after="0"/>
              <w:rPr>
                <w:sz w:val="23"/>
                <w:szCs w:val="23"/>
                <w:color w:val="auto"/>
              </w:rPr>
            </w:pPr>
          </w:p>
        </w:tc>
        <w:tc>
          <w:tcPr>
            <w:tcW w:w="3060" w:type="dxa"/>
            <w:vAlign w:val="bottom"/>
          </w:tcPr>
          <w:p>
            <w:pPr>
              <w:spacing w:after="0"/>
              <w:rPr>
                <w:sz w:val="23"/>
                <w:szCs w:val="23"/>
                <w:color w:val="auto"/>
              </w:rPr>
            </w:pPr>
          </w:p>
        </w:tc>
      </w:tr>
      <w:tr>
        <w:trPr>
          <w:trHeight w:val="36"/>
        </w:trPr>
        <w:tc>
          <w:tcPr>
            <w:tcW w:w="256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r>
      <w:tr>
        <w:trPr>
          <w:trHeight w:val="268"/>
        </w:trPr>
        <w:tc>
          <w:tcPr>
            <w:tcW w:w="2560" w:type="dxa"/>
            <w:vAlign w:val="bottom"/>
            <w:tcBorders>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Pr>
          <w:p>
            <w:pPr>
              <w:jc w:val="right"/>
              <w:ind w:right="1181"/>
              <w:spacing w:after="0"/>
              <w:rPr>
                <w:sz w:val="20"/>
                <w:szCs w:val="20"/>
                <w:color w:val="auto"/>
              </w:rPr>
            </w:pPr>
            <w:r>
              <w:rPr>
                <w:rFonts w:ascii="Arial" w:cs="Arial" w:eastAsia="Arial" w:hAnsi="Arial"/>
                <w:sz w:val="20"/>
                <w:szCs w:val="20"/>
                <w:color w:val="auto"/>
              </w:rPr>
              <w:t>[****]</w:t>
            </w:r>
          </w:p>
        </w:tc>
      </w:tr>
      <w:tr>
        <w:trPr>
          <w:trHeight w:val="50"/>
        </w:trPr>
        <w:tc>
          <w:tcPr>
            <w:tcW w:w="256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r>
      <w:tr>
        <w:trPr>
          <w:trHeight w:val="268"/>
        </w:trPr>
        <w:tc>
          <w:tcPr>
            <w:tcW w:w="2560" w:type="dxa"/>
            <w:vAlign w:val="bottom"/>
            <w:tcBorders>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Pr>
          <w:p>
            <w:pPr>
              <w:jc w:val="right"/>
              <w:ind w:right="1181"/>
              <w:spacing w:after="0"/>
              <w:rPr>
                <w:sz w:val="20"/>
                <w:szCs w:val="20"/>
                <w:color w:val="auto"/>
              </w:rPr>
            </w:pPr>
            <w:r>
              <w:rPr>
                <w:rFonts w:ascii="Arial" w:cs="Arial" w:eastAsia="Arial" w:hAnsi="Arial"/>
                <w:sz w:val="20"/>
                <w:szCs w:val="20"/>
                <w:color w:val="auto"/>
              </w:rPr>
              <w:t>[****]</w:t>
            </w:r>
          </w:p>
        </w:tc>
      </w:tr>
      <w:tr>
        <w:trPr>
          <w:trHeight w:val="50"/>
        </w:trPr>
        <w:tc>
          <w:tcPr>
            <w:tcW w:w="256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r>
      <w:tr>
        <w:trPr>
          <w:trHeight w:val="268"/>
        </w:trPr>
        <w:tc>
          <w:tcPr>
            <w:tcW w:w="2560" w:type="dxa"/>
            <w:vAlign w:val="bottom"/>
            <w:tcBorders>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Pr>
          <w:p>
            <w:pPr>
              <w:jc w:val="right"/>
              <w:ind w:right="1181"/>
              <w:spacing w:after="0"/>
              <w:rPr>
                <w:sz w:val="20"/>
                <w:szCs w:val="20"/>
                <w:color w:val="auto"/>
              </w:rPr>
            </w:pPr>
            <w:r>
              <w:rPr>
                <w:rFonts w:ascii="Arial" w:cs="Arial" w:eastAsia="Arial" w:hAnsi="Arial"/>
                <w:sz w:val="20"/>
                <w:szCs w:val="20"/>
                <w:color w:val="auto"/>
              </w:rPr>
              <w:t>[****]</w:t>
            </w:r>
          </w:p>
        </w:tc>
      </w:tr>
      <w:tr>
        <w:trPr>
          <w:trHeight w:val="50"/>
        </w:trPr>
        <w:tc>
          <w:tcPr>
            <w:tcW w:w="256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r>
      <w:tr>
        <w:trPr>
          <w:trHeight w:val="268"/>
        </w:trPr>
        <w:tc>
          <w:tcPr>
            <w:tcW w:w="2560" w:type="dxa"/>
            <w:vAlign w:val="bottom"/>
            <w:tcBorders>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Pr>
          <w:p>
            <w:pPr>
              <w:jc w:val="right"/>
              <w:ind w:right="1181"/>
              <w:spacing w:after="0"/>
              <w:rPr>
                <w:sz w:val="20"/>
                <w:szCs w:val="20"/>
                <w:color w:val="auto"/>
              </w:rPr>
            </w:pPr>
            <w:r>
              <w:rPr>
                <w:rFonts w:ascii="Arial" w:cs="Arial" w:eastAsia="Arial" w:hAnsi="Arial"/>
                <w:sz w:val="20"/>
                <w:szCs w:val="20"/>
                <w:color w:val="auto"/>
              </w:rPr>
              <w:t>[****]</w:t>
            </w:r>
          </w:p>
        </w:tc>
      </w:tr>
      <w:tr>
        <w:trPr>
          <w:trHeight w:val="50"/>
        </w:trPr>
        <w:tc>
          <w:tcPr>
            <w:tcW w:w="256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r>
      <w:tr>
        <w:trPr>
          <w:trHeight w:val="268"/>
        </w:trPr>
        <w:tc>
          <w:tcPr>
            <w:tcW w:w="2560" w:type="dxa"/>
            <w:vAlign w:val="bottom"/>
            <w:tcBorders>
              <w:right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[****]-2021</w:t>
            </w:r>
          </w:p>
        </w:tc>
        <w:tc>
          <w:tcPr>
            <w:tcW w:w="3040" w:type="dxa"/>
            <w:vAlign w:val="bottom"/>
            <w:tcBorders>
              <w:right w:val="single" w:sz="8" w:color="auto"/>
            </w:tcBorders>
          </w:tcPr>
          <w:p>
            <w:pPr>
              <w:jc w:val="right"/>
              <w:ind w:right="1161"/>
              <w:spacing w:after="0"/>
              <w:rPr>
                <w:sz w:val="20"/>
                <w:szCs w:val="20"/>
                <w:color w:val="auto"/>
              </w:rPr>
            </w:pPr>
            <w:r>
              <w:rPr>
                <w:rFonts w:ascii="Arial" w:cs="Arial" w:eastAsia="Arial" w:hAnsi="Arial"/>
                <w:sz w:val="20"/>
                <w:szCs w:val="20"/>
                <w:color w:val="auto"/>
              </w:rPr>
              <w:t>[****]</w:t>
            </w:r>
          </w:p>
        </w:tc>
        <w:tc>
          <w:tcPr>
            <w:tcW w:w="3060" w:type="dxa"/>
            <w:vAlign w:val="bottom"/>
          </w:tcPr>
          <w:p>
            <w:pPr>
              <w:jc w:val="right"/>
              <w:ind w:right="1181"/>
              <w:spacing w:after="0"/>
              <w:rPr>
                <w:sz w:val="20"/>
                <w:szCs w:val="20"/>
                <w:color w:val="auto"/>
              </w:rPr>
            </w:pPr>
            <w:r>
              <w:rPr>
                <w:rFonts w:ascii="Arial" w:cs="Arial" w:eastAsia="Arial" w:hAnsi="Arial"/>
                <w:sz w:val="20"/>
                <w:szCs w:val="20"/>
                <w:color w:val="auto"/>
              </w:rPr>
              <w:t>[****]</w:t>
            </w:r>
          </w:p>
        </w:tc>
      </w:tr>
      <w:tr>
        <w:trPr>
          <w:trHeight w:val="50"/>
        </w:trPr>
        <w:tc>
          <w:tcPr>
            <w:tcW w:w="2560" w:type="dxa"/>
            <w:vAlign w:val="bottom"/>
            <w:tcBorders>
              <w:bottom w:val="single" w:sz="8" w:color="auto"/>
              <w:right w:val="single" w:sz="8" w:color="auto"/>
            </w:tcBorders>
          </w:tcPr>
          <w:p>
            <w:pPr>
              <w:spacing w:after="0"/>
              <w:rPr>
                <w:sz w:val="4"/>
                <w:szCs w:val="4"/>
                <w:color w:val="auto"/>
              </w:rPr>
            </w:pPr>
          </w:p>
        </w:tc>
        <w:tc>
          <w:tcPr>
            <w:tcW w:w="260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78"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22"/>
          <w:szCs w:val="22"/>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SA-20</w:t>
      </w:r>
    </w:p>
    <w:p>
      <w:pPr>
        <w:jc w:val="center"/>
        <w:ind w:right="2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60"/>
          </w:cols>
          <w:pgMar w:left="320" w:top="1440" w:right="319" w:bottom="1440" w:gutter="0" w:footer="0" w:header="0"/>
        </w:sectPr>
      </w:pPr>
    </w:p>
    <w:bookmarkStart w:id="143" w:name="page144"/>
    <w:bookmarkEnd w:id="143"/>
    <w:p>
      <w:pPr>
        <w:ind w:left="384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t>The Boeing Company</w:t>
      </w:r>
    </w:p>
    <w:p>
      <w:pPr>
        <w:ind w:left="3840"/>
        <w:spacing w:after="0" w:line="216" w:lineRule="auto"/>
        <w:rPr>
          <w:sz w:val="20"/>
          <w:szCs w:val="20"/>
          <w:color w:val="auto"/>
        </w:rPr>
      </w:pPr>
      <w:r>
        <w:rPr>
          <w:rFonts w:ascii="Arial" w:cs="Arial" w:eastAsia="Arial" w:hAnsi="Arial"/>
          <w:sz w:val="13"/>
          <w:szCs w:val="13"/>
          <w:color w:val="808080"/>
        </w:rPr>
        <w:t>P.O. Box 3707</w:t>
      </w:r>
    </w:p>
    <w:p>
      <w:pPr>
        <w:ind w:left="384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6-1162-TRW-0674R5</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71"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Business Considerations</w:t>
      </w:r>
    </w:p>
    <w:p>
      <w:pPr>
        <w:spacing w:after="0" w:line="169" w:lineRule="exact"/>
        <w:rPr>
          <w:sz w:val="20"/>
          <w:szCs w:val="20"/>
          <w:color w:val="auto"/>
        </w:rPr>
      </w:pPr>
    </w:p>
    <w:p>
      <w:pPr>
        <w:ind w:left="1300" w:hanging="1295"/>
        <w:spacing w:after="0" w:line="250" w:lineRule="auto"/>
        <w:tabs>
          <w:tab w:leader="none" w:pos="1280" w:val="left"/>
        </w:tabs>
        <w:rPr>
          <w:sz w:val="20"/>
          <w:szCs w:val="20"/>
          <w:color w:val="auto"/>
        </w:rPr>
      </w:pPr>
      <w:r>
        <w:rPr>
          <w:rFonts w:ascii="Arial" w:cs="Arial" w:eastAsia="Arial" w:hAnsi="Arial"/>
          <w:sz w:val="22"/>
          <w:szCs w:val="22"/>
          <w:color w:val="auto"/>
        </w:rPr>
        <w:t>Reference:</w:t>
        <w:tab/>
        <w:t>Purchase Agreement No. 3219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787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229" w:lineRule="exact"/>
        <w:rPr>
          <w:sz w:val="20"/>
          <w:szCs w:val="20"/>
          <w:color w:val="auto"/>
        </w:rPr>
      </w:pPr>
    </w:p>
    <w:p>
      <w:pPr>
        <w:ind w:firstLine="263"/>
        <w:spacing w:after="0" w:line="237"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have the same meaning as in the Purchase Agreement.</w:t>
      </w:r>
    </w:p>
    <w:p>
      <w:pPr>
        <w:spacing w:after="0" w:line="153" w:lineRule="exact"/>
        <w:rPr>
          <w:sz w:val="20"/>
          <w:szCs w:val="20"/>
          <w:color w:val="auto"/>
        </w:rPr>
      </w:pPr>
    </w:p>
    <w:p>
      <w:pPr>
        <w:jc w:val="both"/>
        <w:ind w:left="660" w:right="10060" w:hanging="652"/>
        <w:spacing w:after="0" w:line="431" w:lineRule="auto"/>
        <w:tabs>
          <w:tab w:leader="none" w:pos="660"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w:t>
      </w:r>
    </w:p>
    <w:p>
      <w:pPr>
        <w:ind w:left="660"/>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19"/>
          <w:szCs w:val="19"/>
          <w:color w:val="auto"/>
        </w:rPr>
        <w:t>[****]</w:t>
      </w:r>
    </w:p>
    <w:p>
      <w:pPr>
        <w:ind w:left="660"/>
        <w:spacing w:after="0" w:line="237" w:lineRule="auto"/>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19"/>
          <w:szCs w:val="19"/>
          <w:color w:val="auto"/>
        </w:rPr>
        <w:t>[****]</w:t>
      </w:r>
    </w:p>
    <w:p>
      <w:pPr>
        <w:ind w:left="660"/>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19"/>
          <w:szCs w:val="19"/>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4" w:lineRule="exact"/>
        <w:rPr>
          <w:sz w:val="20"/>
          <w:szCs w:val="20"/>
          <w:color w:val="auto"/>
        </w:rPr>
      </w:pPr>
    </w:p>
    <w:p>
      <w:pPr>
        <w:jc w:val="both"/>
        <w:ind w:left="660" w:right="10080" w:hanging="652"/>
        <w:spacing w:after="0" w:line="474" w:lineRule="auto"/>
        <w:tabs>
          <w:tab w:leader="none" w:pos="66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auto"/>
        </w:rPr>
        <w:t>.</w:t>
      </w:r>
      <w:r>
        <w:rPr>
          <w:rFonts w:ascii="Arial" w:cs="Arial" w:eastAsia="Arial" w:hAnsi="Arial"/>
          <w:sz w:val="19"/>
          <w:szCs w:val="19"/>
          <w:u w:val="single" w:color="auto"/>
          <w:color w:val="auto"/>
        </w:rPr>
        <w:t xml:space="preserve"> </w:t>
      </w:r>
      <w:r>
        <w:rPr>
          <w:rFonts w:ascii="Arial" w:cs="Arial" w:eastAsia="Arial" w:hAnsi="Arial"/>
          <w:sz w:val="19"/>
          <w:szCs w:val="19"/>
          <w:color w:val="auto"/>
        </w:rPr>
        <w:t>[****]</w:t>
      </w:r>
    </w:p>
    <w:p>
      <w:pPr>
        <w:ind w:left="660" w:hanging="652"/>
        <w:spacing w:after="0"/>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t>
      </w:r>
    </w:p>
    <w:p>
      <w:pPr>
        <w:spacing w:after="0" w:line="184"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5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t>
      </w:r>
    </w:p>
    <w:p>
      <w:pPr>
        <w:ind w:left="660"/>
        <w:spacing w:after="0" w:line="237"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t>
      </w:r>
    </w:p>
    <w:p>
      <w:pPr>
        <w:ind w:left="66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w:t>
      </w:r>
    </w:p>
    <w:p>
      <w:pPr>
        <w:spacing w:after="0" w:line="17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u w:val="single" w:color="auto"/>
          <w:color w:val="auto"/>
        </w:rPr>
        <w:t>4a</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w:t>
      </w:r>
    </w:p>
    <w:p>
      <w:pPr>
        <w:spacing w:after="0" w:line="18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4a.1 [****] (as defined in Section 4a.2 herein) and each [****] (as defined in Section 4a.2 herein), [****]. The [****] in accordance with the provisions of the [****]. Such [****]. Such [****]. The [****] in addition to the [****] pursuant to Section of this Letter Agreement.</w:t>
      </w:r>
    </w:p>
    <w:p>
      <w:pPr>
        <w:sectPr>
          <w:pgSz w:w="11900" w:h="16838" w:orient="portrait"/>
          <w:cols w:equalWidth="0" w:num="1">
            <w:col w:w="11240"/>
          </w:cols>
          <w:pgMar w:left="320" w:top="2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P.A. No. 3219 SA-20 Business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6540"/>
        <w:spacing w:after="0"/>
        <w:rPr>
          <w:sz w:val="20"/>
          <w:szCs w:val="20"/>
          <w:color w:val="auto"/>
        </w:rPr>
      </w:pPr>
      <w:r>
        <w:rPr>
          <w:rFonts w:ascii="Arial" w:cs="Arial" w:eastAsia="Arial" w:hAnsi="Arial"/>
          <w:sz w:val="19"/>
          <w:szCs w:val="19"/>
          <w:color w:val="auto"/>
        </w:rPr>
        <w:t>L.A.6-1162-TRW-0674R5</w:t>
      </w:r>
    </w:p>
    <w:p>
      <w:pPr>
        <w:jc w:val="right"/>
        <w:ind w:right="6560"/>
        <w:spacing w:after="0"/>
        <w:rPr>
          <w:sz w:val="20"/>
          <w:szCs w:val="20"/>
          <w:color w:val="auto"/>
        </w:rPr>
      </w:pPr>
      <w:r>
        <w:rPr>
          <w:rFonts w:ascii="Arial" w:cs="Arial" w:eastAsia="Arial" w:hAnsi="Arial"/>
          <w:sz w:val="20"/>
          <w:szCs w:val="20"/>
          <w:color w:val="auto"/>
        </w:rPr>
        <w:t>Page 1</w:t>
      </w:r>
    </w:p>
    <w:p>
      <w:pPr>
        <w:spacing w:after="0" w:line="7" w:lineRule="exact"/>
        <w:rPr>
          <w:sz w:val="20"/>
          <w:szCs w:val="20"/>
          <w:color w:val="auto"/>
        </w:rPr>
      </w:pPr>
    </w:p>
    <w:p>
      <w:pPr>
        <w:sectPr>
          <w:pgSz w:w="11900" w:h="16838" w:orient="portrait"/>
          <w:cols w:equalWidth="0" w:num="2">
            <w:col w:w="2180" w:space="300"/>
            <w:col w:w="8760"/>
          </w:cols>
          <w:pgMar w:left="320" w:top="219" w:right="339" w:bottom="1440" w:gutter="0" w:footer="0" w:header="0"/>
          <w:type w:val="continuous"/>
        </w:sectPr>
      </w:pPr>
    </w:p>
    <w:p>
      <w:pPr>
        <w:jc w:val="center"/>
        <w:spacing w:after="0" w:line="236"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219" w:right="339" w:bottom="1440" w:gutter="0" w:footer="0" w:header="0"/>
          <w:type w:val="continuous"/>
        </w:sectPr>
      </w:pPr>
    </w:p>
    <w:bookmarkStart w:id="144" w:name="page145"/>
    <w:bookmarkEnd w:id="144"/>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ind w:left="220"/>
        <w:spacing w:after="0"/>
        <w:tabs>
          <w:tab w:leader="none" w:pos="780" w:val="left"/>
        </w:tabs>
        <w:rPr>
          <w:sz w:val="20"/>
          <w:szCs w:val="20"/>
          <w:color w:val="auto"/>
        </w:rPr>
      </w:pPr>
      <w:r>
        <w:rPr>
          <w:rFonts w:ascii="Arial" w:cs="Arial" w:eastAsia="Arial" w:hAnsi="Arial"/>
          <w:sz w:val="22"/>
          <w:szCs w:val="22"/>
          <w:color w:val="auto"/>
        </w:rPr>
        <w:t>4a.2</w:t>
      </w:r>
      <w:r>
        <w:rPr>
          <w:sz w:val="20"/>
          <w:szCs w:val="20"/>
          <w:color w:val="auto"/>
        </w:rPr>
        <w:tab/>
      </w:r>
      <w:r>
        <w:rPr>
          <w:rFonts w:ascii="Arial" w:cs="Arial" w:eastAsia="Arial" w:hAnsi="Arial"/>
          <w:sz w:val="19"/>
          <w:szCs w:val="19"/>
          <w:u w:val="single" w:color="auto"/>
          <w:color w:val="auto"/>
        </w:rPr>
        <w:t>Section 4a Definitions</w:t>
      </w:r>
      <w:r>
        <w:rPr>
          <w:rFonts w:ascii="Arial" w:cs="Arial" w:eastAsia="Arial" w:hAnsi="Arial"/>
          <w:sz w:val="19"/>
          <w:szCs w:val="19"/>
          <w:color w:val="auto"/>
        </w:rPr>
        <w:t>: For purposes of this Section 4a, the following definitions shall apply: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means each of the [****] at the effective date of this Letter Agreement 6-1162-TRW-0674R4.</w:t>
      </w:r>
    </w:p>
    <w:p>
      <w:pPr>
        <w:spacing w:after="0" w:line="174" w:lineRule="exact"/>
        <w:rPr>
          <w:sz w:val="20"/>
          <w:szCs w:val="20"/>
          <w:color w:val="auto"/>
        </w:rPr>
      </w:pPr>
    </w:p>
    <w:p>
      <w:pPr>
        <w:jc w:val="both"/>
        <w:ind w:left="660" w:right="10080" w:hanging="652"/>
        <w:spacing w:after="0" w:line="474" w:lineRule="auto"/>
        <w:tabs>
          <w:tab w:leader="none" w:pos="6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w:t>
      </w:r>
    </w:p>
    <w:p>
      <w:pPr>
        <w:ind w:left="660" w:hanging="652"/>
        <w:spacing w:after="0"/>
        <w:tabs>
          <w:tab w:leader="none" w:pos="660" w:val="left"/>
        </w:tabs>
        <w:numPr>
          <w:ilvl w:val="0"/>
          <w:numId w:val="94"/>
        </w:numPr>
        <w:rPr>
          <w:rFonts w:ascii="Arial" w:cs="Arial" w:eastAsia="Arial" w:hAnsi="Arial"/>
          <w:sz w:val="22"/>
          <w:szCs w:val="22"/>
          <w:color w:val="auto"/>
        </w:rPr>
      </w:pPr>
      <w:r>
        <w:rPr>
          <w:rFonts w:ascii="Arial" w:cs="Arial" w:eastAsia="Arial" w:hAnsi="Arial"/>
          <w:sz w:val="22"/>
          <w:szCs w:val="22"/>
          <w:b w:val="1"/>
          <w:bCs w:val="1"/>
          <w:u w:val="single" w:color="auto"/>
          <w:color w:val="auto"/>
        </w:rPr>
        <w:t>2018 787-9</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Aircraft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t>
      </w:r>
      <w:r>
        <w:rPr>
          <w:rFonts w:ascii="Arial" w:cs="Arial" w:eastAsia="Arial" w:hAnsi="Arial"/>
          <w:sz w:val="22"/>
          <w:szCs w:val="22"/>
          <w:b w:val="1"/>
          <w:bCs w:val="1"/>
          <w:color w:val="auto"/>
        </w:rPr>
        <w:t>.</w:t>
      </w:r>
    </w:p>
    <w:p>
      <w:pPr>
        <w:spacing w:after="0" w:line="21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In consideration of [****] pursuant to Letter Agreement 6-1162-TRW-0664R1, as such [****] is further described in Supplemental Agreement No. 11, Boeing [****] the 2018 787-9 [****] Aircraft [****] pursuant to the terms of this Section 6 for [****] at the time of execution of this Letter Agreement (</w:t>
      </w:r>
      <w:r>
        <w:rPr>
          <w:rFonts w:ascii="Arial" w:cs="Arial" w:eastAsia="Arial" w:hAnsi="Arial"/>
          <w:sz w:val="21"/>
          <w:szCs w:val="21"/>
          <w:b w:val="1"/>
          <w:bCs w:val="1"/>
          <w:i w:val="1"/>
          <w:iCs w:val="1"/>
          <w:color w:val="auto"/>
        </w:rPr>
        <w:t>2018 787-9</w:t>
      </w:r>
      <w:r>
        <w:rPr>
          <w:rFonts w:ascii="Arial" w:cs="Arial" w:eastAsia="Arial" w:hAnsi="Arial"/>
          <w:sz w:val="21"/>
          <w:szCs w:val="21"/>
          <w:color w:val="auto"/>
        </w:rPr>
        <w:t xml:space="preserve"> [****] </w:t>
      </w:r>
      <w:r>
        <w:rPr>
          <w:rFonts w:ascii="Arial" w:cs="Arial" w:eastAsia="Arial" w:hAnsi="Arial"/>
          <w:sz w:val="21"/>
          <w:szCs w:val="21"/>
          <w:b w:val="1"/>
          <w:bCs w:val="1"/>
          <w:i w:val="1"/>
          <w:iCs w:val="1"/>
          <w:color w:val="auto"/>
        </w:rPr>
        <w:t>Aircraft</w:t>
      </w:r>
      <w:r>
        <w:rPr>
          <w:rFonts w:ascii="Arial" w:cs="Arial" w:eastAsia="Arial" w:hAnsi="Arial"/>
          <w:sz w:val="21"/>
          <w:szCs w:val="21"/>
          <w:color w:val="auto"/>
        </w:rPr>
        <w:t>). Boeing will [****] at the time of delivery of each 787-9 [****] Aircraft a [****]. The [****] in accordance with the provisions of the [****] as such provisions have been applied to the [****]. Such [****] at the time of delivery of the applicable 2018 787-9 [****] Aircraft. The 2018 787-9 [****] Aircraft [****] in addition to the [****] pursuant to Section 4 of this Letter Agreement.</w:t>
      </w:r>
    </w:p>
    <w:p>
      <w:pPr>
        <w:spacing w:after="0" w:line="47"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22"/>
          <w:szCs w:val="22"/>
          <w:color w:val="auto"/>
        </w:rPr>
      </w:pPr>
      <w:r>
        <w:rPr>
          <w:rFonts w:ascii="Arial" w:cs="Arial" w:eastAsia="Arial" w:hAnsi="Arial"/>
          <w:sz w:val="22"/>
          <w:szCs w:val="22"/>
          <w:b w:val="1"/>
          <w:bCs w:val="1"/>
          <w:u w:val="single" w:color="auto"/>
          <w:color w:val="auto"/>
        </w:rPr>
        <w:t>2018 787-9</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Aircraft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t>
      </w:r>
      <w:r>
        <w:rPr>
          <w:rFonts w:ascii="Arial" w:cs="Arial" w:eastAsia="Arial" w:hAnsi="Arial"/>
          <w:sz w:val="22"/>
          <w:szCs w:val="22"/>
          <w:b w:val="1"/>
          <w:bCs w:val="1"/>
          <w:color w:val="auto"/>
        </w:rPr>
        <w:t>.</w:t>
      </w:r>
    </w:p>
    <w:p>
      <w:pPr>
        <w:spacing w:after="0" w:line="319"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7.1 In [****] of the [****] Aircraft, Boeing [****]. Each [****] Aircraft [****] in accordance with the provisions of [****]. Except as provided in Section 7.2, below, each [****] Aircraft [****]:</w:t>
      </w:r>
    </w:p>
    <w:p>
      <w:pPr>
        <w:spacing w:after="0" w:line="227" w:lineRule="exact"/>
        <w:rPr>
          <w:sz w:val="20"/>
          <w:szCs w:val="20"/>
          <w:color w:val="auto"/>
        </w:rPr>
      </w:pPr>
    </w:p>
    <w:tbl>
      <w:tblPr>
        <w:tblLayout w:type="fixed"/>
        <w:tblInd w:w="690" w:type="dxa"/>
        <w:tblCellMar>
          <w:top w:w="0" w:type="dxa"/>
          <w:left w:w="0" w:type="dxa"/>
          <w:bottom w:w="0" w:type="dxa"/>
          <w:right w:w="0" w:type="dxa"/>
        </w:tblCellMar>
      </w:tblPr>
      <w:tr>
        <w:trPr>
          <w:trHeight w:val="267"/>
        </w:trPr>
        <w:tc>
          <w:tcPr>
            <w:tcW w:w="4900" w:type="dxa"/>
            <w:vAlign w:val="bottom"/>
            <w:tcBorders>
              <w:top w:val="single" w:sz="8" w:color="auto"/>
              <w:left w:val="single" w:sz="8" w:color="auto"/>
              <w:bottom w:val="single" w:sz="8" w:color="auto"/>
              <w:right w:val="single" w:sz="8" w:color="auto"/>
            </w:tcBorders>
          </w:tcPr>
          <w:p>
            <w:pPr>
              <w:jc w:val="right"/>
              <w:ind w:right="3561"/>
              <w:spacing w:after="0"/>
              <w:rPr>
                <w:sz w:val="20"/>
                <w:szCs w:val="20"/>
                <w:color w:val="auto"/>
              </w:rPr>
            </w:pPr>
            <w:r>
              <w:rPr>
                <w:rFonts w:ascii="Arial" w:cs="Arial" w:eastAsia="Arial" w:hAnsi="Arial"/>
                <w:sz w:val="20"/>
                <w:szCs w:val="20"/>
                <w:color w:val="auto"/>
              </w:rPr>
              <w:t>[****]</w:t>
            </w:r>
          </w:p>
        </w:tc>
        <w:tc>
          <w:tcPr>
            <w:tcW w:w="3660" w:type="dxa"/>
            <w:vAlign w:val="bottom"/>
            <w:tcBorders>
              <w:top w:val="single" w:sz="8" w:color="auto"/>
              <w:bottom w:val="single" w:sz="8" w:color="auto"/>
              <w:right w:val="single" w:sz="8" w:color="auto"/>
            </w:tcBorders>
          </w:tcPr>
          <w:p>
            <w:pPr>
              <w:jc w:val="right"/>
              <w:ind w:right="1641"/>
              <w:spacing w:after="0"/>
              <w:rPr>
                <w:sz w:val="20"/>
                <w:szCs w:val="20"/>
                <w:color w:val="auto"/>
              </w:rPr>
            </w:pPr>
            <w:r>
              <w:rPr>
                <w:rFonts w:ascii="Arial" w:cs="Arial" w:eastAsia="Arial" w:hAnsi="Arial"/>
                <w:sz w:val="20"/>
                <w:szCs w:val="20"/>
                <w:color w:val="auto"/>
              </w:rPr>
              <w:t>[****]</w:t>
            </w:r>
          </w:p>
        </w:tc>
      </w:tr>
      <w:tr>
        <w:trPr>
          <w:trHeight w:val="250"/>
        </w:trPr>
        <w:tc>
          <w:tcPr>
            <w:tcW w:w="4900" w:type="dxa"/>
            <w:vAlign w:val="bottom"/>
            <w:tcBorders>
              <w:left w:val="single" w:sz="8" w:color="auto"/>
              <w:bottom w:val="single" w:sz="8" w:color="auto"/>
              <w:right w:val="single" w:sz="8" w:color="auto"/>
            </w:tcBorders>
          </w:tcPr>
          <w:p>
            <w:pPr>
              <w:jc w:val="right"/>
              <w:ind w:right="3561"/>
              <w:spacing w:after="0"/>
              <w:rPr>
                <w:sz w:val="20"/>
                <w:szCs w:val="20"/>
                <w:color w:val="auto"/>
              </w:rPr>
            </w:pPr>
            <w:r>
              <w:rPr>
                <w:rFonts w:ascii="Arial" w:cs="Arial" w:eastAsia="Arial" w:hAnsi="Arial"/>
                <w:sz w:val="20"/>
                <w:szCs w:val="20"/>
                <w:color w:val="auto"/>
              </w:rPr>
              <w:t>[****]</w:t>
            </w:r>
          </w:p>
        </w:tc>
        <w:tc>
          <w:tcPr>
            <w:tcW w:w="3660" w:type="dxa"/>
            <w:vAlign w:val="bottom"/>
            <w:tcBorders>
              <w:bottom w:val="single" w:sz="8" w:color="auto"/>
              <w:right w:val="single" w:sz="8" w:color="auto"/>
            </w:tcBorders>
          </w:tcPr>
          <w:p>
            <w:pPr>
              <w:jc w:val="right"/>
              <w:ind w:right="1641"/>
              <w:spacing w:after="0"/>
              <w:rPr>
                <w:sz w:val="20"/>
                <w:szCs w:val="20"/>
                <w:color w:val="auto"/>
              </w:rPr>
            </w:pPr>
            <w:r>
              <w:rPr>
                <w:rFonts w:ascii="Arial" w:cs="Arial" w:eastAsia="Arial" w:hAnsi="Arial"/>
                <w:sz w:val="20"/>
                <w:szCs w:val="20"/>
                <w:color w:val="auto"/>
              </w:rPr>
              <w:t>[****]</w:t>
            </w:r>
          </w:p>
        </w:tc>
      </w:tr>
      <w:tr>
        <w:trPr>
          <w:trHeight w:val="250"/>
        </w:trPr>
        <w:tc>
          <w:tcPr>
            <w:tcW w:w="4900" w:type="dxa"/>
            <w:vAlign w:val="bottom"/>
            <w:tcBorders>
              <w:left w:val="single" w:sz="8" w:color="auto"/>
              <w:bottom w:val="single" w:sz="8" w:color="auto"/>
              <w:right w:val="single" w:sz="8" w:color="auto"/>
            </w:tcBorders>
          </w:tcPr>
          <w:p>
            <w:pPr>
              <w:jc w:val="right"/>
              <w:ind w:right="3561"/>
              <w:spacing w:after="0"/>
              <w:rPr>
                <w:sz w:val="20"/>
                <w:szCs w:val="20"/>
                <w:color w:val="auto"/>
              </w:rPr>
            </w:pPr>
            <w:r>
              <w:rPr>
                <w:rFonts w:ascii="Arial" w:cs="Arial" w:eastAsia="Arial" w:hAnsi="Arial"/>
                <w:sz w:val="20"/>
                <w:szCs w:val="20"/>
                <w:color w:val="auto"/>
              </w:rPr>
              <w:t>[****]</w:t>
            </w:r>
          </w:p>
        </w:tc>
        <w:tc>
          <w:tcPr>
            <w:tcW w:w="3660" w:type="dxa"/>
            <w:vAlign w:val="bottom"/>
            <w:tcBorders>
              <w:bottom w:val="single" w:sz="8" w:color="auto"/>
              <w:right w:val="single" w:sz="8" w:color="auto"/>
            </w:tcBorders>
          </w:tcPr>
          <w:p>
            <w:pPr>
              <w:jc w:val="right"/>
              <w:ind w:right="1641"/>
              <w:spacing w:after="0"/>
              <w:rPr>
                <w:sz w:val="20"/>
                <w:szCs w:val="20"/>
                <w:color w:val="auto"/>
              </w:rPr>
            </w:pPr>
            <w:r>
              <w:rPr>
                <w:rFonts w:ascii="Arial" w:cs="Arial" w:eastAsia="Arial" w:hAnsi="Arial"/>
                <w:sz w:val="20"/>
                <w:szCs w:val="20"/>
                <w:color w:val="auto"/>
              </w:rPr>
              <w:t>[****]</w:t>
            </w:r>
          </w:p>
        </w:tc>
      </w:tr>
      <w:tr>
        <w:trPr>
          <w:trHeight w:val="250"/>
        </w:trPr>
        <w:tc>
          <w:tcPr>
            <w:tcW w:w="4900" w:type="dxa"/>
            <w:vAlign w:val="bottom"/>
            <w:tcBorders>
              <w:left w:val="single" w:sz="8" w:color="auto"/>
              <w:bottom w:val="single" w:sz="8" w:color="auto"/>
              <w:right w:val="single" w:sz="8" w:color="auto"/>
            </w:tcBorders>
          </w:tcPr>
          <w:p>
            <w:pPr>
              <w:jc w:val="right"/>
              <w:ind w:right="3561"/>
              <w:spacing w:after="0"/>
              <w:rPr>
                <w:sz w:val="20"/>
                <w:szCs w:val="20"/>
                <w:color w:val="auto"/>
              </w:rPr>
            </w:pPr>
            <w:r>
              <w:rPr>
                <w:rFonts w:ascii="Arial" w:cs="Arial" w:eastAsia="Arial" w:hAnsi="Arial"/>
                <w:sz w:val="20"/>
                <w:szCs w:val="20"/>
                <w:color w:val="auto"/>
              </w:rPr>
              <w:t>[****]</w:t>
            </w:r>
          </w:p>
        </w:tc>
        <w:tc>
          <w:tcPr>
            <w:tcW w:w="3660" w:type="dxa"/>
            <w:vAlign w:val="bottom"/>
            <w:tcBorders>
              <w:bottom w:val="single" w:sz="8" w:color="auto"/>
              <w:right w:val="single" w:sz="8" w:color="auto"/>
            </w:tcBorders>
          </w:tcPr>
          <w:p>
            <w:pPr>
              <w:jc w:val="right"/>
              <w:ind w:right="1641"/>
              <w:spacing w:after="0"/>
              <w:rPr>
                <w:sz w:val="20"/>
                <w:szCs w:val="20"/>
                <w:color w:val="auto"/>
              </w:rPr>
            </w:pPr>
            <w:r>
              <w:rPr>
                <w:rFonts w:ascii="Arial" w:cs="Arial" w:eastAsia="Arial" w:hAnsi="Arial"/>
                <w:sz w:val="20"/>
                <w:szCs w:val="20"/>
                <w:color w:val="auto"/>
              </w:rPr>
              <w:t>[****]</w:t>
            </w:r>
          </w:p>
        </w:tc>
      </w:tr>
    </w:tbl>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such [****] Aircraft [****] Aircraft.</w:t>
      </w:r>
    </w:p>
    <w:p>
      <w:pPr>
        <w:spacing w:after="0" w:line="20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If [****] the Purchase Agreement [****] (as defined in Section 7.3 below), the applicable [****]:</w:t>
      </w:r>
    </w:p>
    <w:p>
      <w:pPr>
        <w:spacing w:after="0" w:line="206"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w:t>
      </w:r>
    </w:p>
    <w:p>
      <w:pPr>
        <w:spacing w:after="0" w:line="206" w:lineRule="exact"/>
        <w:rPr>
          <w:rFonts w:ascii="Arial" w:cs="Arial" w:eastAsia="Arial" w:hAnsi="Arial"/>
          <w:sz w:val="22"/>
          <w:szCs w:val="22"/>
          <w:color w:val="auto"/>
        </w:rPr>
      </w:pPr>
    </w:p>
    <w:p>
      <w:pPr>
        <w:ind w:left="960" w:hanging="304"/>
        <w:spacing w:after="0"/>
        <w:tabs>
          <w:tab w:leader="none" w:pos="9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P.A. No. 3219 SA-20 Business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6540"/>
        <w:spacing w:after="0"/>
        <w:rPr>
          <w:sz w:val="20"/>
          <w:szCs w:val="20"/>
          <w:color w:val="auto"/>
        </w:rPr>
      </w:pPr>
      <w:r>
        <w:rPr>
          <w:rFonts w:ascii="Arial" w:cs="Arial" w:eastAsia="Arial" w:hAnsi="Arial"/>
          <w:sz w:val="19"/>
          <w:szCs w:val="19"/>
          <w:color w:val="auto"/>
        </w:rPr>
        <w:t>L.A.6-1162-TRW-0674R5</w:t>
      </w:r>
    </w:p>
    <w:p>
      <w:pPr>
        <w:jc w:val="right"/>
        <w:ind w:right="6560"/>
        <w:spacing w:after="0"/>
        <w:rPr>
          <w:sz w:val="20"/>
          <w:szCs w:val="20"/>
          <w:color w:val="auto"/>
        </w:rPr>
      </w:pPr>
      <w:r>
        <w:rPr>
          <w:rFonts w:ascii="Arial" w:cs="Arial" w:eastAsia="Arial" w:hAnsi="Arial"/>
          <w:sz w:val="20"/>
          <w:szCs w:val="20"/>
          <w:color w:val="auto"/>
        </w:rPr>
        <w:t>Page 2</w:t>
      </w:r>
    </w:p>
    <w:p>
      <w:pPr>
        <w:spacing w:after="0" w:line="7" w:lineRule="exact"/>
        <w:rPr>
          <w:sz w:val="20"/>
          <w:szCs w:val="20"/>
          <w:color w:val="auto"/>
        </w:rPr>
      </w:pPr>
    </w:p>
    <w:p>
      <w:pPr>
        <w:sectPr>
          <w:pgSz w:w="11900" w:h="16838" w:orient="portrait"/>
          <w:cols w:equalWidth="0" w:num="2">
            <w:col w:w="2180" w:space="300"/>
            <w:col w:w="8760"/>
          </w:cols>
          <w:pgMar w:left="320" w:top="1440" w:right="339" w:bottom="1440" w:gutter="0" w:footer="0" w:header="0"/>
          <w:type w:val="continuous"/>
        </w:sectPr>
      </w:pPr>
    </w:p>
    <w:p>
      <w:pPr>
        <w:jc w:val="center"/>
        <w:spacing w:after="0" w:line="223"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bookmarkStart w:id="145" w:name="page146"/>
    <w:bookmarkEnd w:id="145"/>
    <w:p>
      <w:pPr>
        <w:jc w:val="both"/>
        <w:ind w:firstLine="648"/>
        <w:spacing w:after="0" w:line="212"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t xml:space="preserve">7.3 For purposes of Section 7.2, [****] means any provision in the Aircraft General Terms Agreement entered into by and between Boeing and Customer dated October 31, 1997 (as amended by the Purchase Agreement, </w:t>
      </w:r>
      <w:r>
        <w:rPr>
          <w:rFonts w:ascii="Arial" w:cs="Arial" w:eastAsia="Arial" w:hAnsi="Arial"/>
          <w:sz w:val="22"/>
          <w:szCs w:val="22"/>
          <w:b w:val="1"/>
          <w:bCs w:val="1"/>
          <w:i w:val="1"/>
          <w:iCs w:val="1"/>
          <w:color w:val="auto"/>
        </w:rPr>
        <w:t>AGTA</w:t>
      </w:r>
      <w:r>
        <w:rPr>
          <w:rFonts w:ascii="Arial" w:cs="Arial" w:eastAsia="Arial" w:hAnsi="Arial"/>
          <w:sz w:val="22"/>
          <w:szCs w:val="22"/>
          <w:color w:val="auto"/>
        </w:rPr>
        <w:t>), the Purchase Agreement or any Letter Agreement or Supplemental Agreement to the Purchase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 Aircraft, including but not limited to, the following: Sections 7.4 or 7.5 of the AGTA, Section 1.13 of the Letter Agreement No. 6-1162-TRW-0670R1 entitled “</w:t>
      </w:r>
      <w:r>
        <w:rPr>
          <w:rFonts w:ascii="Arial" w:cs="Arial" w:eastAsia="Arial" w:hAnsi="Arial"/>
          <w:sz w:val="22"/>
          <w:szCs w:val="22"/>
          <w:u w:val="single" w:color="auto"/>
          <w:color w:val="auto"/>
        </w:rPr>
        <w:t>Miscellaneous Commitments for Model 787 Aircraft</w:t>
      </w:r>
      <w:r>
        <w:rPr>
          <w:rFonts w:ascii="Arial" w:cs="Arial" w:eastAsia="Arial" w:hAnsi="Arial"/>
          <w:sz w:val="22"/>
          <w:szCs w:val="22"/>
          <w:color w:val="auto"/>
        </w:rPr>
        <w:t>”, or Section 9.2 and 9.3 of Supplemental Agreement No. 11 entered into by and between Boeing and Customer dated as of the date hereof.</w:t>
      </w:r>
    </w:p>
    <w:p>
      <w:pPr>
        <w:spacing w:after="0" w:line="19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7.4 Notwithstanding anything to the contrary in this Section 7, once a [****] Aircraft [****] in accordance with this Letter Agreement, [****] as provided in Section 7.1 of this Letter Agreement and [****] in no event will Customer [****] Aircraft [****] by Boeing or is required by this Letter Agreement to be issued to Customer.</w:t>
      </w:r>
    </w:p>
    <w:p>
      <w:pPr>
        <w:spacing w:after="0" w:line="159"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In consideration of [****] pursuant to Letter Agreement 6-1162-TRW-0664R2 as further described in Supplemental Agreement No. 11, at the time of execution of this Letter Agreement, Boeing will [****].</w:t>
      </w:r>
    </w:p>
    <w:p>
      <w:pPr>
        <w:spacing w:after="0" w:line="395"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22"/>
          <w:szCs w:val="22"/>
          <w:color w:val="auto"/>
        </w:rPr>
      </w:pPr>
      <w:r>
        <w:rPr>
          <w:rFonts w:ascii="Arial" w:cs="Arial" w:eastAsia="Arial" w:hAnsi="Arial"/>
          <w:sz w:val="22"/>
          <w:szCs w:val="22"/>
          <w:b w:val="1"/>
          <w:bCs w:val="1"/>
          <w:u w:val="single" w:color="auto"/>
          <w:color w:val="auto"/>
        </w:rPr>
        <w:t>787</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1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In consideration of Customer’s [****] pursuant to Letter Agreement 6-1162-TRW-0664R2 as further described in Supplemental Agreement No. 11, Boeing will [****] the following:</w:t>
      </w:r>
    </w:p>
    <w:p>
      <w:pPr>
        <w:spacing w:after="0" w:line="18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color w:val="auto"/>
        </w:rPr>
        <w:t>At time of execution of this Letter Agreement, [****] by Customer. This [****]. [****].</w:t>
      </w:r>
    </w:p>
    <w:p>
      <w:pPr>
        <w:spacing w:after="0" w:line="19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 xml:space="preserve">9.2 At the time of execution of this Letter Agreement, Boeing will [****] Aircraft ([****]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 [****]. The [****]. At the delivery of each [****] Aircraft, Boeing [****]. The [****] of the applicable Aircraft in accordance with the provisions of the [****] as such provisions have been applied to the [****]. Such [****].</w:t>
      </w:r>
    </w:p>
    <w:p>
      <w:pPr>
        <w:spacing w:after="0" w:line="154" w:lineRule="exact"/>
        <w:rPr>
          <w:sz w:val="20"/>
          <w:szCs w:val="20"/>
          <w:color w:val="auto"/>
        </w:rPr>
      </w:pPr>
    </w:p>
    <w:p>
      <w:pPr>
        <w:jc w:val="both"/>
        <w:ind w:left="660" w:right="10080" w:hanging="652"/>
        <w:spacing w:after="0" w:line="423" w:lineRule="auto"/>
        <w:tabs>
          <w:tab w:leader="none" w:pos="6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P.A. No. 3219 SA-20 Business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6540"/>
        <w:spacing w:after="0"/>
        <w:rPr>
          <w:sz w:val="20"/>
          <w:szCs w:val="20"/>
          <w:color w:val="auto"/>
        </w:rPr>
      </w:pPr>
      <w:r>
        <w:rPr>
          <w:rFonts w:ascii="Arial" w:cs="Arial" w:eastAsia="Arial" w:hAnsi="Arial"/>
          <w:sz w:val="19"/>
          <w:szCs w:val="19"/>
          <w:color w:val="auto"/>
        </w:rPr>
        <w:t>L.A.6-1162-TRW-0674R5</w:t>
      </w:r>
    </w:p>
    <w:p>
      <w:pPr>
        <w:jc w:val="right"/>
        <w:ind w:right="6560"/>
        <w:spacing w:after="0"/>
        <w:rPr>
          <w:sz w:val="20"/>
          <w:szCs w:val="20"/>
          <w:color w:val="auto"/>
        </w:rPr>
      </w:pPr>
      <w:r>
        <w:rPr>
          <w:rFonts w:ascii="Arial" w:cs="Arial" w:eastAsia="Arial" w:hAnsi="Arial"/>
          <w:sz w:val="20"/>
          <w:szCs w:val="20"/>
          <w:color w:val="auto"/>
        </w:rPr>
        <w:t>Page 3</w:t>
      </w:r>
    </w:p>
    <w:p>
      <w:pPr>
        <w:spacing w:after="0" w:line="7" w:lineRule="exact"/>
        <w:rPr>
          <w:sz w:val="20"/>
          <w:szCs w:val="20"/>
          <w:color w:val="auto"/>
        </w:rPr>
      </w:pPr>
    </w:p>
    <w:p>
      <w:pPr>
        <w:sectPr>
          <w:pgSz w:w="11900" w:h="16838" w:orient="portrait"/>
          <w:cols w:equalWidth="0" w:num="2">
            <w:col w:w="2180" w:space="300"/>
            <w:col w:w="8760"/>
          </w:cols>
          <w:pgMar w:left="320" w:top="1399" w:right="339" w:bottom="1440" w:gutter="0" w:footer="0" w:header="0"/>
          <w:type w:val="continuous"/>
        </w:sectPr>
      </w:pPr>
    </w:p>
    <w:p>
      <w:pPr>
        <w:jc w:val="center"/>
        <w:spacing w:after="0" w:line="236"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399" w:right="339" w:bottom="1440" w:gutter="0" w:footer="0" w:header="0"/>
          <w:type w:val="continuous"/>
        </w:sectPr>
      </w:pPr>
    </w:p>
    <w:bookmarkStart w:id="146" w:name="page147"/>
    <w:bookmarkEnd w:id="146"/>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ind w:left="640" w:hanging="632"/>
        <w:spacing w:after="0"/>
        <w:tabs>
          <w:tab w:leader="none" w:pos="640" w:val="left"/>
        </w:tabs>
        <w:numPr>
          <w:ilvl w:val="0"/>
          <w:numId w:val="100"/>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Treatment</w:t>
      </w:r>
      <w:r>
        <w:rPr>
          <w:rFonts w:ascii="Arial" w:cs="Arial" w:eastAsia="Arial" w:hAnsi="Arial"/>
          <w:sz w:val="22"/>
          <w:szCs w:val="22"/>
          <w:b w:val="1"/>
          <w:bCs w:val="1"/>
          <w:color w:val="auto"/>
        </w:rPr>
        <w:t>.</w:t>
      </w:r>
    </w:p>
    <w:p>
      <w:pPr>
        <w:spacing w:after="0" w:line="184"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Customer and Boeing understand that certain commercial and financial information contained in this Letter Agreement are considered by Boeing and Customer as confidential. Customer and Boeing agree that each will treat this Letter Agreement and the information contained herein as confidential and will not, without the prior written consent of the other, disclose this Letter Agreement or any information contained herein to any other person or entity, except as provided in this Letter Agreement and or the Purchase Agreement. Customer and Boeing will limit the disclosure of its contents to employees of Customer or Boeing, as applicable, with a need to know the contents for purposes of helping the applicable party perform its obligations under the Purchase Agreement and who understand they are not to disclose its contents to any other person or entity without the prior written consent of the other party. Subject to the terms and conditions of Letter Agreement 6-1162-TRW-0673R1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 either party may disclose the information contained herein without the consent of the other party when and to the extent required by any law applicable to such party or by a Governmental Authority.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P.A. No. 3219 SA-20 Business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6540"/>
        <w:spacing w:after="0"/>
        <w:rPr>
          <w:sz w:val="20"/>
          <w:szCs w:val="20"/>
          <w:color w:val="auto"/>
        </w:rPr>
      </w:pPr>
      <w:r>
        <w:rPr>
          <w:rFonts w:ascii="Arial" w:cs="Arial" w:eastAsia="Arial" w:hAnsi="Arial"/>
          <w:sz w:val="19"/>
          <w:szCs w:val="19"/>
          <w:color w:val="auto"/>
        </w:rPr>
        <w:t>L.A.6-1162-TRW-0674R5</w:t>
      </w:r>
    </w:p>
    <w:p>
      <w:pPr>
        <w:jc w:val="right"/>
        <w:ind w:right="6560"/>
        <w:spacing w:after="0"/>
        <w:rPr>
          <w:sz w:val="20"/>
          <w:szCs w:val="20"/>
          <w:color w:val="auto"/>
        </w:rPr>
      </w:pPr>
      <w:r>
        <w:rPr>
          <w:rFonts w:ascii="Arial" w:cs="Arial" w:eastAsia="Arial" w:hAnsi="Arial"/>
          <w:sz w:val="20"/>
          <w:szCs w:val="20"/>
          <w:color w:val="auto"/>
        </w:rPr>
        <w:t>Page 4</w:t>
      </w:r>
    </w:p>
    <w:p>
      <w:pPr>
        <w:spacing w:after="0" w:line="7" w:lineRule="exact"/>
        <w:rPr>
          <w:sz w:val="20"/>
          <w:szCs w:val="20"/>
          <w:color w:val="auto"/>
        </w:rPr>
      </w:pPr>
    </w:p>
    <w:p>
      <w:pPr>
        <w:sectPr>
          <w:pgSz w:w="11900" w:h="16838" w:orient="portrait"/>
          <w:cols w:equalWidth="0" w:num="2">
            <w:col w:w="2180" w:space="300"/>
            <w:col w:w="8760"/>
          </w:cols>
          <w:pgMar w:left="320" w:top="1440" w:right="339" w:bottom="1440" w:gutter="0" w:footer="0" w:header="0"/>
          <w:type w:val="continuous"/>
        </w:sectPr>
      </w:pPr>
    </w:p>
    <w:p>
      <w:pPr>
        <w:jc w:val="center"/>
        <w:spacing w:after="0" w:line="236"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BOEING COMPANY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The Boeing Company</w:t>
      </w: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-17145</wp:posOffset>
            </wp:positionV>
            <wp:extent cx="18218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21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ACCEPTED AND AGREED TO this</w:t>
      </w:r>
    </w:p>
    <w:p>
      <w:pPr>
        <w:spacing w:after="0" w:line="21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Date:</w:t>
        <w:tab/>
        <w:t>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-17145</wp:posOffset>
            </wp:positionV>
            <wp:extent cx="1341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American Airlines, Inc.</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Its:</w:t>
        <w:tab/>
        <w:t>SVP,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-17145</wp:posOffset>
            </wp:positionV>
            <wp:extent cx="14560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P.A. No. 3219 SA-20 Business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5439"/>
        <w:spacing w:after="0"/>
        <w:rPr>
          <w:sz w:val="20"/>
          <w:szCs w:val="20"/>
          <w:color w:val="auto"/>
        </w:rPr>
      </w:pPr>
      <w:r>
        <w:rPr>
          <w:rFonts w:ascii="Arial" w:cs="Arial" w:eastAsia="Arial" w:hAnsi="Arial"/>
          <w:sz w:val="19"/>
          <w:szCs w:val="19"/>
          <w:color w:val="auto"/>
        </w:rPr>
        <w:t>L.A.6-1162-TRW-0674R5</w:t>
      </w:r>
    </w:p>
    <w:p>
      <w:pPr>
        <w:jc w:val="right"/>
        <w:ind w:right="5459"/>
        <w:spacing w:after="0"/>
        <w:rPr>
          <w:sz w:val="20"/>
          <w:szCs w:val="20"/>
          <w:color w:val="auto"/>
        </w:rPr>
      </w:pPr>
      <w:r>
        <w:rPr>
          <w:rFonts w:ascii="Arial" w:cs="Arial" w:eastAsia="Arial" w:hAnsi="Arial"/>
          <w:sz w:val="20"/>
          <w:szCs w:val="20"/>
          <w:color w:val="auto"/>
        </w:rPr>
        <w:t>Page 5</w:t>
      </w:r>
    </w:p>
    <w:p>
      <w:pPr>
        <w:spacing w:after="0" w:line="7" w:lineRule="exact"/>
        <w:rPr>
          <w:sz w:val="20"/>
          <w:szCs w:val="20"/>
          <w:color w:val="auto"/>
        </w:rPr>
      </w:pPr>
    </w:p>
    <w:p>
      <w:pPr>
        <w:sectPr>
          <w:pgSz w:w="11900" w:h="16838" w:orient="portrait"/>
          <w:cols w:equalWidth="0" w:num="2">
            <w:col w:w="2180" w:space="300"/>
            <w:col w:w="7659"/>
          </w:cols>
          <w:pgMar w:left="320" w:top="1440" w:right="1440" w:bottom="1440" w:gutter="0" w:footer="0" w:header="0"/>
          <w:type w:val="continuous"/>
        </w:sectPr>
      </w:pPr>
    </w:p>
    <w:p>
      <w:pPr>
        <w:ind w:left="4400"/>
        <w:spacing w:after="0" w:line="236" w:lineRule="auto"/>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48" w:name="page149"/>
    <w:bookmarkEnd w:id="148"/>
    <w:p>
      <w:pPr>
        <w:jc w:val="right"/>
        <w:spacing w:after="0"/>
        <w:rPr>
          <w:sz w:val="20"/>
          <w:szCs w:val="20"/>
          <w:color w:val="auto"/>
        </w:rPr>
      </w:pPr>
      <w:r>
        <w:rPr>
          <w:rFonts w:ascii="Arial" w:cs="Arial" w:eastAsia="Arial" w:hAnsi="Arial"/>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 FOR EXECUTIVES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This Severance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by and among Robert D. Isom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American Airlines Group, Inc., a Delaware corporation (“</w:t>
      </w:r>
      <w:r>
        <w:rPr>
          <w:rFonts w:ascii="Arial" w:cs="Arial" w:eastAsia="Arial" w:hAnsi="Arial"/>
          <w:sz w:val="21"/>
          <w:szCs w:val="21"/>
          <w:b w:val="1"/>
          <w:bCs w:val="1"/>
          <w:i w:val="1"/>
          <w:iCs w:val="1"/>
          <w:color w:val="auto"/>
        </w:rPr>
        <w:t>Group</w:t>
      </w:r>
      <w:r>
        <w:rPr>
          <w:rFonts w:ascii="Arial" w:cs="Arial" w:eastAsia="Arial" w:hAnsi="Arial"/>
          <w:sz w:val="21"/>
          <w:szCs w:val="21"/>
          <w:color w:val="auto"/>
        </w:rPr>
        <w:t>”), and American Airlines, Inc., a Delaware corporation and a wholly-owned subsidiary of Group (“</w:t>
      </w:r>
      <w:r>
        <w:rPr>
          <w:rFonts w:ascii="Arial" w:cs="Arial" w:eastAsia="Arial" w:hAnsi="Arial"/>
          <w:sz w:val="21"/>
          <w:szCs w:val="21"/>
          <w:b w:val="1"/>
          <w:bCs w:val="1"/>
          <w:i w:val="1"/>
          <w:iCs w:val="1"/>
          <w:color w:val="auto"/>
        </w:rPr>
        <w:t>American</w:t>
      </w:r>
      <w:r>
        <w:rPr>
          <w:rFonts w:ascii="Arial" w:cs="Arial" w:eastAsia="Arial" w:hAnsi="Arial"/>
          <w:sz w:val="21"/>
          <w:szCs w:val="21"/>
          <w:color w:val="auto"/>
        </w:rPr>
        <w:t>” and, together with Group,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effective as of the latest date set forth by the signatures of the parties hereto below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166" w:lineRule="exact"/>
        <w:rPr>
          <w:sz w:val="20"/>
          <w:szCs w:val="20"/>
          <w:color w:val="auto"/>
        </w:rPr>
      </w:pPr>
    </w:p>
    <w:p>
      <w:pPr>
        <w:jc w:val="both"/>
        <w:ind w:firstLine="656"/>
        <w:spacing w:after="0"/>
        <w:tabs>
          <w:tab w:leader="none" w:pos="129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Company believes that it is imperative to provide Executive with severance benefits upon certain terminations of Executive’s service to the Company that enhance Executive’s financial security and provide incentive and encouragement to Executive to remain with the Company.</w:t>
      </w:r>
    </w:p>
    <w:p>
      <w:pPr>
        <w:spacing w:after="0" w:line="145" w:lineRule="exact"/>
        <w:rPr>
          <w:rFonts w:ascii="Arial" w:cs="Arial" w:eastAsia="Arial" w:hAnsi="Arial"/>
          <w:sz w:val="22"/>
          <w:szCs w:val="22"/>
          <w:color w:val="auto"/>
        </w:rPr>
      </w:pPr>
    </w:p>
    <w:p>
      <w:pPr>
        <w:ind w:left="1080" w:hanging="424"/>
        <w:spacing w:after="0"/>
        <w:tabs>
          <w:tab w:leader="none" w:pos="10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Unless otherwise defined herein, capitalized terms used in this Agreement are defined in Section 9 below.</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agree as follows:</w:t>
      </w:r>
    </w:p>
    <w:p>
      <w:pPr>
        <w:spacing w:after="0" w:line="152" w:lineRule="exact"/>
        <w:rPr>
          <w:sz w:val="20"/>
          <w:szCs w:val="20"/>
          <w:color w:val="auto"/>
        </w:rPr>
      </w:pPr>
    </w:p>
    <w:p>
      <w:pPr>
        <w:ind w:right="200" w:firstLine="8"/>
        <w:spacing w:after="0" w:line="263" w:lineRule="auto"/>
        <w:tabs>
          <w:tab w:leader="none" w:pos="64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shall become effective as of the Effective Date and terminate upon the date that all obligations of the parties hereto with respect to this Agreement have been satisfied.</w:t>
      </w:r>
    </w:p>
    <w:p>
      <w:pPr>
        <w:spacing w:after="0" w:line="107" w:lineRule="exact"/>
        <w:rPr>
          <w:rFonts w:ascii="Arial" w:cs="Arial" w:eastAsia="Arial" w:hAnsi="Arial"/>
          <w:sz w:val="22"/>
          <w:szCs w:val="22"/>
          <w:color w:val="auto"/>
        </w:rPr>
      </w:pPr>
    </w:p>
    <w:p>
      <w:pPr>
        <w:jc w:val="both"/>
        <w:ind w:firstLine="8"/>
        <w:spacing w:after="0" w:line="289" w:lineRule="auto"/>
        <w:tabs>
          <w:tab w:leader="none" w:pos="648"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 Further, any termination of or changes in the terms or conditions of Executive’s employment shall not affect the covenants set forth in the Restrictive Covenants Agreement (as defined below), which shall remain in full force and effect pursuant to their terms.</w:t>
      </w:r>
    </w:p>
    <w:p>
      <w:pPr>
        <w:spacing w:after="0" w:line="88" w:lineRule="exact"/>
        <w:rPr>
          <w:rFonts w:ascii="Arial" w:cs="Arial" w:eastAsia="Arial" w:hAnsi="Arial"/>
          <w:sz w:val="19"/>
          <w:szCs w:val="19"/>
          <w:color w:val="auto"/>
        </w:rPr>
      </w:pPr>
    </w:p>
    <w:p>
      <w:pPr>
        <w:jc w:val="both"/>
        <w:ind w:firstLine="8"/>
        <w:spacing w:after="0" w:line="285" w:lineRule="auto"/>
        <w:tabs>
          <w:tab w:leader="none" w:pos="648"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Covered Termination</w:t>
      </w:r>
      <w:r>
        <w:rPr>
          <w:rFonts w:ascii="Arial" w:cs="Arial" w:eastAsia="Arial" w:hAnsi="Arial"/>
          <w:sz w:val="19"/>
          <w:szCs w:val="19"/>
          <w:color w:val="auto"/>
        </w:rPr>
        <w:t xml:space="preserve">. If Executive experiences a Covered Termination, and delivers to the Company a general release of all claims against the Company and its affiliates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Release of Claims</w:t>
      </w:r>
      <w:r>
        <w:rPr>
          <w:rFonts w:ascii="Arial" w:cs="Arial" w:eastAsia="Arial" w:hAnsi="Arial"/>
          <w:sz w:val="19"/>
          <w:szCs w:val="19"/>
          <w:color w:val="auto"/>
        </w:rPr>
        <w:t>”) that becomes effective and irrevocable within sixty (60) days, or such shorter period of time specified by the Company, following such Covered Termination (the “</w:t>
      </w:r>
      <w:r>
        <w:rPr>
          <w:rFonts w:ascii="Arial" w:cs="Arial" w:eastAsia="Arial" w:hAnsi="Arial"/>
          <w:sz w:val="19"/>
          <w:szCs w:val="19"/>
          <w:b w:val="1"/>
          <w:bCs w:val="1"/>
          <w:i w:val="1"/>
          <w:iCs w:val="1"/>
          <w:color w:val="auto"/>
        </w:rPr>
        <w:t>Release Condition</w:t>
      </w:r>
      <w:r>
        <w:rPr>
          <w:rFonts w:ascii="Arial" w:cs="Arial" w:eastAsia="Arial" w:hAnsi="Arial"/>
          <w:sz w:val="19"/>
          <w:szCs w:val="19"/>
          <w:color w:val="auto"/>
        </w:rPr>
        <w:t>”), and continues to comply with the requirements set forth in Section 12, then in addition to any accrued but unpaid salary, bonus, benefits, vacation and expense reimbursement payable in accordance with applicable law, the Company shall provide Executive with the following:</w:t>
      </w:r>
    </w:p>
    <w:p>
      <w:pPr>
        <w:spacing w:after="0" w:line="103" w:lineRule="exact"/>
        <w:rPr>
          <w:rFonts w:ascii="Arial" w:cs="Arial" w:eastAsia="Arial" w:hAnsi="Arial"/>
          <w:sz w:val="19"/>
          <w:szCs w:val="19"/>
          <w:color w:val="auto"/>
        </w:rPr>
      </w:pPr>
    </w:p>
    <w:p>
      <w:pPr>
        <w:jc w:val="both"/>
        <w:ind w:firstLine="656"/>
        <w:spacing w:after="0" w:line="241" w:lineRule="auto"/>
        <w:tabs>
          <w:tab w:leader="none" w:pos="1293"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 Executive shall be entitled to receive a severance payment in an amount equal to the sum of (i) twenty-four (24) months of Executive’s base salary and (ii) two times Executive’s target annual bonus assuming achievement of performance goals at target, in each case, at the rate in effect immediately prior to the Termination Date (in each case, without giving effect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149" w:name="page150"/>
    <w:bookmarkEnd w:id="149"/>
    <w:p>
      <w:pPr>
        <w:spacing w:after="0" w:line="200" w:lineRule="exact"/>
        <w:rPr>
          <w:sz w:val="20"/>
          <w:szCs w:val="20"/>
          <w:color w:val="auto"/>
        </w:rPr>
      </w:pPr>
    </w:p>
    <w:p>
      <w:pPr>
        <w:spacing w:after="0" w:line="32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any reduction in base salary that gives rise to a Covered Termination for Good Reason), less applicable withholdings. This severance payment shall be made to Executive in substantially equal installments over the twenty-four (24) months immediately following the date of the Covered Termination in accordance with the Company’s normal payroll procedures with the first such installment to be made on the first payroll date following the date the Release of Claims becomes effective and irrevocable, provided, that if the Covered Termination occurs after November 1 of any year, the first such installment shall be made on the first payroll date of the subsequent year and, provided further, that, in each case, the first installment shall include any installment payments that would have been made had such installments commenced on the first payroll date after the Covered Termination.</w:t>
      </w:r>
    </w:p>
    <w:p>
      <w:pPr>
        <w:spacing w:after="0" w:line="106" w:lineRule="exact"/>
        <w:rPr>
          <w:sz w:val="20"/>
          <w:szCs w:val="20"/>
          <w:color w:val="auto"/>
        </w:rPr>
      </w:pPr>
    </w:p>
    <w:p>
      <w:pPr>
        <w:jc w:val="both"/>
        <w:ind w:firstLine="656"/>
        <w:spacing w:after="0" w:line="279" w:lineRule="auto"/>
        <w:tabs>
          <w:tab w:leader="none" w:pos="1291"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As additional severance, Executive shall be entitled to receive a payment in an amount equal to the product of (i) twenty-four (24) multiplied by (ii) the monthly premium for continued healthcare coverage pursuant to the provisions of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for Executive and Executive’s covered dependents based on Executive’s elected healthcare coverage and COBRA premium rates, in each case, in effect as of the Termination Date, payable in a lump sum, less applicable withholdings, no later than the first regular payroll date following the date the Release of Claims becomes effective and irrevocable. Executive acknowledges that Executive shall be solely responsible for all matters relating to any continuation of coverage pursuant to COBRA, including, without limitation, Executive’s election of such coverage and Executive’s timely payment of premiums.</w:t>
      </w:r>
    </w:p>
    <w:p>
      <w:pPr>
        <w:spacing w:after="0" w:line="114" w:lineRule="exact"/>
        <w:rPr>
          <w:rFonts w:ascii="Arial" w:cs="Arial" w:eastAsia="Arial" w:hAnsi="Arial"/>
          <w:sz w:val="19"/>
          <w:szCs w:val="19"/>
          <w:color w:val="auto"/>
        </w:rPr>
      </w:pPr>
    </w:p>
    <w:p>
      <w:pPr>
        <w:jc w:val="both"/>
        <w:ind w:firstLine="656"/>
        <w:spacing w:after="0" w:line="239" w:lineRule="auto"/>
        <w:tabs>
          <w:tab w:leader="none" w:pos="1293"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Each outstanding and unvested equity award, including, without limitation, each restricted stock unit award, held by Executive shall remain outstanding following the Termination Date and continue to vest in accordance with its original vesting schedule during the twenty-four (24) month period immediately following the Termination Date without regard to any continued service requirements but, for any performance-based award, subject to the attainment of the performance goals applicable to such award.</w:t>
      </w:r>
    </w:p>
    <w:p>
      <w:pPr>
        <w:spacing w:after="0" w:line="144" w:lineRule="exact"/>
        <w:rPr>
          <w:rFonts w:ascii="Arial" w:cs="Arial" w:eastAsia="Arial" w:hAnsi="Arial"/>
          <w:sz w:val="22"/>
          <w:szCs w:val="22"/>
          <w:color w:val="auto"/>
        </w:rPr>
      </w:pPr>
    </w:p>
    <w:p>
      <w:pPr>
        <w:jc w:val="both"/>
        <w:ind w:firstLine="656"/>
        <w:spacing w:after="0" w:line="282" w:lineRule="auto"/>
        <w:tabs>
          <w:tab w:leader="none" w:pos="1291"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Travel Privileges</w:t>
      </w:r>
      <w:r>
        <w:rPr>
          <w:rFonts w:ascii="Arial" w:cs="Arial" w:eastAsia="Arial" w:hAnsi="Arial"/>
          <w:sz w:val="19"/>
          <w:szCs w:val="19"/>
          <w:color w:val="auto"/>
        </w:rPr>
        <w:t>. Executive previously vested into lifetime travel privileges that include unlimited reserved travel in any class of service for Executive and Executive’s immediate family, including eligible dependent children, for personal purposes, access to Admirals Club travel lounges and 12 free round-trip passes, or 24 free one-way passes, each year for reserved travel for non-eligible family members and friends. Executive’s right to travel privileges shall be subject to all applicable taxes pursuant to the Company’s then existing tax policies, and the Company will not provide any tax gross-up payments to Executive for taxes payable on such travels. The amount of travel privileges used by Executive in one year will not affect the amount of travel privileges Executive is entitled to use in any other year. The right to travel privileges provided in this Agreement is not subject to liquidation, cash out, or exchange for any other taxable or nontaxable benefit.</w:t>
      </w:r>
    </w:p>
    <w:p>
      <w:pPr>
        <w:spacing w:after="0" w:line="92" w:lineRule="exact"/>
        <w:rPr>
          <w:rFonts w:ascii="Arial" w:cs="Arial" w:eastAsia="Arial" w:hAnsi="Arial"/>
          <w:sz w:val="19"/>
          <w:szCs w:val="19"/>
          <w:color w:val="auto"/>
        </w:rPr>
      </w:pPr>
    </w:p>
    <w:p>
      <w:pPr>
        <w:jc w:val="both"/>
        <w:ind w:firstLine="8"/>
        <w:spacing w:after="0" w:line="256" w:lineRule="auto"/>
        <w:tabs>
          <w:tab w:leader="none" w:pos="648"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Covered Termination During a Change in Control Period</w:t>
      </w:r>
      <w:r>
        <w:rPr>
          <w:rFonts w:ascii="Arial" w:cs="Arial" w:eastAsia="Arial" w:hAnsi="Arial"/>
          <w:sz w:val="21"/>
          <w:szCs w:val="21"/>
          <w:color w:val="auto"/>
        </w:rPr>
        <w:t>. If Executive experiences a Covered Termination at any time during the period commencing on a Change in Control and ending twenty-four (24) months following the Change in Control, and satisfies the Release Condition and continues to comply with the requirements set forth in Section 12, then in addition to the severance and other benefits Executive may be eligible for set forth in Section 3, each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p>
    <w:p>
      <w:pPr>
        <w:spacing w:after="0" w:line="32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unvested equity award including, without limitation, each restricted stock unit award, held by Executive shall automatically become vested and, if applicable, exercisable, and any forfeiture restrictions thereon shall immediately lapse, in each case, with respect to one hundred percent (100%) of the unvested shares underlying the equity award as of the Termination Date; provided that for any performance-based equity awards held by the Executive that vest based on the attainment of performance goals that remain unsatisfied as of immediately before the Termination Date, such performance goals shall be deemed achieved at the greater of target or the expected attainment level based on performance as of the Termination Date (as determined by the Board of Directors of the Company or its Compensation Committee).</w:t>
      </w:r>
    </w:p>
    <w:p>
      <w:pPr>
        <w:spacing w:after="0" w:line="106" w:lineRule="exact"/>
        <w:rPr>
          <w:sz w:val="20"/>
          <w:szCs w:val="20"/>
          <w:color w:val="auto"/>
        </w:rPr>
      </w:pPr>
    </w:p>
    <w:p>
      <w:pPr>
        <w:jc w:val="both"/>
        <w:ind w:firstLine="8"/>
        <w:spacing w:after="0" w:line="250" w:lineRule="auto"/>
        <w:tabs>
          <w:tab w:leader="none" w:pos="648"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Certain Reductions</w:t>
      </w:r>
      <w:r>
        <w:rPr>
          <w:rFonts w:ascii="Arial" w:cs="Arial" w:eastAsia="Arial" w:hAnsi="Arial"/>
          <w:sz w:val="21"/>
          <w:szCs w:val="21"/>
          <w:color w:val="auto"/>
        </w:rPr>
        <w:t>.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previously paid being recharacterized as payments pursuant to the Company’s statutory obligation.</w:t>
      </w:r>
    </w:p>
    <w:p>
      <w:pPr>
        <w:spacing w:after="0" w:line="125" w:lineRule="exact"/>
        <w:rPr>
          <w:rFonts w:ascii="Arial" w:cs="Arial" w:eastAsia="Arial" w:hAnsi="Arial"/>
          <w:sz w:val="21"/>
          <w:szCs w:val="21"/>
          <w:color w:val="auto"/>
        </w:rPr>
      </w:pPr>
    </w:p>
    <w:p>
      <w:pPr>
        <w:jc w:val="both"/>
        <w:ind w:firstLine="8"/>
        <w:spacing w:after="0" w:line="305" w:lineRule="auto"/>
        <w:tabs>
          <w:tab w:leader="none" w:pos="648"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Deemed Resignation</w:t>
      </w:r>
      <w:r>
        <w:rPr>
          <w:rFonts w:ascii="Arial" w:cs="Arial" w:eastAsia="Arial" w:hAnsi="Arial"/>
          <w:sz w:val="19"/>
          <w:szCs w:val="19"/>
          <w:color w:val="auto"/>
        </w:rPr>
        <w:t>. Upon termination of Executive’s employment for any reason, Executive shall be deemed to have resigned from any and all offices and directorships then held with the Company or any of its affiliates, and, at the Company’s request, Executive shall execute such documents as are necessary or desirable to effectuate such resignations.</w:t>
      </w:r>
    </w:p>
    <w:p>
      <w:pPr>
        <w:spacing w:after="0" w:line="71" w:lineRule="exact"/>
        <w:rPr>
          <w:rFonts w:ascii="Arial" w:cs="Arial" w:eastAsia="Arial" w:hAnsi="Arial"/>
          <w:sz w:val="19"/>
          <w:szCs w:val="19"/>
          <w:color w:val="auto"/>
        </w:rPr>
      </w:pPr>
    </w:p>
    <w:p>
      <w:pPr>
        <w:jc w:val="both"/>
        <w:ind w:firstLine="8"/>
        <w:spacing w:after="0" w:line="242" w:lineRule="auto"/>
        <w:tabs>
          <w:tab w:leader="none" w:pos="648"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Executive’s service with the Company is terminated by the Company or by Executive for any or no reason other than as a Covered Termination, then Executive shall not be entitled to any benefits hereunder other than accrued but unpaid salary, bonus, vacation and expense reimbursement in accordance with applicable law, retiree travel privileges in accordance with the Company’s travel policy, as amended from time to time, and to elect any continued healthcare coverage as may be required under COBRA or similar state law.</w:t>
      </w:r>
    </w:p>
    <w:p>
      <w:pPr>
        <w:spacing w:after="0" w:line="128" w:lineRule="exact"/>
        <w:rPr>
          <w:rFonts w:ascii="Arial" w:cs="Arial" w:eastAsia="Arial" w:hAnsi="Arial"/>
          <w:sz w:val="22"/>
          <w:szCs w:val="22"/>
          <w:color w:val="auto"/>
        </w:rPr>
      </w:pPr>
    </w:p>
    <w:p>
      <w:pPr>
        <w:jc w:val="both"/>
        <w:ind w:firstLine="8"/>
        <w:spacing w:after="0" w:line="251" w:lineRule="auto"/>
        <w:tabs>
          <w:tab w:leader="none" w:pos="648"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Limitation on Payments</w:t>
      </w:r>
      <w:r>
        <w:rPr>
          <w:rFonts w:ascii="Arial" w:cs="Arial" w:eastAsia="Arial" w:hAnsi="Arial"/>
          <w:sz w:val="21"/>
          <w:szCs w:val="21"/>
          <w:color w:val="auto"/>
        </w:rPr>
        <w:t>. Notwithstanding anything in this Agreement to the contrary, if any payment or distribution Executive would receive pursuant to this Agreement or otherwise (“</w:t>
      </w:r>
      <w:r>
        <w:rPr>
          <w:rFonts w:ascii="Arial" w:cs="Arial" w:eastAsia="Arial" w:hAnsi="Arial"/>
          <w:sz w:val="21"/>
          <w:szCs w:val="21"/>
          <w:b w:val="1"/>
          <w:bCs w:val="1"/>
          <w:i w:val="1"/>
          <w:iCs w:val="1"/>
          <w:color w:val="auto"/>
        </w:rPr>
        <w:t>Payment</w:t>
      </w:r>
      <w:r>
        <w:rPr>
          <w:rFonts w:ascii="Arial" w:cs="Arial" w:eastAsia="Arial" w:hAnsi="Arial"/>
          <w:sz w:val="21"/>
          <w:szCs w:val="21"/>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21"/>
          <w:szCs w:val="21"/>
          <w:b w:val="1"/>
          <w:bCs w:val="1"/>
          <w:i w:val="1"/>
          <w:iCs w:val="1"/>
          <w:color w:val="auto"/>
        </w:rPr>
        <w:t>Excise Tax</w:t>
      </w:r>
      <w:r>
        <w:rPr>
          <w:rFonts w:ascii="Arial" w:cs="Arial" w:eastAsia="Arial" w:hAnsi="Arial"/>
          <w:sz w:val="21"/>
          <w:szCs w:val="21"/>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of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328"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36"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shall have the following meanings:</w:t>
      </w:r>
    </w:p>
    <w:p>
      <w:pPr>
        <w:spacing w:after="0" w:line="152" w:lineRule="exact"/>
        <w:rPr>
          <w:rFonts w:ascii="Arial" w:cs="Arial" w:eastAsia="Arial" w:hAnsi="Arial"/>
          <w:sz w:val="22"/>
          <w:szCs w:val="22"/>
          <w:color w:val="auto"/>
        </w:rPr>
      </w:pPr>
    </w:p>
    <w:p>
      <w:pPr>
        <w:jc w:val="both"/>
        <w:ind w:firstLine="656"/>
        <w:spacing w:after="0" w:line="278" w:lineRule="auto"/>
        <w:tabs>
          <w:tab w:leader="none" w:pos="1293" w:val="left"/>
        </w:tabs>
        <w:numPr>
          <w:ilvl w:val="1"/>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means (a) Executive’s willful and continued failure to perform Executive’s duties (other than any such failure resulting from Executive’s incapacity due to physical or mental illness) after written notice of such failure has been given to Executive by the Company and Executive has had a reasonable period (but not more than fifteen (15) days) after receipt of such notice to correct such failure; (b) the unlawful or willful commission by Executive of any act that is dishonest and demonstrably injurious to the Company or any of its subsidiaries in any material respect; (c) the conviction of, or plea of guilty or </w:t>
      </w:r>
      <w:r>
        <w:rPr>
          <w:rFonts w:ascii="Arial" w:cs="Arial" w:eastAsia="Arial" w:hAnsi="Arial"/>
          <w:sz w:val="19"/>
          <w:szCs w:val="19"/>
          <w:i w:val="1"/>
          <w:iCs w:val="1"/>
          <w:color w:val="auto"/>
        </w:rPr>
        <w:t xml:space="preserve">nolo contendere </w:t>
      </w:r>
      <w:r>
        <w:rPr>
          <w:rFonts w:ascii="Arial" w:cs="Arial" w:eastAsia="Arial" w:hAnsi="Arial"/>
          <w:sz w:val="19"/>
          <w:szCs w:val="19"/>
          <w:color w:val="auto"/>
        </w:rPr>
        <w:t>to, a felony offense by Executive; (d) habitual drug or alcohol abuse that impairs Executive’s ability to perform</w:t>
      </w:r>
      <w:r>
        <w:rPr>
          <w:rFonts w:ascii="Arial" w:cs="Arial" w:eastAsia="Arial" w:hAnsi="Arial"/>
          <w:sz w:val="19"/>
          <w:szCs w:val="19"/>
          <w:i w:val="1"/>
          <w:iCs w:val="1"/>
          <w:color w:val="auto"/>
        </w:rPr>
        <w:t xml:space="preserve"> </w:t>
      </w:r>
      <w:r>
        <w:rPr>
          <w:rFonts w:ascii="Arial" w:cs="Arial" w:eastAsia="Arial" w:hAnsi="Arial"/>
          <w:sz w:val="19"/>
          <w:szCs w:val="19"/>
          <w:color w:val="auto"/>
        </w:rPr>
        <w:t>the essential duties of Executive’s position or the Executive’s possession or use of illegal drugs on the Company’s premises; (e) embezzlement, fraud or any other illegal act against the Company or any illegal act committed in connection with Executive’s performance of Executive’s duties; (f) any material breach by Executive of any material Company policy (other than inadvertent actions taken in good faith), including without limitation the Company’s code of conduct and those policies regarding ethics, unlawful harassment, workplace safety, or workplace discrimination; or (g) a material breach by Executive of any agreement between the Company and Executive, but only if such breach shall continue unremedied for more than fifteen (15) days after written notice thereof is given to Executive by the Company.</w:t>
      </w:r>
    </w:p>
    <w:p>
      <w:pPr>
        <w:spacing w:after="0" w:line="351" w:lineRule="exact"/>
        <w:rPr>
          <w:rFonts w:ascii="Arial" w:cs="Arial" w:eastAsia="Arial" w:hAnsi="Arial"/>
          <w:sz w:val="19"/>
          <w:szCs w:val="19"/>
          <w:color w:val="auto"/>
        </w:rPr>
      </w:pPr>
    </w:p>
    <w:p>
      <w:pPr>
        <w:ind w:left="1300" w:hanging="644"/>
        <w:spacing w:after="0"/>
        <w:tabs>
          <w:tab w:leader="none" w:pos="130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a “Change in Control” as defined in the Company’s 2023 Incentive Award Plan.</w:t>
      </w:r>
    </w:p>
    <w:p>
      <w:pPr>
        <w:spacing w:after="0" w:line="200" w:lineRule="exact"/>
        <w:rPr>
          <w:rFonts w:ascii="Arial" w:cs="Arial" w:eastAsia="Arial" w:hAnsi="Arial"/>
          <w:sz w:val="19"/>
          <w:szCs w:val="19"/>
          <w:color w:val="auto"/>
        </w:rPr>
      </w:pPr>
    </w:p>
    <w:p>
      <w:pPr>
        <w:jc w:val="both"/>
        <w:ind w:firstLine="656"/>
        <w:spacing w:after="0" w:line="297" w:lineRule="auto"/>
        <w:tabs>
          <w:tab w:leader="none" w:pos="1293" w:val="left"/>
        </w:tabs>
        <w:numPr>
          <w:ilvl w:val="1"/>
          <w:numId w:val="10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Termination</w:t>
      </w:r>
      <w:r>
        <w:rPr>
          <w:rFonts w:ascii="Arial" w:cs="Arial" w:eastAsia="Arial" w:hAnsi="Arial"/>
          <w:sz w:val="19"/>
          <w:szCs w:val="19"/>
          <w:color w:val="auto"/>
        </w:rPr>
        <w:t>” means the termination of Executive’s employment with the Company effected by the Company other than for Cause or Executive’s resignation of employment with the Company for Good Reason. For the avoidance of doubt, a Covered Termination shall not include Executive’s termination of employment due to death or disability.</w:t>
      </w:r>
    </w:p>
    <w:p>
      <w:pPr>
        <w:spacing w:after="0" w:line="93" w:lineRule="exact"/>
        <w:rPr>
          <w:rFonts w:ascii="Arial" w:cs="Arial" w:eastAsia="Arial" w:hAnsi="Arial"/>
          <w:sz w:val="19"/>
          <w:szCs w:val="19"/>
          <w:color w:val="auto"/>
        </w:rPr>
      </w:pPr>
    </w:p>
    <w:p>
      <w:pPr>
        <w:jc w:val="both"/>
        <w:ind w:firstLine="656"/>
        <w:spacing w:after="0" w:line="238" w:lineRule="auto"/>
        <w:tabs>
          <w:tab w:leader="none" w:pos="134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means the occurrence of any of the following without Executive’s written consent: (i) a material adverse alteration by the Company in Executive’s base compensation, which is comprised of base salary and target cash incentive opportunity (except where such reduction to base compensation proportionately affects all similarly situated employees of the Company), position, function, duties or responsibilities; (ii) the relocation of Executive outside of the metropolitan area in which Executive is based; or (iii) a material breach by the Company of any written agreement between Executive and the Company; provided, that no resignation for Good Reason shall be effective unless and until (1) Executive has first provided the Company with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00" w:lineRule="exact"/>
        <w:rPr>
          <w:sz w:val="20"/>
          <w:szCs w:val="20"/>
          <w:color w:val="auto"/>
        </w:rPr>
      </w:pPr>
    </w:p>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notice specifically identifying the acts or omissions constituting the grounds for “Good Reason” within thirty (30) days after the occurrence thereof, (2) the Company has not cured such acts or omissions that are capable of cure within thirty (30) days of its actual receipt of such notice, and (3) the effective date of Executive’s termination for Good Reason occurs no later than sixty (60) days after the initial existence of the facts or circumstances constituting Good Reason.</w:t>
      </w:r>
    </w:p>
    <w:p>
      <w:pPr>
        <w:spacing w:after="0" w:line="131" w:lineRule="exact"/>
        <w:rPr>
          <w:sz w:val="20"/>
          <w:szCs w:val="20"/>
          <w:color w:val="auto"/>
        </w:rPr>
      </w:pPr>
    </w:p>
    <w:p>
      <w:pPr>
        <w:ind w:left="1300" w:hanging="644"/>
        <w:spacing w:after="0"/>
        <w:tabs>
          <w:tab w:leader="none" w:pos="130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 the date Executive experiences a Covered Termination.</w:t>
      </w:r>
    </w:p>
    <w:p>
      <w:pPr>
        <w:spacing w:after="0" w:line="152" w:lineRule="exact"/>
        <w:rPr>
          <w:rFonts w:ascii="Arial" w:cs="Arial" w:eastAsia="Arial" w:hAnsi="Arial"/>
          <w:sz w:val="22"/>
          <w:szCs w:val="22"/>
          <w:color w:val="auto"/>
        </w:rPr>
      </w:pPr>
    </w:p>
    <w:p>
      <w:pPr>
        <w:ind w:left="660" w:hanging="652"/>
        <w:spacing w:after="0"/>
        <w:tabs>
          <w:tab w:leader="none" w:pos="66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656"/>
        <w:spacing w:after="0" w:line="253" w:lineRule="auto"/>
        <w:tabs>
          <w:tab w:leader="none" w:pos="1293"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include any successor to the Company’s business and/or assets which executes and delivers the assumption agreement described in this Section 10(a) or which becomes bound by the terms of this Agreement by operation of law.</w:t>
      </w:r>
    </w:p>
    <w:p>
      <w:pPr>
        <w:spacing w:after="0" w:line="121" w:lineRule="exact"/>
        <w:rPr>
          <w:rFonts w:ascii="Arial" w:cs="Arial" w:eastAsia="Arial" w:hAnsi="Arial"/>
          <w:sz w:val="21"/>
          <w:szCs w:val="21"/>
          <w:color w:val="auto"/>
        </w:rPr>
      </w:pPr>
    </w:p>
    <w:p>
      <w:pPr>
        <w:jc w:val="both"/>
        <w:ind w:firstLine="656"/>
        <w:spacing w:after="0" w:line="247" w:lineRule="auto"/>
        <w:tabs>
          <w:tab w:leader="none" w:pos="1291"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23" w:lineRule="exact"/>
        <w:rPr>
          <w:rFonts w:ascii="Arial" w:cs="Arial" w:eastAsia="Arial" w:hAnsi="Arial"/>
          <w:sz w:val="22"/>
          <w:szCs w:val="22"/>
          <w:color w:val="auto"/>
        </w:rPr>
      </w:pPr>
    </w:p>
    <w:p>
      <w:pPr>
        <w:jc w:val="both"/>
        <w:ind w:firstLine="8"/>
        <w:spacing w:after="0" w:line="256" w:lineRule="auto"/>
        <w:tabs>
          <w:tab w:leader="none" w:pos="640"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corporate headquarters, and all notices shall be directed to the attention of the Chief Executive Officer.</w:t>
      </w:r>
    </w:p>
    <w:p>
      <w:pPr>
        <w:spacing w:after="0" w:line="116" w:lineRule="exact"/>
        <w:rPr>
          <w:rFonts w:ascii="Arial" w:cs="Arial" w:eastAsia="Arial" w:hAnsi="Arial"/>
          <w:sz w:val="21"/>
          <w:szCs w:val="21"/>
          <w:color w:val="auto"/>
        </w:rPr>
      </w:pPr>
    </w:p>
    <w:p>
      <w:pPr>
        <w:jc w:val="both"/>
        <w:ind w:firstLine="8"/>
        <w:spacing w:after="0" w:line="284" w:lineRule="auto"/>
        <w:tabs>
          <w:tab w:leader="none" w:pos="648"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As a condition to entering into this Agreement, which provides eligibility to receive benefits under Sections 3 and 4 of this Agreement, Executive must agree to and comply with the requirements set forth in this Section 12. For the avoidance of doubt, the covenants set forth in this Section 12 and the Restrictive Covenants Agreement (as defined below) apply to Executive whether or not Executive receives any benefits under Sections 3 and 4 of this Agreement. Without limiting any other remedy set forth herein or in the Restrictive Covenants Agreement, in the event Executive fails to satisfy the requirements set forth in this Section 12 and the Restrictive Covenants Agreement in any material respect, the Company shall have no obligation to pay or to continue the benefits under Sections 3 and 4 of this Agreement.</w:t>
      </w:r>
    </w:p>
    <w:p>
      <w:pPr>
        <w:spacing w:after="0" w:line="93" w:lineRule="exact"/>
        <w:rPr>
          <w:rFonts w:ascii="Arial" w:cs="Arial" w:eastAsia="Arial" w:hAnsi="Arial"/>
          <w:sz w:val="19"/>
          <w:szCs w:val="19"/>
          <w:color w:val="auto"/>
        </w:rPr>
      </w:pPr>
    </w:p>
    <w:p>
      <w:pPr>
        <w:jc w:val="both"/>
        <w:ind w:firstLine="656"/>
        <w:spacing w:after="0" w:line="253" w:lineRule="auto"/>
        <w:tabs>
          <w:tab w:leader="none" w:pos="1293"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The Company (which as used in this Section 12(a) shall include the Company and any of its affiliates) operates in a highly sensitive and competitive commercial environment. As part of Executive’s employment (which as used in this Section 12(a) shall include engagement as an independent contractor or other non-employee role as well) with the Company, Executive has been and will continue to be exposed to highly confidential and sensitive information regarding the Company’s business operations, including corporate strategy, pricing, and other market information, know-how, trade secrets, and valuable customer, supplier, and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328"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 xml:space="preserve">relationships. It is critical that the Company take all necessary steps to safeguard its legitimate protectable interests in such information and to prevent any of its competitors or any other persons from obtaining any such information. Therefore, as consideration for and ancillary to the Company’s agreement to enter into this Agreement with Executive, and to protect the goodwill and other legitimate business interests of the Company, Executive shall enter into, and shall abide by, the terms and conditions of the restrictive covenants concerning confidentiality, noncompetition and nonsolicitation contained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(the “</w:t>
      </w:r>
      <w:r>
        <w:rPr>
          <w:rFonts w:ascii="Arial" w:cs="Arial" w:eastAsia="Arial" w:hAnsi="Arial"/>
          <w:sz w:val="19"/>
          <w:szCs w:val="19"/>
          <w:b w:val="1"/>
          <w:bCs w:val="1"/>
          <w:i w:val="1"/>
          <w:iCs w:val="1"/>
          <w:color w:val="auto"/>
        </w:rPr>
        <w:t>Restrictive Covenants Agreement</w:t>
      </w:r>
      <w:r>
        <w:rPr>
          <w:rFonts w:ascii="Arial" w:cs="Arial" w:eastAsia="Arial" w:hAnsi="Arial"/>
          <w:sz w:val="19"/>
          <w:szCs w:val="19"/>
          <w:color w:val="auto"/>
        </w:rPr>
        <w:t>”) between Executive and Group, which is hereby incorporated herein by reference. By entering into this Agreement, Executive acknowledges and agrees that Executive has read and understood the Restrictive Covenants Agreement and has had an opportunity to seek the advice of an attorney prior to entering into this Agreement and entering into, or agreeing to enter into, the Restrictive Covenants Agreement.</w:t>
      </w:r>
    </w:p>
    <w:p>
      <w:pPr>
        <w:spacing w:after="0" w:line="95" w:lineRule="exact"/>
        <w:rPr>
          <w:sz w:val="20"/>
          <w:szCs w:val="20"/>
          <w:color w:val="auto"/>
        </w:rPr>
      </w:pPr>
    </w:p>
    <w:p>
      <w:pPr>
        <w:jc w:val="both"/>
        <w:ind w:firstLine="656"/>
        <w:spacing w:after="0" w:line="242" w:lineRule="auto"/>
        <w:tabs>
          <w:tab w:leader="none" w:pos="1291"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Executive agrees that Executive shall not disparage, criticize or defame the Company, its affiliates and their respective affiliates, directors, officers, agents, partners, stockholders or employees, either publicly or privately. The Company agrees that it shall not, and it shall instruct its executive officers to not, disparage, criticize or defame Executive, either publicly or privately. Nothing in this Section 12(b) shall have application to any evidence or testimony required by any court, arbitrator or government agency.</w:t>
      </w:r>
    </w:p>
    <w:p>
      <w:pPr>
        <w:spacing w:after="0" w:line="128" w:lineRule="exact"/>
        <w:rPr>
          <w:rFonts w:ascii="Arial" w:cs="Arial" w:eastAsia="Arial" w:hAnsi="Arial"/>
          <w:sz w:val="22"/>
          <w:szCs w:val="22"/>
          <w:color w:val="auto"/>
        </w:rPr>
      </w:pPr>
    </w:p>
    <w:p>
      <w:pPr>
        <w:jc w:val="both"/>
        <w:ind w:firstLine="656"/>
        <w:spacing w:after="0" w:line="251" w:lineRule="auto"/>
        <w:tabs>
          <w:tab w:leader="none" w:pos="1293"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Return of Documents and Property</w:t>
      </w:r>
      <w:r>
        <w:rPr>
          <w:rFonts w:ascii="Arial" w:cs="Arial" w:eastAsia="Arial" w:hAnsi="Arial"/>
          <w:sz w:val="21"/>
          <w:szCs w:val="21"/>
          <w:color w:val="auto"/>
        </w:rPr>
        <w:t>. Executive will no later than the Termination Date turn over to the Company all physical or personal property that are the property of the Company and that Executive had in Executive’s possession, custody or control, including, without limitation, Executive’s laptop computer, along with all other equipment and originals and copies of correspondence, drawings, manuals, letters, notes, notebooks, reports, programs, plans, proposals, financial documents, or any other documents concerning the Company’s customers, business plans, marketing strategies, products, processes or business of any kind and/or which contain proprietary information or trade secrets which are in the possession or control of Executive or Executive’s agents or representatives. These obligations include the return of any electronic information or data that belongs to the Company.</w:t>
      </w:r>
    </w:p>
    <w:p>
      <w:pPr>
        <w:spacing w:after="0" w:line="139" w:lineRule="exact"/>
        <w:rPr>
          <w:rFonts w:ascii="Arial" w:cs="Arial" w:eastAsia="Arial" w:hAnsi="Arial"/>
          <w:sz w:val="21"/>
          <w:szCs w:val="21"/>
          <w:color w:val="auto"/>
        </w:rPr>
      </w:pPr>
    </w:p>
    <w:p>
      <w:pPr>
        <w:ind w:firstLine="656"/>
        <w:spacing w:after="0" w:line="328" w:lineRule="auto"/>
        <w:tabs>
          <w:tab w:leader="none" w:pos="1291"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Executive acknowledges that Executive shall remain subject to the Company’s or the Group’s Clawback Policy, as may be amended from time to time, to the extent provided therein or otherwise required by applicable law.</w:t>
      </w:r>
    </w:p>
    <w:p>
      <w:pPr>
        <w:spacing w:after="0" w:line="50" w:lineRule="exact"/>
        <w:rPr>
          <w:rFonts w:ascii="Arial" w:cs="Arial" w:eastAsia="Arial" w:hAnsi="Arial"/>
          <w:sz w:val="19"/>
          <w:szCs w:val="19"/>
          <w:color w:val="auto"/>
        </w:rPr>
      </w:pPr>
    </w:p>
    <w:p>
      <w:pPr>
        <w:jc w:val="both"/>
        <w:ind w:firstLine="656"/>
        <w:spacing w:after="0" w:line="284" w:lineRule="auto"/>
        <w:tabs>
          <w:tab w:leader="none" w:pos="1293"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Forfeiture; Repayment</w:t>
      </w:r>
      <w:r>
        <w:rPr>
          <w:rFonts w:ascii="Arial" w:cs="Arial" w:eastAsia="Arial" w:hAnsi="Arial"/>
          <w:sz w:val="19"/>
          <w:szCs w:val="19"/>
          <w:color w:val="auto"/>
        </w:rPr>
        <w:t>. If Executive materially breaches Sections 12(a)-(d) and the Company delivers written notice to Executive of such material breach within ninety (90) days after the Company’s Chief Executive Officer’s first acquires actual knowledge of such material breach, then Executive shall (i) forfeit any and all rights to any future payments or benefits to be made or provided under Sections 3 and 4 of this Agreement and (ii) reimburse the Company for all payments made and the value of all benefits received by Executive and Executive’s dependents (if any) up to and through the date of such breach, with interest at the prime rate published by the Wall Street Journal on the date the Company sends written demand for reimbursement, compounded annually, from the date such payments or benefits were made until the date of repayment.</w:t>
      </w:r>
    </w:p>
    <w:p>
      <w:pPr>
        <w:spacing w:after="0" w:line="93" w:lineRule="exact"/>
        <w:rPr>
          <w:rFonts w:ascii="Arial" w:cs="Arial" w:eastAsia="Arial" w:hAnsi="Arial"/>
          <w:sz w:val="19"/>
          <w:szCs w:val="19"/>
          <w:color w:val="auto"/>
        </w:rPr>
      </w:pPr>
    </w:p>
    <w:p>
      <w:pPr>
        <w:ind w:firstLine="8"/>
        <w:spacing w:after="0" w:line="250" w:lineRule="auto"/>
        <w:tabs>
          <w:tab w:leader="none" w:pos="648"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To ensure the timely and economical resolution of disputes that arise in connection with this Agreement, Executive and the Company agree that any and all disputes,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32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or causes of action arising from or relating to the enforcement, breach, performance or interpretation of this Agreement, Executive’s employment, or the termination of Executive’s employment (excluding any disputes arising under the Restrictive Covenants Agreement), shall be resolved to the fullest extent permitted by law by final, binding and confidential arbitration in Tarrant County, Texas through Judicial Arbitration &amp; Mediation Services/Endispute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xml:space="preserve">”) in conformity with the then-existing JAMS employment arbitration rules and Texas law. A link to the current JAMS employment arbitration rules follows: https://www.jamsadr.com/rules-employment-arbitration/english. </w:t>
      </w:r>
      <w:r>
        <w:rPr>
          <w:rFonts w:ascii="Arial" w:cs="Arial" w:eastAsia="Arial" w:hAnsi="Arial"/>
          <w:sz w:val="19"/>
          <w:szCs w:val="19"/>
          <w:b w:val="1"/>
          <w:bCs w:val="1"/>
          <w:color w:val="auto"/>
        </w:rPr>
        <w:t>By agreeing to this arbitration procedure, both Executive</w:t>
      </w:r>
      <w:r>
        <w:rPr>
          <w:rFonts w:ascii="Arial" w:cs="Arial" w:eastAsia="Arial" w:hAnsi="Arial"/>
          <w:sz w:val="19"/>
          <w:szCs w:val="19"/>
          <w:color w:val="auto"/>
        </w:rPr>
        <w:t xml:space="preserve"> </w:t>
      </w:r>
      <w:r>
        <w:rPr>
          <w:rFonts w:ascii="Arial" w:cs="Arial" w:eastAsia="Arial" w:hAnsi="Arial"/>
          <w:sz w:val="19"/>
          <w:szCs w:val="19"/>
          <w:b w:val="1"/>
          <w:bCs w:val="1"/>
          <w:color w:val="auto"/>
        </w:rPr>
        <w:t>and the Company waive the right to resolve any such dispute through a trial by jury or judge or administrative proceeding</w:t>
      </w:r>
      <w:r>
        <w:rPr>
          <w:rFonts w:ascii="Arial" w:cs="Arial" w:eastAsia="Arial" w:hAnsi="Arial"/>
          <w:sz w:val="19"/>
          <w:szCs w:val="19"/>
          <w:color w:val="auto"/>
        </w:rPr>
        <w:t>. The arbitrator shall: (a) have the authority to compel adequate discovery for the resolution of the dispute and to</w:t>
      </w:r>
      <w:r>
        <w:rPr>
          <w:rFonts w:ascii="Arial" w:cs="Arial" w:eastAsia="Arial" w:hAnsi="Arial"/>
          <w:sz w:val="19"/>
          <w:szCs w:val="19"/>
          <w:b w:val="1"/>
          <w:bCs w:val="1"/>
          <w:color w:val="auto"/>
        </w:rPr>
        <w:t xml:space="preserve"> </w:t>
      </w:r>
      <w:r>
        <w:rPr>
          <w:rFonts w:ascii="Arial" w:cs="Arial" w:eastAsia="Arial" w:hAnsi="Arial"/>
          <w:sz w:val="19"/>
          <w:szCs w:val="19"/>
          <w:color w:val="auto"/>
        </w:rPr>
        <w:t>award such relief as would otherwise be permitted by law; and (b) issue a written arbitration decision, to include the arbitrator’s essential findings and conclusions and a statement of the award. The Company shall pay all JAMS’s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or arising under the Restrictive Covenants Agreement by Court action instead of arbitration. The parties agree to resolve all disputes excluded from arbitration in a court of competent jurisdiction located in Texas sitting without a jury and each party waives its right to a jury trial in any such dispute.</w:t>
      </w:r>
    </w:p>
    <w:p>
      <w:pPr>
        <w:spacing w:after="0" w:line="111"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ind w:left="1300" w:hanging="644"/>
        <w:spacing w:after="0"/>
        <w:tabs>
          <w:tab w:leader="none" w:pos="1300"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304"/>
        <w:spacing w:after="0" w:line="246" w:lineRule="auto"/>
        <w:tabs>
          <w:tab w:leader="none" w:pos="1932" w:val="left"/>
        </w:tabs>
        <w:numPr>
          <w:ilvl w:val="2"/>
          <w:numId w:val="111"/>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Notwithstanding any provision to the contrary in this Agreement, no amount deemed deferred compensation subject to Section 409A of the Code shall be payable pursuant to Sections 3 and 4 above unless Executive’s termination of employment constitutes a “separation from service” with the Company within the meaning of Section 409A of the Code and the Department of Treasury regulations and other guidance promulgated thereunder (“</w:t>
      </w:r>
      <w:r>
        <w:rPr>
          <w:rFonts w:ascii="Arial" w:cs="Arial" w:eastAsia="Arial" w:hAnsi="Arial"/>
          <w:sz w:val="20"/>
          <w:szCs w:val="20"/>
          <w:b w:val="1"/>
          <w:bCs w:val="1"/>
          <w:i w:val="1"/>
          <w:iCs w:val="1"/>
          <w:color w:val="auto"/>
        </w:rPr>
        <w:t>Separation from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Service</w:t>
      </w:r>
      <w:r>
        <w:rPr>
          <w:rFonts w:ascii="Arial" w:cs="Arial" w:eastAsia="Arial" w:hAnsi="Arial"/>
          <w:sz w:val="20"/>
          <w:szCs w:val="20"/>
          <w:color w:val="auto"/>
        </w:rPr>
        <w:t>”) and, except as provided under Section 14(a)(ii) of this Agreement, any such amount shall not be paid, or in the case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installments, commence payment, until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Executive’s Separation from Service and the remaining payments shall be made as provided in this Agreement.</w:t>
      </w:r>
    </w:p>
    <w:p>
      <w:pPr>
        <w:spacing w:after="0" w:line="139" w:lineRule="exact"/>
        <w:rPr>
          <w:rFonts w:ascii="Arial" w:cs="Arial" w:eastAsia="Arial" w:hAnsi="Arial"/>
          <w:sz w:val="20"/>
          <w:szCs w:val="20"/>
          <w:color w:val="auto"/>
        </w:rPr>
      </w:pPr>
    </w:p>
    <w:p>
      <w:pPr>
        <w:jc w:val="both"/>
        <w:ind w:firstLine="1304"/>
        <w:spacing w:after="0" w:line="237" w:lineRule="auto"/>
        <w:tabs>
          <w:tab w:leader="none" w:pos="1938" w:val="left"/>
        </w:tabs>
        <w:numPr>
          <w:ilvl w:val="2"/>
          <w:numId w:val="111"/>
        </w:numPr>
        <w:rPr>
          <w:rFonts w:ascii="Arial" w:cs="Arial" w:eastAsia="Arial" w:hAnsi="Arial"/>
          <w:sz w:val="22"/>
          <w:szCs w:val="22"/>
          <w:color w:val="auto"/>
        </w:rPr>
      </w:pPr>
      <w:r>
        <w:rPr>
          <w:rFonts w:ascii="Arial" w:cs="Arial" w:eastAsia="Arial" w:hAnsi="Arial"/>
          <w:sz w:val="22"/>
          <w:szCs w:val="22"/>
          <w:u w:val="single" w:color="auto"/>
          <w:color w:val="auto"/>
        </w:rPr>
        <w:t>Specified Employee</w:t>
      </w:r>
      <w:r>
        <w:rPr>
          <w:rFonts w:ascii="Arial" w:cs="Arial" w:eastAsia="Arial" w:hAnsi="Arial"/>
          <w:sz w:val="22"/>
          <w:szCs w:val="22"/>
          <w:color w:val="auto"/>
        </w:rPr>
        <w:t>. Notwithstanding any provision to the contrary in this Agreement, if Executive is deemed at the time of Executive’s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328"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108" w:lineRule="exact"/>
        <w:rPr>
          <w:sz w:val="20"/>
          <w:szCs w:val="20"/>
          <w:color w:val="auto"/>
        </w:rPr>
      </w:pPr>
    </w:p>
    <w:p>
      <w:pPr>
        <w:jc w:val="both"/>
        <w:ind w:firstLine="1304"/>
        <w:spacing w:after="0" w:line="268" w:lineRule="auto"/>
        <w:tabs>
          <w:tab w:leader="none" w:pos="1944"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Expense Reimbursements</w:t>
      </w:r>
      <w:r>
        <w:rPr>
          <w:rFonts w:ascii="Arial" w:cs="Arial" w:eastAsia="Arial" w:hAnsi="Arial"/>
          <w:sz w:val="19"/>
          <w:szCs w:val="19"/>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07" w:lineRule="exact"/>
        <w:rPr>
          <w:rFonts w:ascii="Arial" w:cs="Arial" w:eastAsia="Arial" w:hAnsi="Arial"/>
          <w:sz w:val="19"/>
          <w:szCs w:val="19"/>
          <w:color w:val="auto"/>
        </w:rPr>
      </w:pPr>
    </w:p>
    <w:p>
      <w:pPr>
        <w:jc w:val="both"/>
        <w:ind w:firstLine="1304"/>
        <w:spacing w:after="0" w:line="241" w:lineRule="auto"/>
        <w:tabs>
          <w:tab w:leader="none" w:pos="1932"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Installments</w:t>
      </w:r>
      <w:r>
        <w:rPr>
          <w:rFonts w:ascii="Arial" w:cs="Arial" w:eastAsia="Arial" w:hAnsi="Arial"/>
          <w:sz w:val="22"/>
          <w:szCs w:val="22"/>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44" w:lineRule="exact"/>
        <w:rPr>
          <w:rFonts w:ascii="Arial" w:cs="Arial" w:eastAsia="Arial" w:hAnsi="Arial"/>
          <w:sz w:val="22"/>
          <w:szCs w:val="22"/>
          <w:color w:val="auto"/>
        </w:rPr>
      </w:pPr>
    </w:p>
    <w:p>
      <w:pPr>
        <w:jc w:val="both"/>
        <w:ind w:firstLine="656"/>
        <w:spacing w:after="0" w:line="292" w:lineRule="auto"/>
        <w:tabs>
          <w:tab w:leader="none" w:pos="1291"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84" w:lineRule="exact"/>
        <w:rPr>
          <w:rFonts w:ascii="Arial" w:cs="Arial" w:eastAsia="Arial" w:hAnsi="Arial"/>
          <w:sz w:val="19"/>
          <w:szCs w:val="19"/>
          <w:color w:val="auto"/>
        </w:rPr>
      </w:pPr>
    </w:p>
    <w:p>
      <w:pPr>
        <w:jc w:val="both"/>
        <w:ind w:firstLine="656"/>
        <w:spacing w:after="0" w:line="256" w:lineRule="auto"/>
        <w:tabs>
          <w:tab w:leader="none" w:pos="1293"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Whole Agreement</w:t>
      </w:r>
      <w:r>
        <w:rPr>
          <w:rFonts w:ascii="Arial" w:cs="Arial" w:eastAsia="Arial" w:hAnsi="Arial"/>
          <w:sz w:val="21"/>
          <w:szCs w:val="21"/>
          <w:color w:val="auto"/>
        </w:rPr>
        <w:t>. This Agreement and the agreements and provisions incorporated in this Agreement, including, without limitation, the Restrictive Covenants Agreement and the award agreements and equity plans governing the terms of Executive’s outstanding and unvested equity awards, represent the entire understanding of the parties hereto with respect to the subject matter hereof and supersede all prior promises, arrangements and understandings regarding same, whether written or unwritten, or previously approved by the Board of Directors of the Company.</w:t>
      </w:r>
    </w:p>
    <w:p>
      <w:pPr>
        <w:spacing w:after="0" w:line="116" w:lineRule="exact"/>
        <w:rPr>
          <w:rFonts w:ascii="Arial" w:cs="Arial" w:eastAsia="Arial" w:hAnsi="Arial"/>
          <w:sz w:val="21"/>
          <w:szCs w:val="21"/>
          <w:color w:val="auto"/>
        </w:rPr>
      </w:pPr>
    </w:p>
    <w:p>
      <w:pPr>
        <w:jc w:val="both"/>
        <w:ind w:firstLine="656"/>
        <w:spacing w:after="0" w:line="247" w:lineRule="auto"/>
        <w:tabs>
          <w:tab w:leader="none" w:pos="1291"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was negotiated, entered into and is performable, in whole or in part, in Tarrant County, Texas. Therefore, the validity, interpretation, construction and performance of this Agreement shall be governed by the laws of the State of Texas.</w:t>
      </w:r>
    </w:p>
    <w:p>
      <w:pPr>
        <w:spacing w:after="0" w:line="123" w:lineRule="exact"/>
        <w:rPr>
          <w:rFonts w:ascii="Arial" w:cs="Arial" w:eastAsia="Arial" w:hAnsi="Arial"/>
          <w:sz w:val="22"/>
          <w:szCs w:val="22"/>
          <w:color w:val="auto"/>
        </w:rPr>
      </w:pPr>
    </w:p>
    <w:p>
      <w:pPr>
        <w:ind w:firstLine="656"/>
        <w:spacing w:after="0" w:line="263" w:lineRule="auto"/>
        <w:tabs>
          <w:tab w:leader="none" w:pos="1293"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07" w:lineRule="exact"/>
        <w:rPr>
          <w:rFonts w:ascii="Arial" w:cs="Arial" w:eastAsia="Arial" w:hAnsi="Arial"/>
          <w:sz w:val="22"/>
          <w:szCs w:val="22"/>
          <w:color w:val="auto"/>
        </w:rPr>
      </w:pPr>
    </w:p>
    <w:p>
      <w:pPr>
        <w:ind w:firstLine="656"/>
        <w:spacing w:after="0" w:line="263" w:lineRule="auto"/>
        <w:tabs>
          <w:tab w:leader="none" w:pos="1296"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will constitute one and the same instrument.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AMERICAN AIRLINES GROUP, INC.</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By:/s/ Grant B.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211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Vice President,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21018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0185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9/20/2023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6934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AMERICAN AIRLINES, INC.</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By:/s/ Grant B.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211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Vice President,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21018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0185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9/20/2023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6934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wp:posOffset>
            </wp:positionV>
            <wp:extent cx="11506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Robert D. Isom</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9/20/2023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6934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Severance Agreement</w:t>
      </w:r>
      <w:r>
        <w:rPr>
          <w:rFonts w:ascii="Arial" w:cs="Arial" w:eastAsia="Arial" w:hAnsi="Arial"/>
          <w:sz w:val="22"/>
          <w:szCs w:val="22"/>
          <w:color w:val="auto"/>
        </w:rPr>
        <w:t>]</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This Release of Claims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is entered into as of _________________, 20__, among [__________]</w:t>
      </w:r>
    </w:p>
    <w:p>
      <w:pPr>
        <w:spacing w:after="0" w:line="20" w:lineRule="exact"/>
        <w:rPr>
          <w:sz w:val="20"/>
          <w:szCs w:val="20"/>
          <w:color w:val="auto"/>
        </w:rPr>
      </w:pPr>
    </w:p>
    <w:p>
      <w:pPr>
        <w:ind w:right="180"/>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and American Airlines Group, Inc., a Delaware corporation (“</w:t>
      </w:r>
      <w:r>
        <w:rPr>
          <w:rFonts w:ascii="Arial" w:cs="Arial" w:eastAsia="Arial" w:hAnsi="Arial"/>
          <w:sz w:val="21"/>
          <w:szCs w:val="21"/>
          <w:b w:val="1"/>
          <w:bCs w:val="1"/>
          <w:i w:val="1"/>
          <w:iCs w:val="1"/>
          <w:color w:val="auto"/>
        </w:rPr>
        <w:t>Group</w:t>
      </w:r>
      <w:r>
        <w:rPr>
          <w:rFonts w:ascii="Arial" w:cs="Arial" w:eastAsia="Arial" w:hAnsi="Arial"/>
          <w:sz w:val="21"/>
          <w:szCs w:val="21"/>
          <w:color w:val="auto"/>
        </w:rPr>
        <w:t>”), and American Airlines, Inc., a Delaware corporation and a wholly-owned subsidiary of Group (“</w:t>
      </w:r>
      <w:r>
        <w:rPr>
          <w:rFonts w:ascii="Arial" w:cs="Arial" w:eastAsia="Arial" w:hAnsi="Arial"/>
          <w:sz w:val="21"/>
          <w:szCs w:val="21"/>
          <w:b w:val="1"/>
          <w:bCs w:val="1"/>
          <w:i w:val="1"/>
          <w:iCs w:val="1"/>
          <w:color w:val="auto"/>
        </w:rPr>
        <w:t>American</w:t>
      </w:r>
      <w:r>
        <w:rPr>
          <w:rFonts w:ascii="Arial" w:cs="Arial" w:eastAsia="Arial" w:hAnsi="Arial"/>
          <w:sz w:val="21"/>
          <w:szCs w:val="21"/>
          <w:color w:val="auto"/>
        </w:rPr>
        <w:t>” and, together with Group,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collectively with Executive,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effective eight days after Executive’s signature hereto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unless Executive revokes Executive’s acceptance of this Release as provided in Paragraph 1(c), below.</w:t>
      </w:r>
    </w:p>
    <w:p>
      <w:pPr>
        <w:spacing w:after="0" w:line="191" w:lineRule="exact"/>
        <w:rPr>
          <w:sz w:val="20"/>
          <w:szCs w:val="20"/>
          <w:color w:val="auto"/>
        </w:rPr>
      </w:pPr>
    </w:p>
    <w:p>
      <w:pPr>
        <w:ind w:left="260" w:right="80" w:firstLine="1287"/>
        <w:spacing w:after="0" w:line="257" w:lineRule="auto"/>
        <w:tabs>
          <w:tab w:leader="none" w:pos="1961" w:val="left"/>
        </w:tabs>
        <w:numPr>
          <w:ilvl w:val="1"/>
          <w:numId w:val="114"/>
        </w:numPr>
        <w:rPr>
          <w:rFonts w:ascii="Arial" w:cs="Arial" w:eastAsia="Arial" w:hAnsi="Arial"/>
          <w:sz w:val="19"/>
          <w:szCs w:val="19"/>
          <w:color w:val="auto"/>
        </w:rPr>
      </w:pPr>
      <w:r>
        <w:rPr>
          <w:rFonts w:ascii="Arial" w:cs="Arial" w:eastAsia="Arial" w:hAnsi="Arial"/>
          <w:sz w:val="21"/>
          <w:szCs w:val="21"/>
          <w:u w:val="single" w:color="auto"/>
          <w:color w:val="auto"/>
        </w:rPr>
        <w:t>Executive’s Release of the Company</w:t>
      </w:r>
      <w:r>
        <w:rPr>
          <w:rFonts w:ascii="Arial" w:cs="Arial" w:eastAsia="Arial" w:hAnsi="Arial"/>
          <w:sz w:val="21"/>
          <w:szCs w:val="21"/>
          <w:color w:val="auto"/>
        </w:rPr>
        <w:t>. Executive understands that by agreeing to this Release, Executive is agreeing not to sue, or otherwise file any claim against, the Company or any of its employees or other agents for any reason whatsoever based on anything that has occurred as of the date Executive signs this Release.</w:t>
      </w:r>
    </w:p>
    <w:p>
      <w:pPr>
        <w:spacing w:after="0" w:line="182" w:lineRule="exact"/>
        <w:rPr>
          <w:rFonts w:ascii="Arial" w:cs="Arial" w:eastAsia="Arial" w:hAnsi="Arial"/>
          <w:sz w:val="19"/>
          <w:szCs w:val="19"/>
          <w:color w:val="auto"/>
        </w:rPr>
      </w:pPr>
    </w:p>
    <w:p>
      <w:pPr>
        <w:ind w:left="760" w:firstLine="1300"/>
        <w:spacing w:after="0" w:line="274" w:lineRule="auto"/>
        <w:tabs>
          <w:tab w:leader="none" w:pos="2586" w:val="left"/>
        </w:tabs>
        <w:numPr>
          <w:ilvl w:val="2"/>
          <w:numId w:val="114"/>
        </w:numPr>
        <w:rPr>
          <w:rFonts w:ascii="Arial" w:cs="Arial" w:eastAsia="Arial" w:hAnsi="Arial"/>
          <w:sz w:val="18"/>
          <w:szCs w:val="18"/>
          <w:color w:val="auto"/>
        </w:rPr>
      </w:pPr>
      <w:r>
        <w:rPr>
          <w:rFonts w:ascii="Arial" w:cs="Arial" w:eastAsia="Arial" w:hAnsi="Arial"/>
          <w:sz w:val="19"/>
          <w:szCs w:val="19"/>
          <w:color w:val="auto"/>
        </w:rPr>
        <w:t>On behalf of Executive and Executive’s heirs and assigns, Executive hereby releases and forever discharges the “</w:t>
      </w:r>
      <w:r>
        <w:rPr>
          <w:rFonts w:ascii="Arial" w:cs="Arial" w:eastAsia="Arial" w:hAnsi="Arial"/>
          <w:sz w:val="19"/>
          <w:szCs w:val="19"/>
          <w:u w:val="single" w:color="auto"/>
          <w:color w:val="auto"/>
        </w:rPr>
        <w:t>Releasees</w:t>
      </w:r>
      <w:r>
        <w:rPr>
          <w:rFonts w:ascii="Arial" w:cs="Arial" w:eastAsia="Arial" w:hAnsi="Arial"/>
          <w:sz w:val="19"/>
          <w:szCs w:val="19"/>
          <w:color w:val="auto"/>
        </w:rPr>
        <w:t>”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9"/>
          <w:szCs w:val="19"/>
          <w:u w:val="single" w:color="auto"/>
          <w:color w:val="auto"/>
        </w:rPr>
        <w:t>Claims</w:t>
      </w:r>
      <w:r>
        <w:rPr>
          <w:rFonts w:ascii="Arial" w:cs="Arial" w:eastAsia="Arial" w:hAnsi="Arial"/>
          <w:sz w:val="19"/>
          <w:szCs w:val="19"/>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29 U.S.C. § 621, et seq.; Title VII of the Civil Rights Act of 1964, as amended by the Civil Rights Act of 1991, 42 U.S.C. § 2000 et seq.; the Equal Pay Act, 29 U.S.C.</w:t>
      </w:r>
    </w:p>
    <w:p>
      <w:pPr>
        <w:spacing w:after="0" w:line="1" w:lineRule="exact"/>
        <w:rPr>
          <w:rFonts w:ascii="Arial" w:cs="Arial" w:eastAsia="Arial" w:hAnsi="Arial"/>
          <w:sz w:val="18"/>
          <w:szCs w:val="18"/>
          <w:color w:val="auto"/>
        </w:rPr>
      </w:pPr>
    </w:p>
    <w:p>
      <w:pPr>
        <w:ind w:left="760" w:right="40" w:firstLine="4"/>
        <w:spacing w:after="0" w:line="277" w:lineRule="auto"/>
        <w:tabs>
          <w:tab w:leader="none" w:pos="92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206(d); the Civil Rights Act of 1866, 42 U.S.C. § 1981; the Family and Medical Leave Act of 1993, 29 U.S.C. § 2601 et seq.; the Americans with Disabilities Act of 1990, 42 U.S.C. § 12101 et seq.; the False Claims Act, 31 U.S.C. § 3729 et seq.; the Employee Retirement Income Security Act, 29 U.S.C. § 1001 et seq.; the Worker Adjustment and Retraining Notification Act, 29 U.S.C. § 2101 et seq. the Fair Labor Standards Act, 29 U.S.C. § 215 et seq., the Sarbanes-Oxley Act of 2002; the Texas Labor Code (specifically including the Texas Payday Law, the Texas Anti-Retaliation Act, Chapter 21 of the Texas Labor Code, and the Texas Whistleblower Act); and any and all other federal, state and local laws, statutes, executive orders, regulations municipal ordinances, common law, and any other jurisdiction worldwide; Claims for breach of contract; Claims arising in tort, including, without limitation, Claims of wrongful dismissal or discharge, discrimination, harassment, retaliation, fraud, misrepresentation, defamation, libel, infliction of emotional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20" w:top="1440" w:right="379" w:bottom="1440" w:gutter="0" w:footer="0" w:header="0"/>
        </w:sectPr>
      </w:pPr>
    </w:p>
    <w:bookmarkStart w:id="158" w:name="page159"/>
    <w:bookmarkEnd w:id="158"/>
    <w:p>
      <w:pPr>
        <w:spacing w:after="0" w:line="366"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77" w:lineRule="exact"/>
        <w:rPr>
          <w:sz w:val="20"/>
          <w:szCs w:val="20"/>
          <w:color w:val="auto"/>
        </w:rPr>
      </w:pPr>
    </w:p>
    <w:p>
      <w:pPr>
        <w:ind w:left="1820" w:hanging="520"/>
        <w:spacing w:after="0"/>
        <w:tabs>
          <w:tab w:leader="none" w:pos="1820" w:val="left"/>
        </w:tabs>
        <w:numPr>
          <w:ilvl w:val="1"/>
          <w:numId w:val="115"/>
        </w:numPr>
        <w:rPr>
          <w:rFonts w:ascii="Arial" w:cs="Arial" w:eastAsia="Arial" w:hAnsi="Arial"/>
          <w:sz w:val="18"/>
          <w:szCs w:val="18"/>
          <w:color w:val="auto"/>
        </w:rPr>
      </w:pPr>
      <w:r>
        <w:rPr>
          <w:rFonts w:ascii="Arial" w:cs="Arial" w:eastAsia="Arial" w:hAnsi="Arial"/>
          <w:sz w:val="19"/>
          <w:szCs w:val="19"/>
          <w:color w:val="auto"/>
        </w:rPr>
        <w:t>Notwithstanding the generality of the foregoing, Executive does not release the following claims:</w:t>
      </w:r>
    </w:p>
    <w:p>
      <w:pPr>
        <w:spacing w:after="0" w:line="240" w:lineRule="exact"/>
        <w:rPr>
          <w:rFonts w:ascii="Arial" w:cs="Arial" w:eastAsia="Arial" w:hAnsi="Arial"/>
          <w:sz w:val="18"/>
          <w:szCs w:val="18"/>
          <w:color w:val="auto"/>
        </w:rPr>
      </w:pPr>
    </w:p>
    <w:p>
      <w:pPr>
        <w:ind w:left="540" w:firstLine="1300"/>
        <w:spacing w:after="0" w:line="232" w:lineRule="auto"/>
        <w:tabs>
          <w:tab w:leader="none" w:pos="2482" w:val="left"/>
        </w:tabs>
        <w:numPr>
          <w:ilvl w:val="2"/>
          <w:numId w:val="115"/>
        </w:numPr>
        <w:rPr>
          <w:rFonts w:ascii="Arial" w:cs="Arial" w:eastAsia="Arial" w:hAnsi="Arial"/>
          <w:sz w:val="20"/>
          <w:szCs w:val="20"/>
          <w:color w:val="auto"/>
        </w:rPr>
      </w:pPr>
      <w:r>
        <w:rPr>
          <w:rFonts w:ascii="Arial" w:cs="Arial" w:eastAsia="Arial" w:hAnsi="Arial"/>
          <w:sz w:val="22"/>
          <w:szCs w:val="22"/>
          <w:color w:val="auto"/>
        </w:rPr>
        <w:t>Claims for unemployment compensation or any state disability insurance benefits pursuant to the terms of applicable state law;</w:t>
      </w:r>
    </w:p>
    <w:p>
      <w:pPr>
        <w:spacing w:after="0" w:line="172" w:lineRule="exact"/>
        <w:rPr>
          <w:rFonts w:ascii="Arial" w:cs="Arial" w:eastAsia="Arial" w:hAnsi="Arial"/>
          <w:sz w:val="20"/>
          <w:szCs w:val="20"/>
          <w:color w:val="auto"/>
        </w:rPr>
      </w:pPr>
    </w:p>
    <w:p>
      <w:pPr>
        <w:ind w:left="540" w:right="420" w:firstLine="1300"/>
        <w:spacing w:after="0" w:line="239" w:lineRule="auto"/>
        <w:tabs>
          <w:tab w:leader="none" w:pos="2483" w:val="left"/>
        </w:tabs>
        <w:numPr>
          <w:ilvl w:val="2"/>
          <w:numId w:val="115"/>
        </w:numPr>
        <w:rPr>
          <w:rFonts w:ascii="Arial" w:cs="Arial" w:eastAsia="Arial" w:hAnsi="Arial"/>
          <w:sz w:val="20"/>
          <w:szCs w:val="20"/>
          <w:color w:val="auto"/>
        </w:rPr>
      </w:pPr>
      <w:r>
        <w:rPr>
          <w:rFonts w:ascii="Arial" w:cs="Arial" w:eastAsia="Arial" w:hAnsi="Arial"/>
          <w:sz w:val="22"/>
          <w:szCs w:val="22"/>
          <w:color w:val="auto"/>
        </w:rPr>
        <w:t>Claims for workers’ compensation insurance benefits under the terms of any worker’s compensation insurance policy or fund of the Company;</w:t>
      </w:r>
    </w:p>
    <w:p>
      <w:pPr>
        <w:spacing w:after="0" w:line="171" w:lineRule="exact"/>
        <w:rPr>
          <w:rFonts w:ascii="Arial" w:cs="Arial" w:eastAsia="Arial" w:hAnsi="Arial"/>
          <w:sz w:val="20"/>
          <w:szCs w:val="20"/>
          <w:color w:val="auto"/>
        </w:rPr>
      </w:pPr>
    </w:p>
    <w:p>
      <w:pPr>
        <w:ind w:left="540" w:firstLine="1300"/>
        <w:spacing w:after="0" w:line="239" w:lineRule="auto"/>
        <w:tabs>
          <w:tab w:leader="none" w:pos="2484" w:val="left"/>
        </w:tabs>
        <w:numPr>
          <w:ilvl w:val="2"/>
          <w:numId w:val="115"/>
        </w:numPr>
        <w:rPr>
          <w:rFonts w:ascii="Arial" w:cs="Arial" w:eastAsia="Arial" w:hAnsi="Arial"/>
          <w:sz w:val="20"/>
          <w:szCs w:val="20"/>
          <w:color w:val="auto"/>
        </w:rPr>
      </w:pPr>
      <w:r>
        <w:rPr>
          <w:rFonts w:ascii="Arial" w:cs="Arial" w:eastAsia="Arial" w:hAnsi="Arial"/>
          <w:sz w:val="22"/>
          <w:szCs w:val="22"/>
          <w:color w:val="auto"/>
        </w:rPr>
        <w:t>Claims to continued participation in certain of the Company’s group benefit plans pursuant to the terms and conditions of COBRA;</w:t>
      </w:r>
    </w:p>
    <w:p>
      <w:pPr>
        <w:spacing w:after="0" w:line="157" w:lineRule="exact"/>
        <w:rPr>
          <w:rFonts w:ascii="Arial" w:cs="Arial" w:eastAsia="Arial" w:hAnsi="Arial"/>
          <w:sz w:val="20"/>
          <w:szCs w:val="20"/>
          <w:color w:val="auto"/>
        </w:rPr>
      </w:pPr>
    </w:p>
    <w:p>
      <w:pPr>
        <w:ind w:left="540" w:right="900" w:firstLine="1300"/>
        <w:spacing w:after="0" w:line="239" w:lineRule="auto"/>
        <w:tabs>
          <w:tab w:leader="none" w:pos="2473" w:val="left"/>
        </w:tabs>
        <w:numPr>
          <w:ilvl w:val="2"/>
          <w:numId w:val="115"/>
        </w:numPr>
        <w:rPr>
          <w:rFonts w:ascii="Arial" w:cs="Arial" w:eastAsia="Arial" w:hAnsi="Arial"/>
          <w:sz w:val="20"/>
          <w:szCs w:val="20"/>
          <w:color w:val="auto"/>
        </w:rPr>
      </w:pPr>
      <w:r>
        <w:rPr>
          <w:rFonts w:ascii="Arial" w:cs="Arial" w:eastAsia="Arial" w:hAnsi="Arial"/>
          <w:sz w:val="22"/>
          <w:szCs w:val="22"/>
          <w:color w:val="auto"/>
        </w:rPr>
        <w:t>Claims to any benefit entitlements vested as the date of Executive’s employment termination, pursuant to written terms of any Company employee benefit plan;</w:t>
      </w:r>
    </w:p>
    <w:p>
      <w:pPr>
        <w:spacing w:after="0" w:line="171" w:lineRule="exact"/>
        <w:rPr>
          <w:rFonts w:ascii="Arial" w:cs="Arial" w:eastAsia="Arial" w:hAnsi="Arial"/>
          <w:sz w:val="20"/>
          <w:szCs w:val="20"/>
          <w:color w:val="auto"/>
        </w:rPr>
      </w:pPr>
    </w:p>
    <w:p>
      <w:pPr>
        <w:ind w:left="540" w:right="140" w:firstLine="1300"/>
        <w:spacing w:after="0" w:line="227" w:lineRule="auto"/>
        <w:tabs>
          <w:tab w:leader="none" w:pos="2472" w:val="left"/>
        </w:tabs>
        <w:numPr>
          <w:ilvl w:val="2"/>
          <w:numId w:val="115"/>
        </w:numPr>
        <w:rPr>
          <w:rFonts w:ascii="Arial" w:cs="Arial" w:eastAsia="Arial" w:hAnsi="Arial"/>
          <w:sz w:val="20"/>
          <w:szCs w:val="20"/>
          <w:color w:val="auto"/>
        </w:rPr>
      </w:pPr>
      <w:r>
        <w:rPr>
          <w:rFonts w:ascii="Arial" w:cs="Arial" w:eastAsia="Arial" w:hAnsi="Arial"/>
          <w:sz w:val="22"/>
          <w:szCs w:val="22"/>
          <w:color w:val="auto"/>
        </w:rPr>
        <w:t>Claims for indemnification under any indemnification agreement with the Company, the Company’s Bylaws, any other applicable law or the Company’s directors and officers liability insurance policy; and</w:t>
      </w:r>
    </w:p>
    <w:p>
      <w:pPr>
        <w:spacing w:after="0" w:line="173" w:lineRule="exact"/>
        <w:rPr>
          <w:rFonts w:ascii="Arial" w:cs="Arial" w:eastAsia="Arial" w:hAnsi="Arial"/>
          <w:sz w:val="20"/>
          <w:szCs w:val="20"/>
          <w:color w:val="auto"/>
        </w:rPr>
      </w:pPr>
    </w:p>
    <w:p>
      <w:pPr>
        <w:ind w:left="540" w:right="20" w:firstLine="1300"/>
        <w:spacing w:after="0" w:line="231" w:lineRule="auto"/>
        <w:tabs>
          <w:tab w:leader="none" w:pos="2473" w:val="left"/>
        </w:tabs>
        <w:numPr>
          <w:ilvl w:val="2"/>
          <w:numId w:val="115"/>
        </w:numPr>
        <w:rPr>
          <w:rFonts w:ascii="Arial" w:cs="Arial" w:eastAsia="Arial" w:hAnsi="Arial"/>
          <w:sz w:val="20"/>
          <w:szCs w:val="20"/>
          <w:color w:val="auto"/>
        </w:rPr>
      </w:pPr>
      <w:r>
        <w:rPr>
          <w:rFonts w:ascii="Arial" w:cs="Arial" w:eastAsia="Arial" w:hAnsi="Arial"/>
          <w:sz w:val="22"/>
          <w:szCs w:val="22"/>
          <w:color w:val="auto"/>
        </w:rPr>
        <w:t xml:space="preserve">Executive’s right to bring to the attention of the Equal Employment Opportunity Commission claims of discrimination;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Executive does release Executive’s right to secure any damages for alleged discriminatory treatment.</w:t>
      </w:r>
    </w:p>
    <w:p>
      <w:pPr>
        <w:spacing w:after="0" w:line="174" w:lineRule="exact"/>
        <w:rPr>
          <w:rFonts w:ascii="Arial" w:cs="Arial" w:eastAsia="Arial" w:hAnsi="Arial"/>
          <w:sz w:val="20"/>
          <w:szCs w:val="20"/>
          <w:color w:val="auto"/>
        </w:rPr>
      </w:pPr>
    </w:p>
    <w:p>
      <w:pPr>
        <w:ind w:left="1840" w:hanging="540"/>
        <w:spacing w:after="0"/>
        <w:tabs>
          <w:tab w:leader="none" w:pos="1840" w:val="left"/>
        </w:tabs>
        <w:numPr>
          <w:ilvl w:val="1"/>
          <w:numId w:val="115"/>
        </w:numPr>
        <w:rPr>
          <w:rFonts w:ascii="Arial" w:cs="Arial" w:eastAsia="Arial" w:hAnsi="Arial"/>
          <w:sz w:val="18"/>
          <w:szCs w:val="18"/>
          <w:color w:val="auto"/>
        </w:rPr>
      </w:pPr>
      <w:r>
        <w:rPr>
          <w:rFonts w:ascii="Arial" w:cs="Arial" w:eastAsia="Arial" w:hAnsi="Arial"/>
          <w:sz w:val="19"/>
          <w:szCs w:val="19"/>
          <w:color w:val="auto"/>
        </w:rPr>
        <w:t>In accordance with the Older Workers Benefit Protection Act of 1990, Executive has been advised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of the following:</w:t>
      </w:r>
    </w:p>
    <w:p>
      <w:pPr>
        <w:spacing w:after="0" w:line="174" w:lineRule="exact"/>
        <w:rPr>
          <w:rFonts w:ascii="Arial" w:cs="Arial" w:eastAsia="Arial" w:hAnsi="Arial"/>
          <w:sz w:val="18"/>
          <w:szCs w:val="18"/>
          <w:color w:val="auto"/>
        </w:rPr>
      </w:pPr>
    </w:p>
    <w:p>
      <w:pPr>
        <w:ind w:left="2480" w:hanging="640"/>
        <w:spacing w:after="0"/>
        <w:tabs>
          <w:tab w:leader="none" w:pos="2480" w:val="left"/>
        </w:tabs>
        <w:numPr>
          <w:ilvl w:val="2"/>
          <w:numId w:val="115"/>
        </w:numPr>
        <w:rPr>
          <w:rFonts w:ascii="Arial" w:cs="Arial" w:eastAsia="Arial" w:hAnsi="Arial"/>
          <w:sz w:val="20"/>
          <w:szCs w:val="20"/>
          <w:color w:val="auto"/>
        </w:rPr>
      </w:pPr>
      <w:r>
        <w:rPr>
          <w:rFonts w:ascii="Arial" w:cs="Arial" w:eastAsia="Arial" w:hAnsi="Arial"/>
          <w:sz w:val="22"/>
          <w:szCs w:val="22"/>
          <w:color w:val="auto"/>
        </w:rPr>
        <w:t>Executive has the right to consult with an attorney before signing this Release;</w:t>
      </w:r>
    </w:p>
    <w:p>
      <w:pPr>
        <w:spacing w:after="0" w:line="192" w:lineRule="exact"/>
        <w:rPr>
          <w:rFonts w:ascii="Arial" w:cs="Arial" w:eastAsia="Arial" w:hAnsi="Arial"/>
          <w:sz w:val="20"/>
          <w:szCs w:val="20"/>
          <w:color w:val="auto"/>
        </w:rPr>
      </w:pPr>
    </w:p>
    <w:p>
      <w:pPr>
        <w:ind w:left="2480" w:hanging="640"/>
        <w:spacing w:after="0"/>
        <w:tabs>
          <w:tab w:leader="none" w:pos="2480" w:val="left"/>
        </w:tabs>
        <w:numPr>
          <w:ilvl w:val="2"/>
          <w:numId w:val="115"/>
        </w:numPr>
        <w:rPr>
          <w:rFonts w:ascii="Arial" w:cs="Arial" w:eastAsia="Arial" w:hAnsi="Arial"/>
          <w:sz w:val="19"/>
          <w:szCs w:val="19"/>
          <w:color w:val="auto"/>
        </w:rPr>
      </w:pPr>
      <w:r>
        <w:rPr>
          <w:rFonts w:ascii="Arial" w:cs="Arial" w:eastAsia="Arial" w:hAnsi="Arial"/>
          <w:sz w:val="21"/>
          <w:szCs w:val="21"/>
          <w:color w:val="auto"/>
        </w:rPr>
        <w:t>Executive has been given at least twenty-one (21) days to consider this Release;</w:t>
      </w:r>
    </w:p>
    <w:p>
      <w:pPr>
        <w:spacing w:after="0" w:line="204" w:lineRule="exact"/>
        <w:rPr>
          <w:rFonts w:ascii="Arial" w:cs="Arial" w:eastAsia="Arial" w:hAnsi="Arial"/>
          <w:sz w:val="19"/>
          <w:szCs w:val="19"/>
          <w:color w:val="auto"/>
        </w:rPr>
      </w:pPr>
    </w:p>
    <w:p>
      <w:pPr>
        <w:ind w:left="540" w:right="20" w:firstLine="1300"/>
        <w:spacing w:after="0" w:line="234" w:lineRule="auto"/>
        <w:tabs>
          <w:tab w:leader="none" w:pos="2484" w:val="left"/>
        </w:tabs>
        <w:numPr>
          <w:ilvl w:val="2"/>
          <w:numId w:val="115"/>
        </w:numPr>
        <w:rPr>
          <w:rFonts w:ascii="Arial" w:cs="Arial" w:eastAsia="Arial" w:hAnsi="Arial"/>
          <w:sz w:val="19"/>
          <w:szCs w:val="19"/>
          <w:color w:val="auto"/>
        </w:rPr>
      </w:pPr>
      <w:r>
        <w:rPr>
          <w:rFonts w:ascii="Arial" w:cs="Arial" w:eastAsia="Arial" w:hAnsi="Arial"/>
          <w:sz w:val="21"/>
          <w:szCs w:val="21"/>
          <w:color w:val="auto"/>
        </w:rPr>
        <w:t>Executive has seven (7) days after signing this Release to revoke it, and Executive will not receive the severance benefits provided by that certain Severance Agreement among the Parties (the “</w:t>
      </w:r>
      <w:r>
        <w:rPr>
          <w:rFonts w:ascii="Arial" w:cs="Arial" w:eastAsia="Arial" w:hAnsi="Arial"/>
          <w:sz w:val="21"/>
          <w:szCs w:val="21"/>
          <w:u w:val="single" w:color="auto"/>
          <w:color w:val="auto"/>
        </w:rPr>
        <w:t>Severance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unless and until such seven (7) day period has expired. If Executive wishes to revoke this Release, Executive must deliver notice of Executive’s revocation in writing, no later than 5:00 p.m. on the 7th day following Executive’s execution of this Release to [_________].</w:t>
      </w:r>
    </w:p>
    <w:p>
      <w:pPr>
        <w:spacing w:after="0" w:line="172" w:lineRule="exact"/>
        <w:rPr>
          <w:rFonts w:ascii="Arial" w:cs="Arial" w:eastAsia="Arial" w:hAnsi="Arial"/>
          <w:sz w:val="19"/>
          <w:szCs w:val="19"/>
          <w:color w:val="auto"/>
        </w:rPr>
      </w:pPr>
    </w:p>
    <w:p>
      <w:pPr>
        <w:ind w:left="1200" w:hanging="413"/>
        <w:spacing w:after="0"/>
        <w:tabs>
          <w:tab w:leader="none" w:pos="1200" w:val="left"/>
        </w:tabs>
        <w:numPr>
          <w:ilvl w:val="0"/>
          <w:numId w:val="116"/>
        </w:numPr>
        <w:rPr>
          <w:rFonts w:ascii="Arial" w:cs="Arial" w:eastAsia="Arial" w:hAnsi="Arial"/>
          <w:sz w:val="20"/>
          <w:szCs w:val="20"/>
          <w:color w:val="auto"/>
        </w:rPr>
      </w:pPr>
      <w:r>
        <w:rPr>
          <w:rFonts w:ascii="Arial" w:cs="Arial" w:eastAsia="Arial" w:hAnsi="Arial"/>
          <w:sz w:val="22"/>
          <w:szCs w:val="22"/>
          <w:u w:val="single" w:color="auto"/>
          <w:color w:val="auto"/>
        </w:rPr>
        <w:t>Executive Representations</w:t>
      </w:r>
      <w:r>
        <w:rPr>
          <w:rFonts w:ascii="Arial" w:cs="Arial" w:eastAsia="Arial" w:hAnsi="Arial"/>
          <w:sz w:val="22"/>
          <w:szCs w:val="22"/>
          <w:color w:val="auto"/>
        </w:rPr>
        <w:t>. Executive represents and warrants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40"/>
          </w:cols>
          <w:pgMar w:left="1080" w:top="1440" w:right="479" w:bottom="1440" w:gutter="0" w:footer="0" w:header="0"/>
        </w:sectPr>
      </w:pPr>
    </w:p>
    <w:bookmarkStart w:id="159" w:name="page160"/>
    <w:bookmarkEnd w:id="159"/>
    <w:p>
      <w:pPr>
        <w:spacing w:after="0" w:line="353" w:lineRule="exact"/>
        <w:rPr>
          <w:sz w:val="20"/>
          <w:szCs w:val="20"/>
          <w:color w:val="auto"/>
        </w:rPr>
      </w:pPr>
    </w:p>
    <w:p>
      <w:pPr>
        <w:ind w:left="2340" w:hanging="540"/>
        <w:spacing w:after="0"/>
        <w:tabs>
          <w:tab w:leader="none" w:pos="2340" w:val="left"/>
        </w:tabs>
        <w:numPr>
          <w:ilvl w:val="1"/>
          <w:numId w:val="117"/>
        </w:numPr>
        <w:rPr>
          <w:rFonts w:ascii="Arial" w:cs="Arial" w:eastAsia="Arial" w:hAnsi="Arial"/>
          <w:sz w:val="19"/>
          <w:szCs w:val="19"/>
          <w:color w:val="auto"/>
        </w:rPr>
      </w:pPr>
      <w:r>
        <w:rPr>
          <w:rFonts w:ascii="Arial" w:cs="Arial" w:eastAsia="Arial" w:hAnsi="Arial"/>
          <w:sz w:val="21"/>
          <w:szCs w:val="21"/>
          <w:color w:val="auto"/>
        </w:rPr>
        <w:t>Executive has returned to the Company all Company property in Executive’s possession;</w:t>
      </w:r>
    </w:p>
    <w:p>
      <w:pPr>
        <w:spacing w:after="0" w:line="204" w:lineRule="exact"/>
        <w:rPr>
          <w:rFonts w:ascii="Arial" w:cs="Arial" w:eastAsia="Arial" w:hAnsi="Arial"/>
          <w:sz w:val="19"/>
          <w:szCs w:val="19"/>
          <w:color w:val="auto"/>
        </w:rPr>
      </w:pPr>
    </w:p>
    <w:p>
      <w:pPr>
        <w:ind w:left="500" w:right="260" w:firstLine="1300"/>
        <w:spacing w:after="0" w:line="238" w:lineRule="auto"/>
        <w:tabs>
          <w:tab w:leader="none" w:pos="2324" w:val="left"/>
        </w:tabs>
        <w:numPr>
          <w:ilvl w:val="1"/>
          <w:numId w:val="117"/>
        </w:numPr>
        <w:rPr>
          <w:rFonts w:ascii="Arial" w:cs="Arial" w:eastAsia="Arial" w:hAnsi="Arial"/>
          <w:sz w:val="19"/>
          <w:szCs w:val="19"/>
          <w:color w:val="auto"/>
        </w:rPr>
      </w:pPr>
      <w:r>
        <w:rPr>
          <w:rFonts w:ascii="Arial" w:cs="Arial" w:eastAsia="Arial" w:hAnsi="Arial"/>
          <w:sz w:val="21"/>
          <w:szCs w:val="21"/>
          <w:color w:val="auto"/>
        </w:rPr>
        <w:t>Executive is not owed wages, commissions, bonuses or other compensation, other than wages through the date of the termination of Executive’s employment and any accrued, unused vacation earned through such date, and any payments that become due under the Severance Agreement;</w:t>
      </w:r>
    </w:p>
    <w:p>
      <w:pPr>
        <w:spacing w:after="0" w:line="172" w:lineRule="exact"/>
        <w:rPr>
          <w:rFonts w:ascii="Arial" w:cs="Arial" w:eastAsia="Arial" w:hAnsi="Arial"/>
          <w:sz w:val="19"/>
          <w:szCs w:val="19"/>
          <w:color w:val="auto"/>
        </w:rPr>
      </w:pPr>
    </w:p>
    <w:p>
      <w:pPr>
        <w:jc w:val="both"/>
        <w:ind w:left="500" w:right="420" w:firstLine="1300"/>
        <w:spacing w:after="0" w:line="228" w:lineRule="auto"/>
        <w:tabs>
          <w:tab w:leader="none" w:pos="2326" w:val="left"/>
        </w:tabs>
        <w:numPr>
          <w:ilvl w:val="1"/>
          <w:numId w:val="117"/>
        </w:numPr>
        <w:rPr>
          <w:rFonts w:ascii="Arial" w:cs="Arial" w:eastAsia="Arial" w:hAnsi="Arial"/>
          <w:sz w:val="20"/>
          <w:szCs w:val="20"/>
          <w:color w:val="auto"/>
        </w:rPr>
      </w:pPr>
      <w:r>
        <w:rPr>
          <w:rFonts w:ascii="Arial" w:cs="Arial" w:eastAsia="Arial" w:hAnsi="Arial"/>
          <w:sz w:val="22"/>
          <w:szCs w:val="22"/>
          <w:color w:val="auto"/>
        </w:rPr>
        <w:t>During the course of Executive’s employment Executive did not sustain any injuries for which Executive might be entitled to compensation pursuant to worker’s compensation law or Executive has disclosed any injuries of which Executive is currently, reasonably aware for which Executive might be entitled to compensation pursuant to worker’s compensation law; and</w:t>
      </w:r>
    </w:p>
    <w:p>
      <w:pPr>
        <w:spacing w:after="0" w:line="159" w:lineRule="exact"/>
        <w:rPr>
          <w:rFonts w:ascii="Arial" w:cs="Arial" w:eastAsia="Arial" w:hAnsi="Arial"/>
          <w:sz w:val="20"/>
          <w:szCs w:val="20"/>
          <w:color w:val="auto"/>
        </w:rPr>
      </w:pPr>
    </w:p>
    <w:p>
      <w:pPr>
        <w:ind w:left="500" w:right="60" w:firstLine="1300"/>
        <w:spacing w:after="0" w:line="231" w:lineRule="auto"/>
        <w:tabs>
          <w:tab w:leader="none" w:pos="2324" w:val="left"/>
        </w:tabs>
        <w:numPr>
          <w:ilvl w:val="1"/>
          <w:numId w:val="117"/>
        </w:numPr>
        <w:rPr>
          <w:rFonts w:ascii="Arial" w:cs="Arial" w:eastAsia="Arial" w:hAnsi="Arial"/>
          <w:sz w:val="20"/>
          <w:szCs w:val="20"/>
          <w:color w:val="auto"/>
        </w:rPr>
      </w:pPr>
      <w:r>
        <w:rPr>
          <w:rFonts w:ascii="Arial" w:cs="Arial" w:eastAsia="Arial" w:hAnsi="Arial"/>
          <w:sz w:val="22"/>
          <w:szCs w:val="22"/>
          <w:color w:val="auto"/>
        </w:rPr>
        <w:t>Executive has not initiated any adversarial proceedings of any kind against the Company or against any other person or entity released herein, nor will Executive do so in the future, except as specifically allowed by this Release.</w:t>
      </w:r>
    </w:p>
    <w:p>
      <w:pPr>
        <w:spacing w:after="0" w:line="174" w:lineRule="exact"/>
        <w:rPr>
          <w:rFonts w:ascii="Arial" w:cs="Arial" w:eastAsia="Arial" w:hAnsi="Arial"/>
          <w:sz w:val="20"/>
          <w:szCs w:val="20"/>
          <w:color w:val="auto"/>
        </w:rPr>
      </w:pPr>
    </w:p>
    <w:p>
      <w:pPr>
        <w:ind w:right="840" w:firstLine="1287"/>
        <w:spacing w:after="0" w:line="239" w:lineRule="auto"/>
        <w:tabs>
          <w:tab w:leader="none" w:pos="1701" w:val="left"/>
        </w:tabs>
        <w:numPr>
          <w:ilvl w:val="0"/>
          <w:numId w:val="118"/>
        </w:numPr>
        <w:rPr>
          <w:rFonts w:ascii="Arial" w:cs="Arial" w:eastAsia="Arial" w:hAnsi="Arial"/>
          <w:sz w:val="20"/>
          <w:szCs w:val="20"/>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Release are severable. If any provision is held to be invalid or unenforceable, it shall not affect the validity or enforceability of any other provision.</w:t>
      </w:r>
    </w:p>
    <w:p>
      <w:pPr>
        <w:spacing w:after="0" w:line="157" w:lineRule="exact"/>
        <w:rPr>
          <w:rFonts w:ascii="Arial" w:cs="Arial" w:eastAsia="Arial" w:hAnsi="Arial"/>
          <w:sz w:val="20"/>
          <w:szCs w:val="20"/>
          <w:color w:val="auto"/>
        </w:rPr>
      </w:pPr>
    </w:p>
    <w:p>
      <w:pPr>
        <w:ind w:firstLine="1287"/>
        <w:spacing w:after="0" w:line="231" w:lineRule="auto"/>
        <w:tabs>
          <w:tab w:leader="none" w:pos="1701" w:val="left"/>
        </w:tabs>
        <w:numPr>
          <w:ilvl w:val="0"/>
          <w:numId w:val="118"/>
        </w:numPr>
        <w:rPr>
          <w:rFonts w:ascii="Arial" w:cs="Arial" w:eastAsia="Arial" w:hAnsi="Arial"/>
          <w:sz w:val="20"/>
          <w:szCs w:val="20"/>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Release shall in all respects be governed and construed in accordance with the laws of the State of Texas, including all matters of construction, validity and performance, without regard to conflicts of law principles.</w:t>
      </w:r>
    </w:p>
    <w:p>
      <w:pPr>
        <w:spacing w:after="0" w:line="174" w:lineRule="exact"/>
        <w:rPr>
          <w:rFonts w:ascii="Arial" w:cs="Arial" w:eastAsia="Arial" w:hAnsi="Arial"/>
          <w:sz w:val="20"/>
          <w:szCs w:val="20"/>
          <w:color w:val="auto"/>
        </w:rPr>
      </w:pPr>
    </w:p>
    <w:p>
      <w:pPr>
        <w:ind w:right="120" w:firstLine="1287"/>
        <w:spacing w:after="0" w:line="267" w:lineRule="auto"/>
        <w:tabs>
          <w:tab w:leader="none" w:pos="1701" w:val="left"/>
        </w:tabs>
        <w:numPr>
          <w:ilvl w:val="0"/>
          <w:numId w:val="118"/>
        </w:numPr>
        <w:rPr>
          <w:rFonts w:ascii="Arial" w:cs="Arial" w:eastAsia="Arial" w:hAnsi="Arial"/>
          <w:sz w:val="18"/>
          <w:szCs w:val="18"/>
          <w:color w:val="auto"/>
        </w:rPr>
      </w:pPr>
      <w:r>
        <w:rPr>
          <w:rFonts w:ascii="Arial" w:cs="Arial" w:eastAsia="Arial" w:hAnsi="Arial"/>
          <w:sz w:val="19"/>
          <w:szCs w:val="19"/>
          <w:u w:val="single" w:color="auto"/>
          <w:color w:val="auto"/>
        </w:rPr>
        <w:t>Integration Clause</w:t>
      </w:r>
      <w:r>
        <w:rPr>
          <w:rFonts w:ascii="Arial" w:cs="Arial" w:eastAsia="Arial" w:hAnsi="Arial"/>
          <w:sz w:val="19"/>
          <w:szCs w:val="19"/>
          <w:color w:val="auto"/>
        </w:rPr>
        <w:t>. This Release and the Severance Agreement contain the Parties’ entire agreement with regard to the separation of Executive’s employment, and supersede and replace any prior agreements as to those matters, whether oral or written. This Release may not be changed or modified, in whole or in part, except by an instrument in writing signed by Executive and a duly authorized officer or director of the Company.</w:t>
      </w:r>
    </w:p>
    <w:p>
      <w:pPr>
        <w:spacing w:after="0" w:line="148" w:lineRule="exact"/>
        <w:rPr>
          <w:rFonts w:ascii="Arial" w:cs="Arial" w:eastAsia="Arial" w:hAnsi="Arial"/>
          <w:sz w:val="18"/>
          <w:szCs w:val="18"/>
          <w:color w:val="auto"/>
        </w:rPr>
      </w:pPr>
    </w:p>
    <w:p>
      <w:pPr>
        <w:ind w:right="400" w:firstLine="1287"/>
        <w:spacing w:after="0" w:line="227" w:lineRule="auto"/>
        <w:tabs>
          <w:tab w:leader="none" w:pos="1701" w:val="left"/>
        </w:tabs>
        <w:numPr>
          <w:ilvl w:val="0"/>
          <w:numId w:val="118"/>
        </w:numPr>
        <w:rPr>
          <w:rFonts w:ascii="Arial" w:cs="Arial" w:eastAsia="Arial" w:hAnsi="Arial"/>
          <w:sz w:val="20"/>
          <w:szCs w:val="20"/>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Release may be executed in counterparts with the same force and effectiveness as though executed in a single document. Facsimile signatures shall have the same force and effectiveness as original signatures.</w:t>
      </w:r>
    </w:p>
    <w:p>
      <w:pPr>
        <w:spacing w:after="0" w:line="173" w:lineRule="exact"/>
        <w:rPr>
          <w:rFonts w:ascii="Arial" w:cs="Arial" w:eastAsia="Arial" w:hAnsi="Arial"/>
          <w:sz w:val="20"/>
          <w:szCs w:val="20"/>
          <w:color w:val="auto"/>
        </w:rPr>
      </w:pPr>
    </w:p>
    <w:p>
      <w:pPr>
        <w:ind w:right="160" w:firstLine="1287"/>
        <w:spacing w:after="0" w:line="260" w:lineRule="auto"/>
        <w:tabs>
          <w:tab w:leader="none" w:pos="1701" w:val="left"/>
        </w:tabs>
        <w:numPr>
          <w:ilvl w:val="0"/>
          <w:numId w:val="118"/>
        </w:numPr>
        <w:rPr>
          <w:rFonts w:ascii="Arial" w:cs="Arial" w:eastAsia="Arial" w:hAnsi="Arial"/>
          <w:sz w:val="19"/>
          <w:szCs w:val="19"/>
          <w:color w:val="auto"/>
        </w:rPr>
      </w:pPr>
      <w:r>
        <w:rPr>
          <w:rFonts w:ascii="Arial" w:cs="Arial" w:eastAsia="Arial" w:hAnsi="Arial"/>
          <w:sz w:val="21"/>
          <w:szCs w:val="21"/>
          <w:u w:val="single" w:color="auto"/>
          <w:color w:val="auto"/>
        </w:rPr>
        <w:t>Intent to be Bound</w:t>
      </w:r>
      <w:r>
        <w:rPr>
          <w:rFonts w:ascii="Arial" w:cs="Arial" w:eastAsia="Arial" w:hAnsi="Arial"/>
          <w:sz w:val="21"/>
          <w:szCs w:val="21"/>
          <w:color w:val="auto"/>
        </w:rPr>
        <w:t>. The Parties have carefully read this Release in its entirety; fully understand and agree to its terms and provisions; and intend and agree that it is final and binding on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60"/>
          </w:cols>
          <w:pgMar w:left="580" w:top="1440" w:right="359" w:bottom="1440" w:gutter="0" w:footer="0" w:header="0"/>
        </w:sectPr>
      </w:pPr>
    </w:p>
    <w:bookmarkStart w:id="160" w:name="page161"/>
    <w:bookmarkEnd w:id="160"/>
    <w:p>
      <w:pPr>
        <w:spacing w:after="0" w:line="36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IN WITNESS WHEREOF, and intending to be legally bound, the Parties have executed the foregoing on the dates shown below.</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AMERICAN AIRLINES GROUP, INC.</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By:</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13335</wp:posOffset>
            </wp:positionV>
            <wp:extent cx="30003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AMERICAN AIRLINES, INC.</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By:</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13335</wp:posOffset>
            </wp:positionV>
            <wp:extent cx="30003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294005</wp:posOffset>
            </wp:positionV>
            <wp:extent cx="34715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13335</wp:posOffset>
            </wp:positionV>
            <wp:extent cx="28200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80"/>
          </w:cols>
          <w:pgMar w:left="320" w:top="1440" w:right="799" w:bottom="1440" w:gutter="0" w:footer="0" w:header="0"/>
        </w:sectPr>
      </w:pPr>
    </w:p>
    <w:bookmarkStart w:id="161" w:name="page162"/>
    <w:bookmarkEnd w:id="161"/>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 AGREEMENT</w:t>
      </w:r>
    </w:p>
    <w:p>
      <w:pPr>
        <w:spacing w:after="0" w:line="239" w:lineRule="exact"/>
        <w:rPr>
          <w:sz w:val="20"/>
          <w:szCs w:val="20"/>
          <w:color w:val="auto"/>
        </w:rPr>
      </w:pPr>
    </w:p>
    <w:p>
      <w:pPr>
        <w:jc w:val="both"/>
        <w:ind w:firstLine="385"/>
        <w:spacing w:after="0" w:line="278" w:lineRule="auto"/>
        <w:rPr>
          <w:sz w:val="20"/>
          <w:szCs w:val="20"/>
          <w:color w:val="auto"/>
        </w:rPr>
      </w:pPr>
      <w:r>
        <w:rPr>
          <w:rFonts w:ascii="Arial" w:cs="Arial" w:eastAsia="Arial" w:hAnsi="Arial"/>
          <w:sz w:val="19"/>
          <w:szCs w:val="19"/>
          <w:color w:val="auto"/>
        </w:rPr>
        <w:t>This Restrictive Covenants Agreement (“</w:t>
      </w:r>
      <w:r>
        <w:rPr>
          <w:rFonts w:ascii="Arial" w:cs="Arial" w:eastAsia="Arial" w:hAnsi="Arial"/>
          <w:sz w:val="19"/>
          <w:szCs w:val="19"/>
          <w:b w:val="1"/>
          <w:bCs w:val="1"/>
          <w:i w:val="1"/>
          <w:iCs w:val="1"/>
          <w:color w:val="auto"/>
        </w:rPr>
        <w:t>Restrictive Covenants Agreement</w:t>
      </w:r>
      <w:r>
        <w:rPr>
          <w:rFonts w:ascii="Arial" w:cs="Arial" w:eastAsia="Arial" w:hAnsi="Arial"/>
          <w:sz w:val="19"/>
          <w:szCs w:val="19"/>
          <w:color w:val="auto"/>
        </w:rPr>
        <w:t>”) is entered into by and between American Airlines Group, Inc. on behalf of itself, its subsidiaries, and other affiliates (collectively referred to herein as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Robert D. Isom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as of September 20,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as consideration for and ancillary to the Company’s agreement to enter into the severance agreement to which this Restrictive Covenants Agreement is attached (the “</w:t>
      </w:r>
      <w:r>
        <w:rPr>
          <w:rFonts w:ascii="Arial" w:cs="Arial" w:eastAsia="Arial" w:hAnsi="Arial"/>
          <w:sz w:val="19"/>
          <w:szCs w:val="19"/>
          <w:b w:val="1"/>
          <w:bCs w:val="1"/>
          <w:i w:val="1"/>
          <w:iCs w:val="1"/>
          <w:color w:val="auto"/>
        </w:rPr>
        <w:t>Severance Agreement</w:t>
      </w:r>
      <w:r>
        <w:rPr>
          <w:rFonts w:ascii="Arial" w:cs="Arial" w:eastAsia="Arial" w:hAnsi="Arial"/>
          <w:sz w:val="19"/>
          <w:szCs w:val="19"/>
          <w:color w:val="auto"/>
        </w:rPr>
        <w:t>”), and to protect the goodwill and other legitimate business interests of the Company.</w:t>
      </w:r>
    </w:p>
    <w:p>
      <w:pPr>
        <w:spacing w:after="0" w:line="179" w:lineRule="exact"/>
        <w:rPr>
          <w:sz w:val="20"/>
          <w:szCs w:val="20"/>
          <w:color w:val="auto"/>
        </w:rPr>
      </w:pPr>
    </w:p>
    <w:p>
      <w:pPr>
        <w:jc w:val="both"/>
        <w:ind w:left="180" w:firstLine="638"/>
        <w:spacing w:after="0" w:line="275" w:lineRule="auto"/>
        <w:tabs>
          <w:tab w:leader="none" w:pos="1314"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In furtherance of Executive’s job duties, the Company agrees to provide Executive with access to and use of certain of the Company’s confidential or proprietary information that the Company deems necessary and reasonable for Executive to perform Executive’s job duties, Executive agrees to safeguard the confidentiality of such information, and to not use or disclose any of the Company’s confidential or proprietary information without the Company’s written approval, except as reasonably necessary to carry out Executive’s job duties. For the avoidance of doubt, the foregoing restrictions shall not apply to information that is or becomes generally known in the public through lawful means, and not through a breach of this Restrictive Covenants Agreement or other legal or contractual obligation. In addition, Executive acknowledges that Executive continues to be bound by the confidentiality provisions contained in the Company’s Standards of Business Conduct, the terms and conditions of which are incorporated herein by reference. Nothing herein shall be deemed to limit in any way Executive’s obligations under the Company’s Standards of Business Conduct. In the event of any conflict between the terms hereof and the terms of the Company’s Standards of Business Conduct, the more restrictive terms shall prevail. For the avoidance of doubt, nothing in this Restrictive Covenants Agreement or the Company’s Standards of Business Conduct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provided, however, that Executive may not disclose information of the Company or any of their affiliates that is protected by the attorney-client privilege, except as otherwise required by law. Executive does not need the prior authorization of the Company to make any such reports or disclosures, and Executive is not required to notify the Company that Executive has made such reports or disclosures. Executive acknowledges receipt of notice of immunity rights under the U.S. Defend Trade Secrets Act, which states: (1) an individual shall not be held criminally or civilly liable under any federal or state trade secret law for the disclosure of a trade secret that is made (A) in confidence to a federal, state, or local government official, either directly or indirectly, or to an attorney, solely for the purpose of reporting or investigating a suspected violation of law; or (B) in a complaint or other document filed in a lawsuit or other proceeding, if such filing is made under seal; and (2) an individual who files a lawsuit for retaliation by an employer for reporting a suspected violation of law may disclose the trade secret to the attorney of the individual and use the trade secret information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366" w:lineRule="exact"/>
        <w:rPr>
          <w:sz w:val="20"/>
          <w:szCs w:val="20"/>
          <w:color w:val="auto"/>
        </w:rPr>
      </w:pPr>
    </w:p>
    <w:p>
      <w:pPr>
        <w:ind w:left="180"/>
        <w:spacing w:after="0" w:line="250" w:lineRule="auto"/>
        <w:rPr>
          <w:sz w:val="20"/>
          <w:szCs w:val="20"/>
          <w:color w:val="auto"/>
        </w:rPr>
      </w:pPr>
      <w:r>
        <w:rPr>
          <w:rFonts w:ascii="Arial" w:cs="Arial" w:eastAsia="Arial" w:hAnsi="Arial"/>
          <w:sz w:val="22"/>
          <w:szCs w:val="22"/>
          <w:color w:val="auto"/>
        </w:rPr>
        <w:t>court proceeding, if the individual files any document containing the trade secret under seal and does not disclose the trade secret, except pursuant to court order.</w:t>
      </w:r>
    </w:p>
    <w:p>
      <w:pPr>
        <w:spacing w:after="0" w:line="188" w:lineRule="exact"/>
        <w:rPr>
          <w:sz w:val="20"/>
          <w:szCs w:val="20"/>
          <w:color w:val="auto"/>
        </w:rPr>
      </w:pPr>
    </w:p>
    <w:p>
      <w:pPr>
        <w:ind w:left="1300" w:hanging="482"/>
        <w:spacing w:after="0"/>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59" w:lineRule="auto"/>
        <w:tabs>
          <w:tab w:leader="none" w:pos="1941" w:val="left"/>
        </w:tabs>
        <w:numPr>
          <w:ilvl w:val="1"/>
          <w:numId w:val="120"/>
        </w:numPr>
        <w:rPr>
          <w:rFonts w:ascii="Arial" w:cs="Arial" w:eastAsia="Arial" w:hAnsi="Arial"/>
          <w:sz w:val="19"/>
          <w:szCs w:val="19"/>
          <w:color w:val="auto"/>
        </w:rPr>
      </w:pPr>
      <w:r>
        <w:rPr>
          <w:rFonts w:ascii="Arial" w:cs="Arial" w:eastAsia="Arial" w:hAnsi="Arial"/>
          <w:sz w:val="19"/>
          <w:szCs w:val="19"/>
          <w:color w:val="auto"/>
        </w:rPr>
        <w:t>Executive acknowledges that during the course of Executive’s employment (which as used in this Restrictive Covenants Agreement shall include engagement as an independent contractor or other non-employee role as well) with the Company, Executive has and shall become familiar with the Company’s corporate strategy, pricing and other market information, know-how, trade secrets, and valuable customer, supplier and employee relationships, and with other confidential or proprietary information concerning the Company, and that Executive’s services shall be of special, unique and extraordinary value to the Company. Executive also acknowledges that the Company’s business, through (A) the location of its customers and facilities and (B) the area in which its services are offered, is international in scope and extends worldwide. Accordingly, Executive agrees that, during Executive’s employment with the Company and for twelve (12) months thereafter (unless some longer period is specified in any other agreement between Executive and the Company) (the “</w:t>
      </w:r>
      <w:r>
        <w:rPr>
          <w:rFonts w:ascii="Arial" w:cs="Arial" w:eastAsia="Arial" w:hAnsi="Arial"/>
          <w:sz w:val="19"/>
          <w:szCs w:val="19"/>
          <w:b w:val="1"/>
          <w:bCs w:val="1"/>
          <w:i w:val="1"/>
          <w:iCs w:val="1"/>
          <w:color w:val="auto"/>
        </w:rPr>
        <w:t>Noncompete Period</w:t>
      </w:r>
      <w:r>
        <w:rPr>
          <w:rFonts w:ascii="Arial" w:cs="Arial" w:eastAsia="Arial" w:hAnsi="Arial"/>
          <w:sz w:val="19"/>
          <w:szCs w:val="19"/>
          <w:color w:val="auto"/>
        </w:rPr>
        <w:t>”), Executive shall not directly or indirectly: (i) own any interest in, manage, control, or in any other manner engage in, or take significant steps to engage in, any Competing Business (as defined on Annex 1 to this Agreement), provided nothing herein shall prohibit Executive from being a passive owner of not more than two percent (2%) of the outstanding stock of any class of the stock of a corporation which is publicly traded, so long as Executive has no active participation in the business of such corporation, or (ii) be employed by, consult with, or render services to any Competing Business, whether as an employee, consultant, contractor, advisor, member, director, or otherwise, in a role that is similar to any role Executive held at any time while employed by the Company, that is executive or managerial in nature, or in which Executive could reasonably be expected to use or disclose any of confidential or proprietary information of the Company, in either case (i) or (ii), in any state, country and area where the Company conducts business during Executive’s employment with the Company or has material plans to conduct business as of the termination of such employment (the “</w:t>
      </w:r>
      <w:r>
        <w:rPr>
          <w:rFonts w:ascii="Arial" w:cs="Arial" w:eastAsia="Arial" w:hAnsi="Arial"/>
          <w:sz w:val="19"/>
          <w:szCs w:val="19"/>
          <w:b w:val="1"/>
          <w:bCs w:val="1"/>
          <w:i w:val="1"/>
          <w:iCs w:val="1"/>
          <w:color w:val="auto"/>
        </w:rPr>
        <w:t>Geographic Area</w:t>
      </w:r>
      <w:r>
        <w:rPr>
          <w:rFonts w:ascii="Arial" w:cs="Arial" w:eastAsia="Arial" w:hAnsi="Arial"/>
          <w:sz w:val="19"/>
          <w:szCs w:val="19"/>
          <w:color w:val="auto"/>
        </w:rPr>
        <w:t>”).</w:t>
      </w:r>
    </w:p>
    <w:p>
      <w:pPr>
        <w:spacing w:after="0" w:line="399" w:lineRule="exact"/>
        <w:rPr>
          <w:rFonts w:ascii="Arial" w:cs="Arial" w:eastAsia="Arial" w:hAnsi="Arial"/>
          <w:sz w:val="19"/>
          <w:szCs w:val="19"/>
          <w:color w:val="auto"/>
        </w:rPr>
      </w:pPr>
    </w:p>
    <w:p>
      <w:pPr>
        <w:jc w:val="both"/>
        <w:ind w:firstLine="1304"/>
        <w:spacing w:after="0" w:line="261" w:lineRule="auto"/>
        <w:tabs>
          <w:tab w:leader="none" w:pos="1939" w:val="left"/>
        </w:tabs>
        <w:numPr>
          <w:ilvl w:val="1"/>
          <w:numId w:val="120"/>
        </w:numPr>
        <w:rPr>
          <w:rFonts w:ascii="Arial" w:cs="Arial" w:eastAsia="Arial" w:hAnsi="Arial"/>
          <w:sz w:val="19"/>
          <w:szCs w:val="19"/>
          <w:color w:val="auto"/>
        </w:rPr>
      </w:pPr>
      <w:r>
        <w:rPr>
          <w:rFonts w:ascii="Arial" w:cs="Arial" w:eastAsia="Arial" w:hAnsi="Arial"/>
          <w:sz w:val="19"/>
          <w:szCs w:val="19"/>
          <w:color w:val="auto"/>
        </w:rPr>
        <w:t>During Executive’s employment with the Company and for twenty-four (24) months thereafter (the “</w:t>
      </w:r>
      <w:r>
        <w:rPr>
          <w:rFonts w:ascii="Arial" w:cs="Arial" w:eastAsia="Arial" w:hAnsi="Arial"/>
          <w:sz w:val="19"/>
          <w:szCs w:val="19"/>
          <w:b w:val="1"/>
          <w:bCs w:val="1"/>
          <w:i w:val="1"/>
          <w:iCs w:val="1"/>
          <w:color w:val="auto"/>
        </w:rPr>
        <w:t>Non-Solicit Period</w:t>
      </w:r>
      <w:r>
        <w:rPr>
          <w:rFonts w:ascii="Arial" w:cs="Arial" w:eastAsia="Arial" w:hAnsi="Arial"/>
          <w:sz w:val="19"/>
          <w:szCs w:val="19"/>
          <w:color w:val="auto"/>
        </w:rPr>
        <w:t>”), Executive shall not directly or indirectly through another individual, corporation, partnership, limited liability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joint venture, estate, trust, association, unincorporated organization or other entity or group (A) solicit for employment or hire, employ or hire, or otherwise induce or attempt to induce any employee, consultant or other service provider of the Company to leave the employ or engagement of the Company, or in any way interfere with the relationship between the Company and any employee, consultant, or other service provider thereof, (B) solicit the business of or offer or provide services that are similar to the Company’s services to any of the Company’s customers, or (C) induce or encourage any customer, supplier, licensee, licensor or other business relation of the Company to cease doing business with the Company, or in any way interfere with the relationship between any such customer, supplier, licensee, licensor or business relation and the Company (including, without limitation, making any negative or disparaging statements or communications regarding the Company) in the Geographic Area; provided, that the foregoing shall be limited to such employees, consultants, service providers, customers, suppliers, licensees, licensors or other business relations with which Executive had business dealings or about whom or which Executive acquired information or had access to the Company’s confidential information about the customer, employee, consultant, service provider, suppliers, licensee or licensor during Executive’s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366" w:lineRule="exact"/>
        <w:rPr>
          <w:sz w:val="20"/>
          <w:szCs w:val="20"/>
          <w:color w:val="auto"/>
        </w:rPr>
      </w:pPr>
    </w:p>
    <w:p>
      <w:pPr>
        <w:jc w:val="both"/>
        <w:ind w:firstLine="818"/>
        <w:spacing w:after="0" w:line="260" w:lineRule="auto"/>
        <w:tabs>
          <w:tab w:leader="none" w:pos="1296"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If, at the time of enforcement of Sections 1 or 2, a court or other governing body shall hold that the limitations as to time, geographic area or scope of activity stated herein are unreasonable under circumstances then existing, Executive agrees that the maximum limitations as to time, geographic area or scope of activity that are reasonable under such circumstances shall be substituted for the stated limitations and that the court or other governing body shall reform the restrictions contained herein to cover the maximum period, scope and area permitted by law. Executive acknowledges that the restrictions contained in Sections 1 and 2 are reasonable and necessary for the protection of the Company’s confidential information, goodwill and other legitimate business interests. Executive acknowledges that any breach or threatened breach of the provisions of Sections 1 or 2 would cause the Company irreparable harm. Accordingly, in addition to other rights and remedies existing in its favor, the Company shall be entitled to seek specific performance and/or injunctive or other equitable relief from a court of competent jurisdiction in order to enforce or prevent any violations of the provisions hereof (without posting a bond or other security). Further, in the event of an alleged breach or violation of Section 1 or 2 by Executive, the Noncompete Period or Non-Solicit Period, as applicable, shall be tolled until such breach or violation has been duly cured and the Noncompete Period or Non-Solicit Period, as applicable, shall be extended by the period of time during which Executive was in breach of the restrictive covenants. The parties agree that because the Company is based in Texas and this Restrictive Covenants Agreement was negotiated, entered into and is performable in whole or in part in Texas, the laws of the State of Texas shall govern this Restrictive Covenants Agreement.</w:t>
      </w:r>
    </w:p>
    <w:p>
      <w:pPr>
        <w:spacing w:after="0" w:line="391" w:lineRule="exact"/>
        <w:rPr>
          <w:rFonts w:ascii="Arial" w:cs="Arial" w:eastAsia="Arial" w:hAnsi="Arial"/>
          <w:sz w:val="19"/>
          <w:szCs w:val="19"/>
          <w:color w:val="auto"/>
        </w:rPr>
      </w:pPr>
    </w:p>
    <w:p>
      <w:pPr>
        <w:jc w:val="both"/>
        <w:ind w:firstLine="656"/>
        <w:spacing w:after="0" w:line="229" w:lineRule="auto"/>
        <w:tabs>
          <w:tab w:leader="none" w:pos="1296"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No Restriction on Earning a Living</w:t>
      </w:r>
      <w:r>
        <w:rPr>
          <w:rFonts w:ascii="Arial" w:cs="Arial" w:eastAsia="Arial" w:hAnsi="Arial"/>
          <w:sz w:val="22"/>
          <w:szCs w:val="22"/>
          <w:color w:val="auto"/>
        </w:rPr>
        <w:t>. By Executive’s entrance into the Severance Agreement and this Restrictive Covenants Agreement, Executive hereby acknowledges that the provisions of this Restrictive Covenants Agreement do not preclude Executive from earning a livelihood, nor do they unreasonably impose limitations on Executive’s ability to earn a living. In addition, Executive hereby acknowledges that the potential harm to the Company of non-enforcement of this Restrictive Covenants Agreement outweighs any harm to Executive of enforcement (by injunction or otherwise) of this Restrictive Covenants Agreement against Executive.</w:t>
      </w:r>
    </w:p>
    <w:p>
      <w:pPr>
        <w:spacing w:after="0" w:line="171"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Breach</w:t>
      </w:r>
      <w:r>
        <w:rPr>
          <w:rFonts w:ascii="Arial" w:cs="Arial" w:eastAsia="Arial" w:hAnsi="Arial"/>
          <w:sz w:val="19"/>
          <w:szCs w:val="19"/>
          <w:color w:val="auto"/>
        </w:rPr>
        <w:t>. If at any time before or after the date Executive’s employment or other service relationship with the Company is terminated, Executive breaches any of the obligations under this Restrictive Covenants Agreement, then, in addition to all other legal and equitable remedies available to the Company, the Company may, by delivery of written notice to Executive within ninety (90) days after its actual knowledge of such breach, terminate Executive’s right to receive any unpaid severance benefits and any unvested portion of any equity awards, require the repayment of any severance benefits previously paid and elect to purchase all or any portion of the Company common stock issued to Executive (to the extent not previously repurchased) upon vesting or exercise of an equity award at a price per share equal to the lower of fair market value as of the date of repurchase or the original purchase price paid by Executive. In the event Executive disposes of the shares of Company common stock acquired upon vesting or exercise of equity awards prior to the Company exercising its repurchase right pursuant to the preceding sentence, then Executive agrees to, within 10 days after receiving the Company’s written notice in accordance with this Section 5, remit to the Company an amount equal to the fair market value of the shares of Company common stock so disposed, calculated as of the date Executive disposed of the shares of Company common stock. Each written notice in accordance with this Section 5 will identify the shares of Company common stock to be acquired from Executive, the repurchase price of such Company common stock and the time and place for the closing of the transaction. At the closing,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366"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Company shall pay the repurchase price to Executive, and Executive shall transfer the shares of Company common stock being repurchased to the Company or the fair market value of such shares of Company common stock as of the date Executive disposed of them, as applicable. Executive hereby appoints the Company as Executive’s attorney-in-fact to facilitate and effect any such repurchase.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234"/>
        <w:spacing w:after="0" w:line="239" w:lineRule="auto"/>
        <w:rPr>
          <w:sz w:val="20"/>
          <w:szCs w:val="20"/>
          <w:color w:val="auto"/>
        </w:rPr>
      </w:pPr>
      <w:r>
        <w:rPr>
          <w:rFonts w:ascii="Arial" w:cs="Arial" w:eastAsia="Arial" w:hAnsi="Arial"/>
          <w:sz w:val="22"/>
          <w:szCs w:val="22"/>
          <w:color w:val="auto"/>
        </w:rPr>
        <w:t>IN WITNESS WHEREOF, the Company and Executive have executed this Restrictive Covenants Agreement as of the Effective Date above.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American Airlines Group, Inc.</w:t>
      </w:r>
    </w:p>
    <w:p>
      <w:pPr>
        <w:spacing w:after="0" w:line="3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By: /s/ Grant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3274695</wp:posOffset>
            </wp:positionH>
            <wp:positionV relativeFrom="paragraph">
              <wp:posOffset>-17780</wp:posOffset>
            </wp:positionV>
            <wp:extent cx="11880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2"/>
          <w:szCs w:val="22"/>
          <w:color w:val="auto"/>
        </w:rPr>
        <w:t>Name: Grant McGee</w:t>
      </w:r>
    </w:p>
    <w:p>
      <w:pPr>
        <w:spacing w:after="0" w:line="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Title: Vice President, Corporate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EXECUTIVE</w:t>
      </w: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 /s/ Robert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-17780</wp:posOffset>
            </wp:positionV>
            <wp:extent cx="11201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Print Name: _Robert Isom__________________________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Restrictive Covenants Agreement</w:t>
      </w:r>
      <w:r>
        <w:rPr>
          <w:rFonts w:ascii="Arial" w:cs="Arial" w:eastAsia="Arial" w:hAnsi="Arial"/>
          <w:sz w:val="22"/>
          <w:szCs w:val="22"/>
          <w:color w:val="auto"/>
        </w:rPr>
        <w:t>]</w:t>
      </w:r>
    </w:p>
    <w:p>
      <w:pPr>
        <w:sectPr>
          <w:pgSz w:w="11900" w:h="16838" w:orient="portrait"/>
          <w:cols w:equalWidth="0" w:num="1">
            <w:col w:w="10500"/>
          </w:cols>
          <w:pgMar w:left="320" w:top="1440" w:right="107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w:t>
      </w:r>
    </w:p>
    <w:p>
      <w:pPr>
        <w:spacing w:after="0" w:line="233" w:lineRule="exact"/>
        <w:rPr>
          <w:sz w:val="20"/>
          <w:szCs w:val="20"/>
          <w:color w:val="auto"/>
        </w:rPr>
      </w:pPr>
    </w:p>
    <w:p>
      <w:pPr>
        <w:jc w:val="center"/>
        <w:ind w:left="1700" w:right="1699"/>
        <w:spacing w:after="0" w:line="461" w:lineRule="auto"/>
        <w:rPr>
          <w:sz w:val="20"/>
          <w:szCs w:val="20"/>
          <w:color w:val="auto"/>
        </w:rPr>
      </w:pPr>
      <w:r>
        <w:rPr>
          <w:rFonts w:ascii="Arial" w:cs="Arial" w:eastAsia="Arial" w:hAnsi="Arial"/>
          <w:sz w:val="22"/>
          <w:szCs w:val="22"/>
          <w:b w:val="1"/>
          <w:bCs w:val="1"/>
          <w:u w:val="single" w:color="auto"/>
          <w:color w:val="auto"/>
        </w:rPr>
        <w:t xml:space="preserve">Restrictive Covenants Agreement Competing Business Definition </w:t>
      </w:r>
      <w:r>
        <w:rPr>
          <w:rFonts w:ascii="Arial" w:cs="Arial" w:eastAsia="Arial" w:hAnsi="Arial"/>
          <w:sz w:val="22"/>
          <w:szCs w:val="22"/>
          <w:color w:val="auto"/>
        </w:rPr>
        <w:t>Intentionally omitted pursuant to Regulation S-K, Item 601(a)(5)</w:t>
      </w:r>
    </w:p>
    <w:p>
      <w:pPr>
        <w:sectPr>
          <w:pgSz w:w="11900" w:h="16838" w:orient="portrait"/>
          <w:cols w:equalWidth="0" w:num="1">
            <w:col w:w="9019"/>
          </w:cols>
          <w:pgMar w:left="1440" w:top="1440"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 FOR EXECUTIVES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This Severance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by and among Stephen L. Johnson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American Airlines Group, Inc., a Delaware corporation (“</w:t>
      </w:r>
      <w:r>
        <w:rPr>
          <w:rFonts w:ascii="Arial" w:cs="Arial" w:eastAsia="Arial" w:hAnsi="Arial"/>
          <w:sz w:val="21"/>
          <w:szCs w:val="21"/>
          <w:b w:val="1"/>
          <w:bCs w:val="1"/>
          <w:i w:val="1"/>
          <w:iCs w:val="1"/>
          <w:color w:val="auto"/>
        </w:rPr>
        <w:t>Group</w:t>
      </w:r>
      <w:r>
        <w:rPr>
          <w:rFonts w:ascii="Arial" w:cs="Arial" w:eastAsia="Arial" w:hAnsi="Arial"/>
          <w:sz w:val="21"/>
          <w:szCs w:val="21"/>
          <w:color w:val="auto"/>
        </w:rPr>
        <w:t>”), and American Airlines, Inc., a Delaware corporation and a wholly-owned subsidiary of Group (“</w:t>
      </w:r>
      <w:r>
        <w:rPr>
          <w:rFonts w:ascii="Arial" w:cs="Arial" w:eastAsia="Arial" w:hAnsi="Arial"/>
          <w:sz w:val="21"/>
          <w:szCs w:val="21"/>
          <w:b w:val="1"/>
          <w:bCs w:val="1"/>
          <w:i w:val="1"/>
          <w:iCs w:val="1"/>
          <w:color w:val="auto"/>
        </w:rPr>
        <w:t>American</w:t>
      </w:r>
      <w:r>
        <w:rPr>
          <w:rFonts w:ascii="Arial" w:cs="Arial" w:eastAsia="Arial" w:hAnsi="Arial"/>
          <w:sz w:val="21"/>
          <w:szCs w:val="21"/>
          <w:color w:val="auto"/>
        </w:rPr>
        <w:t>” and, together with Group,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effective as of the latest date set forth by the signatures of the parties hereto below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166" w:lineRule="exact"/>
        <w:rPr>
          <w:sz w:val="20"/>
          <w:szCs w:val="20"/>
          <w:color w:val="auto"/>
        </w:rPr>
      </w:pPr>
    </w:p>
    <w:p>
      <w:pPr>
        <w:jc w:val="both"/>
        <w:ind w:firstLine="656"/>
        <w:spacing w:after="0"/>
        <w:tabs>
          <w:tab w:leader="none" w:pos="129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Company believes that it is imperative to provide Executive with severance benefits upon certain terminations of Executive’s service to the Company that enhance Executive’s financial security and provide incentive and encouragement to Executive to remain with the Company.</w:t>
      </w:r>
    </w:p>
    <w:p>
      <w:pPr>
        <w:spacing w:after="0" w:line="145" w:lineRule="exact"/>
        <w:rPr>
          <w:rFonts w:ascii="Arial" w:cs="Arial" w:eastAsia="Arial" w:hAnsi="Arial"/>
          <w:sz w:val="22"/>
          <w:szCs w:val="22"/>
          <w:color w:val="auto"/>
        </w:rPr>
      </w:pPr>
    </w:p>
    <w:p>
      <w:pPr>
        <w:ind w:left="1120" w:hanging="464"/>
        <w:spacing w:after="0"/>
        <w:tabs>
          <w:tab w:leader="none" w:pos="112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Unless otherwise defined herein, capitalized terms used in this Agreement are defined in Section 9 below.</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agree as follows:</w:t>
      </w:r>
    </w:p>
    <w:p>
      <w:pPr>
        <w:spacing w:after="0" w:line="166" w:lineRule="exact"/>
        <w:rPr>
          <w:sz w:val="20"/>
          <w:szCs w:val="20"/>
          <w:color w:val="auto"/>
        </w:rPr>
      </w:pPr>
    </w:p>
    <w:p>
      <w:pPr>
        <w:ind w:right="200" w:firstLine="8"/>
        <w:spacing w:after="0" w:line="250" w:lineRule="auto"/>
        <w:tabs>
          <w:tab w:leader="none" w:pos="648"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shall become effective as of the Effective Date and terminate upon the date that all obligations of the parties hereto with respect to this Agreement have been satisfied.</w:t>
      </w:r>
    </w:p>
    <w:p>
      <w:pPr>
        <w:spacing w:after="0" w:line="120" w:lineRule="exact"/>
        <w:rPr>
          <w:rFonts w:ascii="Arial" w:cs="Arial" w:eastAsia="Arial" w:hAnsi="Arial"/>
          <w:sz w:val="22"/>
          <w:szCs w:val="22"/>
          <w:color w:val="auto"/>
        </w:rPr>
      </w:pPr>
    </w:p>
    <w:p>
      <w:pPr>
        <w:jc w:val="both"/>
        <w:ind w:firstLine="8"/>
        <w:spacing w:after="0" w:line="289" w:lineRule="auto"/>
        <w:tabs>
          <w:tab w:leader="none" w:pos="64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 Further, any termination of or changes in the terms or conditions of Executive’s employment shall not affect the covenants set forth in the Restrictive Covenants Agreement (as defined below), which shall remain in full force and effect pursuant to their terms.</w:t>
      </w:r>
    </w:p>
    <w:p>
      <w:pPr>
        <w:spacing w:after="0" w:line="88" w:lineRule="exact"/>
        <w:rPr>
          <w:rFonts w:ascii="Arial" w:cs="Arial" w:eastAsia="Arial" w:hAnsi="Arial"/>
          <w:sz w:val="19"/>
          <w:szCs w:val="19"/>
          <w:color w:val="auto"/>
        </w:rPr>
      </w:pPr>
    </w:p>
    <w:p>
      <w:pPr>
        <w:jc w:val="both"/>
        <w:ind w:firstLine="8"/>
        <w:spacing w:after="0" w:line="285" w:lineRule="auto"/>
        <w:tabs>
          <w:tab w:leader="none" w:pos="64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Covered Termination</w:t>
      </w:r>
      <w:r>
        <w:rPr>
          <w:rFonts w:ascii="Arial" w:cs="Arial" w:eastAsia="Arial" w:hAnsi="Arial"/>
          <w:sz w:val="19"/>
          <w:szCs w:val="19"/>
          <w:color w:val="auto"/>
        </w:rPr>
        <w:t xml:space="preserve">. If Executive experiences a Covered Termination, and delivers to the Company a general release of all claims against the Company and its affiliates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Release of Claims</w:t>
      </w:r>
      <w:r>
        <w:rPr>
          <w:rFonts w:ascii="Arial" w:cs="Arial" w:eastAsia="Arial" w:hAnsi="Arial"/>
          <w:sz w:val="19"/>
          <w:szCs w:val="19"/>
          <w:color w:val="auto"/>
        </w:rPr>
        <w:t>”) that becomes effective and irrevocable within sixty (60) days, or such shorter period of time specified by the Company, following such Covered Termination (the “</w:t>
      </w:r>
      <w:r>
        <w:rPr>
          <w:rFonts w:ascii="Arial" w:cs="Arial" w:eastAsia="Arial" w:hAnsi="Arial"/>
          <w:sz w:val="19"/>
          <w:szCs w:val="19"/>
          <w:b w:val="1"/>
          <w:bCs w:val="1"/>
          <w:i w:val="1"/>
          <w:iCs w:val="1"/>
          <w:color w:val="auto"/>
        </w:rPr>
        <w:t>Release Condition</w:t>
      </w:r>
      <w:r>
        <w:rPr>
          <w:rFonts w:ascii="Arial" w:cs="Arial" w:eastAsia="Arial" w:hAnsi="Arial"/>
          <w:sz w:val="19"/>
          <w:szCs w:val="19"/>
          <w:color w:val="auto"/>
        </w:rPr>
        <w:t>”), and continues to comply with the requirements set forth in Section 12, then in addition to any accrued but unpaid salary, bonus, benefits, vacation and expense reimbursement payable in accordance with applicable law, the Company shall provide Executive with the following:</w:t>
      </w:r>
    </w:p>
    <w:p>
      <w:pPr>
        <w:spacing w:after="0" w:line="103" w:lineRule="exact"/>
        <w:rPr>
          <w:rFonts w:ascii="Arial" w:cs="Arial" w:eastAsia="Arial" w:hAnsi="Arial"/>
          <w:sz w:val="19"/>
          <w:szCs w:val="19"/>
          <w:color w:val="auto"/>
        </w:rPr>
      </w:pPr>
    </w:p>
    <w:p>
      <w:pPr>
        <w:jc w:val="both"/>
        <w:ind w:firstLine="656"/>
        <w:spacing w:after="0" w:line="241" w:lineRule="auto"/>
        <w:tabs>
          <w:tab w:leader="none" w:pos="1293"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 Executive shall be entitled to receive a severance payment in an amount equal to the sum of (i) eighteen (18) months of Executive’s base salary and (ii) 1.5 times Executive’s target annual bonus assuming achievement of performance goals at target, in each case, at the rate in effect immediately prior to the Termination Date (in each case, without giving effect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168" w:name="page169"/>
    <w:bookmarkEnd w:id="168"/>
    <w:p>
      <w:pPr>
        <w:spacing w:after="0" w:line="200" w:lineRule="exact"/>
        <w:rPr>
          <w:sz w:val="20"/>
          <w:szCs w:val="20"/>
          <w:color w:val="auto"/>
        </w:rPr>
      </w:pPr>
    </w:p>
    <w:p>
      <w:pPr>
        <w:spacing w:after="0" w:line="32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reduction in base salary that gives rise to a Covered Termination for Good Reason), less applicable withholdings. This severance payment shall be made to Executive in substantially equal installments over the eighteen (18) months immediately following the date of the Covered Termination in accordance with the Company’s normal payroll procedures with the first such installment to be made on the first payroll date following the date the Release of Claims becomes effective and irrevocable, provided, that if the Covered Termination occurs after November 1 of any year, the first such installment shall be made on the first payroll date of the subsequent year and, provided further, that, in each case, the first installment shall include any installment payments that would have been made had such installments commenced on the first payroll date after the Covered Termination.</w:t>
      </w:r>
    </w:p>
    <w:p>
      <w:pPr>
        <w:spacing w:after="0" w:line="106" w:lineRule="exact"/>
        <w:rPr>
          <w:sz w:val="20"/>
          <w:szCs w:val="20"/>
          <w:color w:val="auto"/>
        </w:rPr>
      </w:pPr>
    </w:p>
    <w:p>
      <w:pPr>
        <w:jc w:val="both"/>
        <w:ind w:firstLine="656"/>
        <w:spacing w:after="0" w:line="279" w:lineRule="auto"/>
        <w:tabs>
          <w:tab w:leader="none" w:pos="1291"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As additional severance, Executive shall be entitled to receive a payment in an amount equal to the product of (i) eighteen (18) multiplied by (ii) the monthly premium for continued healthcare coverage pursuant to the provisions of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for Executive and Executive’s covered dependents based on Executive’s elected healthcare coverage and COBRA premium rates, in each case, in effect as of the Termination Date, payable in a lump sum, less applicable withholdings, no later than the first regular payroll date following the date the Release of Claims becomes effective and irrevocable. Executive acknowledges that Executive shall be solely responsible for all matters relating to any continuation of coverage pursuant to COBRA, including, without limitation, Executive’s election of such coverage and Executive’s timely payment of premiums.</w:t>
      </w:r>
    </w:p>
    <w:p>
      <w:pPr>
        <w:spacing w:after="0" w:line="114" w:lineRule="exact"/>
        <w:rPr>
          <w:rFonts w:ascii="Arial" w:cs="Arial" w:eastAsia="Arial" w:hAnsi="Arial"/>
          <w:sz w:val="19"/>
          <w:szCs w:val="19"/>
          <w:color w:val="auto"/>
        </w:rPr>
      </w:pPr>
    </w:p>
    <w:p>
      <w:pPr>
        <w:jc w:val="both"/>
        <w:ind w:firstLine="656"/>
        <w:spacing w:after="0" w:line="239" w:lineRule="auto"/>
        <w:tabs>
          <w:tab w:leader="none" w:pos="1293"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Each outstanding and unvested equity award, including, without limitation, each restricted stock unit award, held by Executive shall remain outstanding following the Termination Date and continue to vest in accordance with its original vesting schedule during the eighteen (18) month period immediately following the Termination Date without regard to any continued service requirements but, for any performance-based award, subject to the attainment of the performance goals applicable to such award.</w:t>
      </w:r>
    </w:p>
    <w:p>
      <w:pPr>
        <w:spacing w:after="0" w:line="144" w:lineRule="exact"/>
        <w:rPr>
          <w:rFonts w:ascii="Arial" w:cs="Arial" w:eastAsia="Arial" w:hAnsi="Arial"/>
          <w:sz w:val="22"/>
          <w:szCs w:val="22"/>
          <w:color w:val="auto"/>
        </w:rPr>
      </w:pPr>
    </w:p>
    <w:p>
      <w:pPr>
        <w:jc w:val="both"/>
        <w:ind w:firstLine="656"/>
        <w:spacing w:after="0" w:line="282" w:lineRule="auto"/>
        <w:tabs>
          <w:tab w:leader="none" w:pos="1291"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Travel Privileges</w:t>
      </w:r>
      <w:r>
        <w:rPr>
          <w:rFonts w:ascii="Arial" w:cs="Arial" w:eastAsia="Arial" w:hAnsi="Arial"/>
          <w:sz w:val="19"/>
          <w:szCs w:val="19"/>
          <w:color w:val="auto"/>
        </w:rPr>
        <w:t>. Executive previously vested into lifetime travel privileges that include unlimited reserved travel in any class of service for Executive and Executive’s immediate family, including eligible dependent children, for personal purposes, access to Admirals Club travel lounges and 12 free round-trip passes, or 24 free one-way passes, each year for reserved travel for non-eligible family members and friends. Executive’s right to travel privileges shall be subject to all applicable taxes pursuant to the Company’s then existing tax policies, and the Company will not provide any tax gross-up payments to Executive for taxes payable on such travels. The amount of travel privileges used by Executive in one year will not affect the amount of travel privileges Executive is entitled to use in any other year. The right to travel privileges provided in this Agreement is not subject to liquidation, cash out, or exchange for any other taxable or nontaxable benefit.</w:t>
      </w:r>
    </w:p>
    <w:p>
      <w:pPr>
        <w:spacing w:after="0" w:line="92" w:lineRule="exact"/>
        <w:rPr>
          <w:rFonts w:ascii="Arial" w:cs="Arial" w:eastAsia="Arial" w:hAnsi="Arial"/>
          <w:sz w:val="19"/>
          <w:szCs w:val="19"/>
          <w:color w:val="auto"/>
        </w:rPr>
      </w:pPr>
    </w:p>
    <w:p>
      <w:pPr>
        <w:jc w:val="both"/>
        <w:ind w:firstLine="8"/>
        <w:spacing w:after="0" w:line="239" w:lineRule="auto"/>
        <w:tabs>
          <w:tab w:leader="none" w:pos="648"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Covered Termination During a Change in Control Period</w:t>
      </w:r>
      <w:r>
        <w:rPr>
          <w:rFonts w:ascii="Arial" w:cs="Arial" w:eastAsia="Arial" w:hAnsi="Arial"/>
          <w:sz w:val="22"/>
          <w:szCs w:val="22"/>
          <w:color w:val="auto"/>
        </w:rPr>
        <w:t>. If Executive experiences a Covered Termination at any time during the period commencing on a Change in Control and ending twenty-four (24) months following the Change in Control, and satisfies the Release Condition and continues to comply with the requirements set forth in Section 12, then in addition to the severance and other benefits Executive may be eligible for set forth in Section 3, each outstanding and unvested equity award including, without limitation, each restricted stock unit award,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0" w:lineRule="exact"/>
        <w:rPr>
          <w:sz w:val="20"/>
          <w:szCs w:val="20"/>
          <w:color w:val="auto"/>
        </w:rPr>
      </w:pPr>
    </w:p>
    <w:p>
      <w:pPr>
        <w:spacing w:after="0" w:line="328"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Executive shall automatically become vested and, if applicable, exercisable, and any forfeiture restrictions thereon shall immediately lapse, in each case, with respect to one hundred percent (100%) of the unvested shares underlying the equity award as of the Termination Date; provided that for any performance-based equity awards held by the Executive that vest based on the attainment of performance goals that remain unsatisfied as of immediately before the Termination Date, such performance goals shall be deemed achieved at the greater of target or the expected attainment level based on performance as of the Termination Date (as determined by the Board of Directors of the Company or its Compensation Committee).</w:t>
      </w:r>
    </w:p>
    <w:p>
      <w:pPr>
        <w:spacing w:after="0" w:line="90" w:lineRule="exact"/>
        <w:rPr>
          <w:sz w:val="20"/>
          <w:szCs w:val="20"/>
          <w:color w:val="auto"/>
        </w:rPr>
      </w:pPr>
    </w:p>
    <w:p>
      <w:pPr>
        <w:jc w:val="both"/>
        <w:ind w:firstLine="8"/>
        <w:spacing w:after="0" w:line="250" w:lineRule="auto"/>
        <w:tabs>
          <w:tab w:leader="none" w:pos="648"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Certain Reductions</w:t>
      </w:r>
      <w:r>
        <w:rPr>
          <w:rFonts w:ascii="Arial" w:cs="Arial" w:eastAsia="Arial" w:hAnsi="Arial"/>
          <w:sz w:val="21"/>
          <w:szCs w:val="21"/>
          <w:color w:val="auto"/>
        </w:rPr>
        <w:t>.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previously paid being recharacterized as payments pursuant to the Company’s statutory obligation.</w:t>
      </w:r>
    </w:p>
    <w:p>
      <w:pPr>
        <w:spacing w:after="0" w:line="139" w:lineRule="exact"/>
        <w:rPr>
          <w:rFonts w:ascii="Arial" w:cs="Arial" w:eastAsia="Arial" w:hAnsi="Arial"/>
          <w:sz w:val="21"/>
          <w:szCs w:val="21"/>
          <w:color w:val="auto"/>
        </w:rPr>
      </w:pPr>
    </w:p>
    <w:p>
      <w:pPr>
        <w:jc w:val="both"/>
        <w:ind w:firstLine="8"/>
        <w:spacing w:after="0" w:line="305" w:lineRule="auto"/>
        <w:tabs>
          <w:tab w:leader="none" w:pos="648"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Deemed Resignation</w:t>
      </w:r>
      <w:r>
        <w:rPr>
          <w:rFonts w:ascii="Arial" w:cs="Arial" w:eastAsia="Arial" w:hAnsi="Arial"/>
          <w:sz w:val="19"/>
          <w:szCs w:val="19"/>
          <w:color w:val="auto"/>
        </w:rPr>
        <w:t>. Upon termination of Executive’s employment for any reason, Executive shall be deemed to have resigned from any and all offices and directorships then held with the Company or any of its affiliates, and, at the Company’s request, Executive shall execute such documents as are necessary or desirable to effectuate such resignations.</w:t>
      </w:r>
    </w:p>
    <w:p>
      <w:pPr>
        <w:spacing w:after="0" w:line="71" w:lineRule="exact"/>
        <w:rPr>
          <w:rFonts w:ascii="Arial" w:cs="Arial" w:eastAsia="Arial" w:hAnsi="Arial"/>
          <w:sz w:val="19"/>
          <w:szCs w:val="19"/>
          <w:color w:val="auto"/>
        </w:rPr>
      </w:pPr>
    </w:p>
    <w:p>
      <w:pPr>
        <w:jc w:val="both"/>
        <w:ind w:firstLine="8"/>
        <w:spacing w:after="0" w:line="242" w:lineRule="auto"/>
        <w:tabs>
          <w:tab w:leader="none" w:pos="648"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Executive’s service with the Company is terminated by the Company or by Executive for any or no reason other than as a Covered Termination, then Executive shall not be entitled to any benefits hereunder other than accrued but unpaid salary, bonus, vacation and expense reimbursement in accordance with applicable law, retiree travel privileges in accordance with the Company’s travel policy, as amended from time to time, and to elect any continued healthcare coverage as may be required under COBRA or similar state law.</w:t>
      </w:r>
    </w:p>
    <w:p>
      <w:pPr>
        <w:spacing w:after="0" w:line="128" w:lineRule="exact"/>
        <w:rPr>
          <w:rFonts w:ascii="Arial" w:cs="Arial" w:eastAsia="Arial" w:hAnsi="Arial"/>
          <w:sz w:val="22"/>
          <w:szCs w:val="22"/>
          <w:color w:val="auto"/>
        </w:rPr>
      </w:pPr>
    </w:p>
    <w:p>
      <w:pPr>
        <w:jc w:val="both"/>
        <w:ind w:firstLine="8"/>
        <w:spacing w:after="0" w:line="278" w:lineRule="auto"/>
        <w:tabs>
          <w:tab w:leader="none" w:pos="648"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Notwithstanding anything in this Agreement to the contrary, if any payment or distribution Executive would receive pursuant to this Agreement or otherwise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of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00" w:lineRule="exact"/>
        <w:rPr>
          <w:sz w:val="20"/>
          <w:szCs w:val="20"/>
          <w:color w:val="auto"/>
        </w:rPr>
      </w:pPr>
    </w:p>
    <w:p>
      <w:pPr>
        <w:spacing w:after="0" w:line="32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20"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shall have the following meanings:</w:t>
      </w:r>
    </w:p>
    <w:p>
      <w:pPr>
        <w:spacing w:after="0" w:line="165" w:lineRule="exact"/>
        <w:rPr>
          <w:rFonts w:ascii="Arial" w:cs="Arial" w:eastAsia="Arial" w:hAnsi="Arial"/>
          <w:sz w:val="22"/>
          <w:szCs w:val="22"/>
          <w:color w:val="auto"/>
        </w:rPr>
      </w:pPr>
    </w:p>
    <w:p>
      <w:pPr>
        <w:jc w:val="both"/>
        <w:ind w:firstLine="656"/>
        <w:spacing w:after="0" w:line="277" w:lineRule="auto"/>
        <w:tabs>
          <w:tab w:leader="none" w:pos="1293"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means (a) Executive’s willful and continued failure to perform Executive’s duties (other than any such failure resulting from Executive’s incapacity due to physical or mental illness) after written notice of such failure has been given to Executive by the Company and Executive has had a reasonable period (but not more than fifteen (15) days) after receipt of such notice to correct such failure; (b) the unlawful or willful commission by Executive of any act that is dishonest and demonstrably injurious to the Company or any of its subsidiaries in any material respect; (c) the conviction of, or plea of guilty or </w:t>
      </w:r>
      <w:r>
        <w:rPr>
          <w:rFonts w:ascii="Arial" w:cs="Arial" w:eastAsia="Arial" w:hAnsi="Arial"/>
          <w:sz w:val="19"/>
          <w:szCs w:val="19"/>
          <w:i w:val="1"/>
          <w:iCs w:val="1"/>
          <w:color w:val="auto"/>
        </w:rPr>
        <w:t xml:space="preserve">nolo contendere </w:t>
      </w:r>
      <w:r>
        <w:rPr>
          <w:rFonts w:ascii="Arial" w:cs="Arial" w:eastAsia="Arial" w:hAnsi="Arial"/>
          <w:sz w:val="19"/>
          <w:szCs w:val="19"/>
          <w:color w:val="auto"/>
        </w:rPr>
        <w:t>to, a felony offense by Executive; (d) habitual drug or alcohol abuse that impairs Executive’s ability to perform</w:t>
      </w:r>
      <w:r>
        <w:rPr>
          <w:rFonts w:ascii="Arial" w:cs="Arial" w:eastAsia="Arial" w:hAnsi="Arial"/>
          <w:sz w:val="19"/>
          <w:szCs w:val="19"/>
          <w:i w:val="1"/>
          <w:iCs w:val="1"/>
          <w:color w:val="auto"/>
        </w:rPr>
        <w:t xml:space="preserve"> </w:t>
      </w:r>
      <w:r>
        <w:rPr>
          <w:rFonts w:ascii="Arial" w:cs="Arial" w:eastAsia="Arial" w:hAnsi="Arial"/>
          <w:sz w:val="19"/>
          <w:szCs w:val="19"/>
          <w:color w:val="auto"/>
        </w:rPr>
        <w:t>the essential duties of Executive’s position or the Executive’s possession or use of illegal drugs on the Company’s premises; (e) embezzlement, fraud or any other illegal act against the Company or any illegal act committed in connection with Executive’s performance of Executive’s duties; (f) any material breach by Executive of any material Company policy (other than inadvertent actions taken in good faith), including without limitation the Company’s code of conduct and those policies regarding ethics, unlawful harassment, workplace safety, or workplace discrimination; or (g) a material breach by Executive of any agreement between the Company and Executive, but only if such breach shall continue unremedied for more than fifteen (15) days after written notice thereof is given to Executive by the Company.</w:t>
      </w:r>
    </w:p>
    <w:p>
      <w:pPr>
        <w:spacing w:after="0" w:line="362" w:lineRule="exact"/>
        <w:rPr>
          <w:rFonts w:ascii="Arial" w:cs="Arial" w:eastAsia="Arial" w:hAnsi="Arial"/>
          <w:sz w:val="19"/>
          <w:szCs w:val="19"/>
          <w:color w:val="auto"/>
        </w:rPr>
      </w:pPr>
    </w:p>
    <w:p>
      <w:pPr>
        <w:ind w:left="1300" w:hanging="644"/>
        <w:spacing w:after="0"/>
        <w:tabs>
          <w:tab w:leader="none" w:pos="130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a “Change in Control” as defined in the Company’s 2023 Incentive Award Plan.</w:t>
      </w:r>
    </w:p>
    <w:p>
      <w:pPr>
        <w:spacing w:after="0" w:line="186" w:lineRule="exact"/>
        <w:rPr>
          <w:rFonts w:ascii="Arial" w:cs="Arial" w:eastAsia="Arial" w:hAnsi="Arial"/>
          <w:sz w:val="19"/>
          <w:szCs w:val="19"/>
          <w:color w:val="auto"/>
        </w:rPr>
      </w:pPr>
    </w:p>
    <w:p>
      <w:pPr>
        <w:jc w:val="both"/>
        <w:ind w:firstLine="656"/>
        <w:spacing w:after="0" w:line="305" w:lineRule="auto"/>
        <w:tabs>
          <w:tab w:leader="none" w:pos="1293"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Termination</w:t>
      </w:r>
      <w:r>
        <w:rPr>
          <w:rFonts w:ascii="Arial" w:cs="Arial" w:eastAsia="Arial" w:hAnsi="Arial"/>
          <w:sz w:val="19"/>
          <w:szCs w:val="19"/>
          <w:color w:val="auto"/>
        </w:rPr>
        <w:t>” means the termination of Executive’s employment with the Company effected by the Company other than for Cause or Executive’s resignation of employment with the Company for Good Reason. For the avoidance of doubt, a Covered Termination shall not include Executive’s termination of employment due to death or disability.</w:t>
      </w:r>
    </w:p>
    <w:p>
      <w:pPr>
        <w:spacing w:after="0" w:line="71" w:lineRule="exact"/>
        <w:rPr>
          <w:rFonts w:ascii="Arial" w:cs="Arial" w:eastAsia="Arial" w:hAnsi="Arial"/>
          <w:sz w:val="19"/>
          <w:szCs w:val="19"/>
          <w:color w:val="auto"/>
        </w:rPr>
      </w:pPr>
    </w:p>
    <w:p>
      <w:pPr>
        <w:jc w:val="both"/>
        <w:ind w:firstLine="656"/>
        <w:spacing w:after="0" w:line="284" w:lineRule="auto"/>
        <w:tabs>
          <w:tab w:leader="none" w:pos="1345"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the occurrence of any of the following without Executive’s written consent: (i) a material adverse alteration by the Company in Executive’s base compensation, which is comprised of base salary and target cash incentive opportunity (except where such reduction to base compensation proportionately affects all similarly situated employees of the Company), position, function, duties or responsibilities; (ii) the relocation of Executive outside of the metropolitan area in which Executive is based; or (iii) a material breach by the Company of any written agreement between Executive and the Company; provided, that no resignation for Good Reason shall be effective unless and until (1) Executive has first provided the Company with written notice specifically identifying the acts or omissions constituting the grounds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328"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within thirty (30) days after the occurrence thereof, (2) the Company has not cured such acts or omissions that are capable of cure within thirty (30) days of its actual receipt of such notice, and (3) the effective date of Executive’s termination for Good Reason occurs no later than sixty (60) days after the initial existence of the facts or circumstances constituting Good Reason.</w:t>
      </w:r>
    </w:p>
    <w:p>
      <w:pPr>
        <w:spacing w:after="0" w:line="72" w:lineRule="exact"/>
        <w:rPr>
          <w:sz w:val="20"/>
          <w:szCs w:val="20"/>
          <w:color w:val="auto"/>
        </w:rPr>
      </w:pPr>
    </w:p>
    <w:p>
      <w:pPr>
        <w:ind w:left="1300" w:hanging="644"/>
        <w:spacing w:after="0"/>
        <w:tabs>
          <w:tab w:leader="none" w:pos="130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 the date Executive experiences a Covered Termination.</w:t>
      </w:r>
    </w:p>
    <w:p>
      <w:pPr>
        <w:spacing w:after="0" w:line="165" w:lineRule="exact"/>
        <w:rPr>
          <w:rFonts w:ascii="Arial" w:cs="Arial" w:eastAsia="Arial" w:hAnsi="Arial"/>
          <w:sz w:val="22"/>
          <w:szCs w:val="22"/>
          <w:color w:val="auto"/>
        </w:rPr>
      </w:pPr>
    </w:p>
    <w:p>
      <w:pPr>
        <w:ind w:left="660" w:hanging="652"/>
        <w:spacing w:after="0"/>
        <w:tabs>
          <w:tab w:leader="none" w:pos="66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656"/>
        <w:spacing w:after="0" w:line="251" w:lineRule="auto"/>
        <w:tabs>
          <w:tab w:leader="none" w:pos="1293" w:val="left"/>
        </w:tabs>
        <w:numPr>
          <w:ilvl w:val="1"/>
          <w:numId w:val="130"/>
        </w:numPr>
        <w:rPr>
          <w:rFonts w:ascii="Arial" w:cs="Arial" w:eastAsia="Arial" w:hAnsi="Arial"/>
          <w:sz w:val="21"/>
          <w:szCs w:val="21"/>
          <w:color w:val="auto"/>
        </w:rPr>
      </w:pPr>
      <w:r>
        <w:rPr>
          <w:rFonts w:ascii="Arial" w:cs="Arial" w:eastAsia="Arial" w:hAnsi="Arial"/>
          <w:sz w:val="21"/>
          <w:szCs w:val="21"/>
          <w:u w:val="single" w:color="auto"/>
          <w:color w:val="auto"/>
        </w:rPr>
        <w:t>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include any successor to the Company’s business and/or assets which executes and delivers the assumption agreement described in this Section 10(a) or which becomes bound by the terms of this Agreement by operation of law.</w:t>
      </w:r>
    </w:p>
    <w:p>
      <w:pPr>
        <w:spacing w:after="0" w:line="135" w:lineRule="exact"/>
        <w:rPr>
          <w:rFonts w:ascii="Arial" w:cs="Arial" w:eastAsia="Arial" w:hAnsi="Arial"/>
          <w:sz w:val="21"/>
          <w:szCs w:val="21"/>
          <w:color w:val="auto"/>
        </w:rPr>
      </w:pPr>
    </w:p>
    <w:p>
      <w:pPr>
        <w:jc w:val="both"/>
        <w:ind w:firstLine="656"/>
        <w:spacing w:after="0"/>
        <w:tabs>
          <w:tab w:leader="none" w:pos="1291"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45" w:lineRule="exact"/>
        <w:rPr>
          <w:rFonts w:ascii="Arial" w:cs="Arial" w:eastAsia="Arial" w:hAnsi="Arial"/>
          <w:sz w:val="22"/>
          <w:szCs w:val="22"/>
          <w:color w:val="auto"/>
        </w:rPr>
      </w:pPr>
    </w:p>
    <w:p>
      <w:pPr>
        <w:jc w:val="both"/>
        <w:ind w:firstLine="8"/>
        <w:spacing w:after="0" w:line="253" w:lineRule="auto"/>
        <w:tabs>
          <w:tab w:leader="none" w:pos="640"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corporate headquarters, and all notices shall be directed to the attention of the Chief Executive Officer.</w:t>
      </w:r>
    </w:p>
    <w:p>
      <w:pPr>
        <w:spacing w:after="0" w:line="131" w:lineRule="exact"/>
        <w:rPr>
          <w:rFonts w:ascii="Arial" w:cs="Arial" w:eastAsia="Arial" w:hAnsi="Arial"/>
          <w:sz w:val="21"/>
          <w:szCs w:val="21"/>
          <w:color w:val="auto"/>
        </w:rPr>
      </w:pPr>
    </w:p>
    <w:p>
      <w:pPr>
        <w:jc w:val="both"/>
        <w:ind w:firstLine="8"/>
        <w:spacing w:after="0" w:line="282" w:lineRule="auto"/>
        <w:tabs>
          <w:tab w:leader="none" w:pos="648"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As a condition to entering into this Agreement, which provides eligibility to receive benefits under Sections 3 and 4 of this Agreement, Executive must agree to and comply with the requirements set forth in this Section 12. For the avoidance of doubt, the covenants set forth in this Section 12 and the Restrictive Covenants Agreement (as defined below) apply to Executive whether or not Executive receives any benefits under Sections 3 and 4 of this Agreement. Without limiting any other remedy set forth herein or in the Restrictive Covenants Agreement, in the event Executive fails to satisfy the requirements set forth in this Section 12 and the Restrictive Covenants Agreement in any material respect, the Company shall have no obligation to pay or to continue the benefits under Sections 3 and 4 of this Agreement.</w:t>
      </w:r>
    </w:p>
    <w:p>
      <w:pPr>
        <w:spacing w:after="0" w:line="106" w:lineRule="exact"/>
        <w:rPr>
          <w:rFonts w:ascii="Arial" w:cs="Arial" w:eastAsia="Arial" w:hAnsi="Arial"/>
          <w:sz w:val="19"/>
          <w:szCs w:val="19"/>
          <w:color w:val="auto"/>
        </w:rPr>
      </w:pPr>
    </w:p>
    <w:p>
      <w:pPr>
        <w:jc w:val="both"/>
        <w:ind w:firstLine="656"/>
        <w:spacing w:after="0" w:line="251" w:lineRule="auto"/>
        <w:tabs>
          <w:tab w:leader="none" w:pos="1293" w:val="left"/>
        </w:tabs>
        <w:numPr>
          <w:ilvl w:val="1"/>
          <w:numId w:val="130"/>
        </w:numPr>
        <w:rPr>
          <w:rFonts w:ascii="Arial" w:cs="Arial" w:eastAsia="Arial" w:hAnsi="Arial"/>
          <w:sz w:val="21"/>
          <w:szCs w:val="21"/>
          <w:color w:val="auto"/>
        </w:rPr>
      </w:pPr>
      <w:r>
        <w:rPr>
          <w:rFonts w:ascii="Arial" w:cs="Arial" w:eastAsia="Arial" w:hAnsi="Arial"/>
          <w:sz w:val="21"/>
          <w:szCs w:val="21"/>
          <w:u w:val="single" w:color="auto"/>
          <w:color w:val="auto"/>
        </w:rPr>
        <w:t>Restrictive Covenants</w:t>
      </w:r>
      <w:r>
        <w:rPr>
          <w:rFonts w:ascii="Arial" w:cs="Arial" w:eastAsia="Arial" w:hAnsi="Arial"/>
          <w:sz w:val="21"/>
          <w:szCs w:val="21"/>
          <w:color w:val="auto"/>
        </w:rPr>
        <w:t>. The Company (which as used in this Section 12(a) shall include the Company and any of its affiliates) operates in a highly sensitive and competitive commercial environment. As part of Executive’s employment (which as used in this Section 12(a) shall include engagement as an independent contractor or other non-employee role as well) with the Company, Executive has been and will continue to be exposed to highly confidential and sensitive information regarding the Company’s business operations, including corporate strategy, pricing, and other market information, know-how, trade secrets, and valuable customer, supplier, and employee relationships. It is critical that the Company take all necessary steps to safeguard its legitimate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00" w:lineRule="exact"/>
        <w:rPr>
          <w:sz w:val="20"/>
          <w:szCs w:val="20"/>
          <w:color w:val="auto"/>
        </w:rPr>
      </w:pPr>
    </w:p>
    <w:p>
      <w:pPr>
        <w:spacing w:after="0" w:line="32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protectable interests in such information and to prevent any of its competitors or any other persons from obtaining any such information. Therefore, as consideration for and ancillary to the Company’s agreement to enter into this Agreement with Executive, and to protect the goodwill and other legitimate business interests of the Company, Executive shall enter into, and shall abide by, the terms and conditions of the restrictive covenants concerning confidentiality, noncompetition and nonsolicitation contained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(the “</w:t>
      </w:r>
      <w:r>
        <w:rPr>
          <w:rFonts w:ascii="Arial" w:cs="Arial" w:eastAsia="Arial" w:hAnsi="Arial"/>
          <w:sz w:val="19"/>
          <w:szCs w:val="19"/>
          <w:b w:val="1"/>
          <w:bCs w:val="1"/>
          <w:i w:val="1"/>
          <w:iCs w:val="1"/>
          <w:color w:val="auto"/>
        </w:rPr>
        <w:t>Restrictive Covenants Agreement</w:t>
      </w:r>
      <w:r>
        <w:rPr>
          <w:rFonts w:ascii="Arial" w:cs="Arial" w:eastAsia="Arial" w:hAnsi="Arial"/>
          <w:sz w:val="19"/>
          <w:szCs w:val="19"/>
          <w:color w:val="auto"/>
        </w:rPr>
        <w:t>”) between Executive and Group, which is hereby incorporated herein by reference. By entering into this Agreement, Executive acknowledges and agrees that Executive has read and understood the Restrictive Covenants Agreement and has had an opportunity to seek the advice of an attorney prior to entering into this Agreement and entering into, or agreeing to enter into, the Restrictive Covenants Agreement.</w:t>
      </w:r>
    </w:p>
    <w:p>
      <w:pPr>
        <w:spacing w:after="0" w:line="93" w:lineRule="exact"/>
        <w:rPr>
          <w:sz w:val="20"/>
          <w:szCs w:val="20"/>
          <w:color w:val="auto"/>
        </w:rPr>
      </w:pPr>
    </w:p>
    <w:p>
      <w:pPr>
        <w:jc w:val="both"/>
        <w:ind w:firstLine="656"/>
        <w:spacing w:after="0" w:line="242" w:lineRule="auto"/>
        <w:tabs>
          <w:tab w:leader="none" w:pos="1291"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Executive agrees that Executive shall not disparage, criticize or defame the Company, its affiliates and their respective affiliates, directors, officers, agents, partners, stockholders or employees, either publicly or privately. The Company agrees that it shall not, and it shall instruct its executive officers to not, disparage, criticize or defame Executive, either publicly or privately. Nothing in this Section 12(b) shall have application to any evidence or testimony required by any court, arbitrator or government agency.</w:t>
      </w:r>
    </w:p>
    <w:p>
      <w:pPr>
        <w:spacing w:after="0" w:line="128" w:lineRule="exact"/>
        <w:rPr>
          <w:rFonts w:ascii="Arial" w:cs="Arial" w:eastAsia="Arial" w:hAnsi="Arial"/>
          <w:sz w:val="22"/>
          <w:szCs w:val="22"/>
          <w:color w:val="auto"/>
        </w:rPr>
      </w:pPr>
    </w:p>
    <w:p>
      <w:pPr>
        <w:jc w:val="both"/>
        <w:ind w:firstLine="656"/>
        <w:spacing w:after="0" w:line="251" w:lineRule="auto"/>
        <w:tabs>
          <w:tab w:leader="none" w:pos="1293" w:val="left"/>
        </w:tabs>
        <w:numPr>
          <w:ilvl w:val="1"/>
          <w:numId w:val="131"/>
        </w:numPr>
        <w:rPr>
          <w:rFonts w:ascii="Arial" w:cs="Arial" w:eastAsia="Arial" w:hAnsi="Arial"/>
          <w:sz w:val="21"/>
          <w:szCs w:val="21"/>
          <w:color w:val="auto"/>
        </w:rPr>
      </w:pPr>
      <w:r>
        <w:rPr>
          <w:rFonts w:ascii="Arial" w:cs="Arial" w:eastAsia="Arial" w:hAnsi="Arial"/>
          <w:sz w:val="21"/>
          <w:szCs w:val="21"/>
          <w:u w:val="single" w:color="auto"/>
          <w:color w:val="auto"/>
        </w:rPr>
        <w:t>Return of Documents and Property</w:t>
      </w:r>
      <w:r>
        <w:rPr>
          <w:rFonts w:ascii="Arial" w:cs="Arial" w:eastAsia="Arial" w:hAnsi="Arial"/>
          <w:sz w:val="21"/>
          <w:szCs w:val="21"/>
          <w:color w:val="auto"/>
        </w:rPr>
        <w:t>. Executive will no later than the Termination Date turn over to the Company all physical or personal property that are the property of the Company and that Executive had in Executive’s possession, custody or control, including, without limitation, Executive’s laptop computer, along with all other equipment and originals and copies of correspondence, drawings, manuals, letters, notes, notebooks, reports, programs, plans, proposals, financial documents, or any other documents concerning the Company’s customers, business plans, marketing strategies, products, processes or business of any kind and/or which contain proprietary information or trade secrets which are in the possession or control of Executive or Executive’s agents or representatives. These obligations include the return of any electronic information or data that belongs to the Company.</w:t>
      </w:r>
    </w:p>
    <w:p>
      <w:pPr>
        <w:spacing w:after="0" w:line="126" w:lineRule="exact"/>
        <w:rPr>
          <w:rFonts w:ascii="Arial" w:cs="Arial" w:eastAsia="Arial" w:hAnsi="Arial"/>
          <w:sz w:val="21"/>
          <w:szCs w:val="21"/>
          <w:color w:val="auto"/>
        </w:rPr>
      </w:pPr>
    </w:p>
    <w:p>
      <w:pPr>
        <w:ind w:firstLine="656"/>
        <w:spacing w:after="0" w:line="343" w:lineRule="auto"/>
        <w:tabs>
          <w:tab w:leader="none" w:pos="1291"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Executive acknowledges that Executive shall remain subject to the Company’s or the Group’s Clawback Policy, as may be amended from time to time, to the extent provided therein or otherwise required by applicable law.</w:t>
      </w:r>
    </w:p>
    <w:p>
      <w:pPr>
        <w:spacing w:after="0" w:line="36" w:lineRule="exact"/>
        <w:rPr>
          <w:rFonts w:ascii="Arial" w:cs="Arial" w:eastAsia="Arial" w:hAnsi="Arial"/>
          <w:sz w:val="19"/>
          <w:szCs w:val="19"/>
          <w:color w:val="auto"/>
        </w:rPr>
      </w:pPr>
    </w:p>
    <w:p>
      <w:pPr>
        <w:jc w:val="both"/>
        <w:ind w:firstLine="656"/>
        <w:spacing w:after="0" w:line="282" w:lineRule="auto"/>
        <w:tabs>
          <w:tab w:leader="none" w:pos="1293"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Forfeiture; Repayment</w:t>
      </w:r>
      <w:r>
        <w:rPr>
          <w:rFonts w:ascii="Arial" w:cs="Arial" w:eastAsia="Arial" w:hAnsi="Arial"/>
          <w:sz w:val="19"/>
          <w:szCs w:val="19"/>
          <w:color w:val="auto"/>
        </w:rPr>
        <w:t>. If Executive materially breaches Sections 12(a)-(d) and the Company delivers written notice to Executive of such material breach within ninety (90) days after the Company’s Chief Executive Officer’s first acquires actual knowledge of such material breach, then Executive shall (i) forfeit any and all rights to any future payments or benefits to be made or provided under Sections 3 and 4 of this Agreement and (ii) reimburse the Company for all payments made and the value of all benefits received by Executive and Executive’s dependents (if any) up to and through the date of such breach, with interest at the prime rate published by the Wall Street Journal on the date the Company sends written demand for reimbursement, compounded annually, from the date such payments or benefits were made until the date of repayment.</w:t>
      </w:r>
    </w:p>
    <w:p>
      <w:pPr>
        <w:spacing w:after="0" w:line="106" w:lineRule="exact"/>
        <w:rPr>
          <w:rFonts w:ascii="Arial" w:cs="Arial" w:eastAsia="Arial" w:hAnsi="Arial"/>
          <w:sz w:val="19"/>
          <w:szCs w:val="19"/>
          <w:color w:val="auto"/>
        </w:rPr>
      </w:pPr>
    </w:p>
    <w:p>
      <w:pPr>
        <w:jc w:val="both"/>
        <w:ind w:firstLine="8"/>
        <w:spacing w:after="0"/>
        <w:tabs>
          <w:tab w:leader="none" w:pos="648"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00" w:lineRule="exact"/>
        <w:rPr>
          <w:sz w:val="20"/>
          <w:szCs w:val="20"/>
          <w:color w:val="auto"/>
        </w:rPr>
      </w:pPr>
    </w:p>
    <w:p>
      <w:pPr>
        <w:spacing w:after="0" w:line="32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of this Agreement, Executive’s employment, or the termination of Executive’s employment (excluding any disputes arising under the Restrictive Covenants Agreement), shall be resolved to the fullest extent permitted by law by final, binding and confidential arbitration in Tarrant County, Texas through Judicial Arbitration &amp; Mediation Services/Endispute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xml:space="preserve">”) in conformity with the then-existing JAMS employment arbitration rules and Texas law. A link to the current JAMS employment arbitration rules follows: https://www.jamsadr.com/rules-employment-arbitration/english. </w:t>
      </w:r>
      <w:r>
        <w:rPr>
          <w:rFonts w:ascii="Arial" w:cs="Arial" w:eastAsia="Arial" w:hAnsi="Arial"/>
          <w:sz w:val="19"/>
          <w:szCs w:val="19"/>
          <w:b w:val="1"/>
          <w:bCs w:val="1"/>
          <w:color w:val="auto"/>
        </w:rPr>
        <w:t>By agreeing to this arbitration procedure, both</w:t>
      </w:r>
    </w:p>
    <w:p>
      <w:pPr>
        <w:spacing w:after="0" w:line="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Executive and the Company waive the right to resolve any such dispute through a trial by jury or judge or administrative proceeding</w:t>
      </w:r>
      <w:r>
        <w:rPr>
          <w:rFonts w:ascii="Arial" w:cs="Arial" w:eastAsia="Arial" w:hAnsi="Arial"/>
          <w:sz w:val="19"/>
          <w:szCs w:val="19"/>
          <w:color w:val="auto"/>
        </w:rPr>
        <w:t>. The arbitrator shall: (a) have the authority to compel adequate discovery for the resolution of the dispute and to</w:t>
      </w:r>
      <w:r>
        <w:rPr>
          <w:rFonts w:ascii="Arial" w:cs="Arial" w:eastAsia="Arial" w:hAnsi="Arial"/>
          <w:sz w:val="19"/>
          <w:szCs w:val="19"/>
          <w:b w:val="1"/>
          <w:bCs w:val="1"/>
          <w:color w:val="auto"/>
        </w:rPr>
        <w:t xml:space="preserve"> </w:t>
      </w:r>
      <w:r>
        <w:rPr>
          <w:rFonts w:ascii="Arial" w:cs="Arial" w:eastAsia="Arial" w:hAnsi="Arial"/>
          <w:sz w:val="19"/>
          <w:szCs w:val="19"/>
          <w:color w:val="auto"/>
        </w:rPr>
        <w:t>award such relief as would otherwise be permitted by law; and (b) issue a written arbitration decision, to include the arbitrator’s essential findings and conclusions and a statement of the award. The Company shall pay all JAMS’s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or arising under the Restrictive Covenants Agreement by Court action instead of arbitration. The parties agree to resolve all disputes excluded from arbitration in a court of competent jurisdiction located in Texas sitting without a jury and each party waives its right to a jury trial in any such dispute.</w:t>
      </w:r>
    </w:p>
    <w:p>
      <w:pPr>
        <w:spacing w:after="0" w:line="115"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304"/>
        <w:spacing w:after="0" w:line="246" w:lineRule="auto"/>
        <w:tabs>
          <w:tab w:leader="none" w:pos="1932" w:val="left"/>
        </w:tabs>
        <w:numPr>
          <w:ilvl w:val="2"/>
          <w:numId w:val="133"/>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Notwithstanding any provision to the contrary in this Agreement, no amount deemed deferred compensation subject to Section 409A of the Code shall be payable pursuant to Sections 3 and 4 above unless Executive’s termination of employment constitutes a “separation from service” with the Company within the meaning of Section 409A of the Code and the Department of Treasury regulations and other guidance promulgated thereunder (“</w:t>
      </w:r>
      <w:r>
        <w:rPr>
          <w:rFonts w:ascii="Arial" w:cs="Arial" w:eastAsia="Arial" w:hAnsi="Arial"/>
          <w:sz w:val="20"/>
          <w:szCs w:val="20"/>
          <w:b w:val="1"/>
          <w:bCs w:val="1"/>
          <w:i w:val="1"/>
          <w:iCs w:val="1"/>
          <w:color w:val="auto"/>
        </w:rPr>
        <w:t>Separation from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Service</w:t>
      </w:r>
      <w:r>
        <w:rPr>
          <w:rFonts w:ascii="Arial" w:cs="Arial" w:eastAsia="Arial" w:hAnsi="Arial"/>
          <w:sz w:val="20"/>
          <w:szCs w:val="20"/>
          <w:color w:val="auto"/>
        </w:rPr>
        <w:t>”) and, except as provided under Section 14(a)(ii) of this Agreement, any such amount shall not be paid, or in the case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installments, commence payment, until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Executive’s Separation from Service and the remaining payments shall be made as provided in this Agreement.</w:t>
      </w:r>
    </w:p>
    <w:p>
      <w:pPr>
        <w:spacing w:after="0" w:line="126" w:lineRule="exact"/>
        <w:rPr>
          <w:rFonts w:ascii="Arial" w:cs="Arial" w:eastAsia="Arial" w:hAnsi="Arial"/>
          <w:sz w:val="20"/>
          <w:szCs w:val="20"/>
          <w:color w:val="auto"/>
        </w:rPr>
      </w:pPr>
    </w:p>
    <w:p>
      <w:pPr>
        <w:jc w:val="both"/>
        <w:ind w:firstLine="1304"/>
        <w:spacing w:after="0" w:line="238" w:lineRule="auto"/>
        <w:tabs>
          <w:tab w:leader="none" w:pos="1938" w:val="left"/>
        </w:tabs>
        <w:numPr>
          <w:ilvl w:val="2"/>
          <w:numId w:val="133"/>
        </w:numPr>
        <w:rPr>
          <w:rFonts w:ascii="Arial" w:cs="Arial" w:eastAsia="Arial" w:hAnsi="Arial"/>
          <w:sz w:val="22"/>
          <w:szCs w:val="22"/>
          <w:color w:val="auto"/>
        </w:rPr>
      </w:pPr>
      <w:r>
        <w:rPr>
          <w:rFonts w:ascii="Arial" w:cs="Arial" w:eastAsia="Arial" w:hAnsi="Arial"/>
          <w:sz w:val="22"/>
          <w:szCs w:val="22"/>
          <w:u w:val="single" w:color="auto"/>
          <w:color w:val="auto"/>
        </w:rPr>
        <w:t>Specified Employee</w:t>
      </w:r>
      <w:r>
        <w:rPr>
          <w:rFonts w:ascii="Arial" w:cs="Arial" w:eastAsia="Arial" w:hAnsi="Arial"/>
          <w:sz w:val="22"/>
          <w:szCs w:val="22"/>
          <w:color w:val="auto"/>
        </w:rPr>
        <w:t>. Notwithstanding any provision to the contrary in this Agreement, if Executive is deemed at the time of Executive’s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p>
    <w:p>
      <w:pPr>
        <w:spacing w:after="0" w:line="328"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applicable Code Section 409A(a)(2)(B)(i) period, all payments deferred pursuant to this Section 14(a)(ii) shall be paid in a lump sum to Executive, and any remaining payments due under this Agreement shall be paid as otherwise provided herein.</w:t>
      </w:r>
    </w:p>
    <w:p>
      <w:pPr>
        <w:spacing w:after="0" w:line="64" w:lineRule="exact"/>
        <w:rPr>
          <w:sz w:val="20"/>
          <w:szCs w:val="20"/>
          <w:color w:val="auto"/>
        </w:rPr>
      </w:pPr>
    </w:p>
    <w:p>
      <w:pPr>
        <w:jc w:val="both"/>
        <w:ind w:firstLine="1304"/>
        <w:spacing w:after="0" w:line="265" w:lineRule="auto"/>
        <w:tabs>
          <w:tab w:leader="none" w:pos="1944"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Expense Reimbursements</w:t>
      </w:r>
      <w:r>
        <w:rPr>
          <w:rFonts w:ascii="Arial" w:cs="Arial" w:eastAsia="Arial" w:hAnsi="Arial"/>
          <w:sz w:val="19"/>
          <w:szCs w:val="19"/>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21" w:lineRule="exact"/>
        <w:rPr>
          <w:rFonts w:ascii="Arial" w:cs="Arial" w:eastAsia="Arial" w:hAnsi="Arial"/>
          <w:sz w:val="19"/>
          <w:szCs w:val="19"/>
          <w:color w:val="auto"/>
        </w:rPr>
      </w:pPr>
    </w:p>
    <w:p>
      <w:pPr>
        <w:jc w:val="both"/>
        <w:ind w:firstLine="1304"/>
        <w:spacing w:after="0" w:line="241" w:lineRule="auto"/>
        <w:tabs>
          <w:tab w:leader="none" w:pos="1932"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Installments</w:t>
      </w:r>
      <w:r>
        <w:rPr>
          <w:rFonts w:ascii="Arial" w:cs="Arial" w:eastAsia="Arial" w:hAnsi="Arial"/>
          <w:sz w:val="22"/>
          <w:szCs w:val="22"/>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31" w:lineRule="exact"/>
        <w:rPr>
          <w:rFonts w:ascii="Arial" w:cs="Arial" w:eastAsia="Arial" w:hAnsi="Arial"/>
          <w:sz w:val="22"/>
          <w:szCs w:val="22"/>
          <w:color w:val="auto"/>
        </w:rPr>
      </w:pPr>
    </w:p>
    <w:p>
      <w:pPr>
        <w:jc w:val="both"/>
        <w:ind w:firstLine="656"/>
        <w:spacing w:after="0" w:line="292" w:lineRule="auto"/>
        <w:tabs>
          <w:tab w:leader="none" w:pos="1291"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97" w:lineRule="exact"/>
        <w:rPr>
          <w:rFonts w:ascii="Arial" w:cs="Arial" w:eastAsia="Arial" w:hAnsi="Arial"/>
          <w:sz w:val="19"/>
          <w:szCs w:val="19"/>
          <w:color w:val="auto"/>
        </w:rPr>
      </w:pPr>
    </w:p>
    <w:p>
      <w:pPr>
        <w:jc w:val="both"/>
        <w:ind w:firstLine="656"/>
        <w:spacing w:after="0" w:line="253" w:lineRule="auto"/>
        <w:tabs>
          <w:tab w:leader="none" w:pos="1293"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Whole Agreement</w:t>
      </w:r>
      <w:r>
        <w:rPr>
          <w:rFonts w:ascii="Arial" w:cs="Arial" w:eastAsia="Arial" w:hAnsi="Arial"/>
          <w:sz w:val="21"/>
          <w:szCs w:val="21"/>
          <w:color w:val="auto"/>
        </w:rPr>
        <w:t>. This Agreement and the agreements and provisions incorporated in this Agreement, including, without limitation, the Restrictive Covenants Agreement and the award agreements and equity plans governing the terms of Executive’s outstanding and unvested equity awards, represent the entire understanding of the parties hereto with respect to the subject matter hereof and supersede all prior promises, arrangements and understandings regarding same, whether written or unwritten, or previously approved by the Board of Directors of the Company.</w:t>
      </w:r>
    </w:p>
    <w:p>
      <w:pPr>
        <w:spacing w:after="0" w:line="131" w:lineRule="exact"/>
        <w:rPr>
          <w:rFonts w:ascii="Arial" w:cs="Arial" w:eastAsia="Arial" w:hAnsi="Arial"/>
          <w:sz w:val="21"/>
          <w:szCs w:val="21"/>
          <w:color w:val="auto"/>
        </w:rPr>
      </w:pPr>
    </w:p>
    <w:p>
      <w:pPr>
        <w:jc w:val="both"/>
        <w:ind w:firstLine="656"/>
        <w:spacing w:after="0" w:line="247" w:lineRule="auto"/>
        <w:tabs>
          <w:tab w:leader="none" w:pos="1291"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was negotiated, entered into and is performable, in whole or in part, in Tarrant County, Texas. Therefore, the validity, interpretation, construction and performance of this Agreement shall be governed by the laws of the State of Texas.</w:t>
      </w:r>
    </w:p>
    <w:p>
      <w:pPr>
        <w:spacing w:after="0" w:line="123" w:lineRule="exact"/>
        <w:rPr>
          <w:rFonts w:ascii="Arial" w:cs="Arial" w:eastAsia="Arial" w:hAnsi="Arial"/>
          <w:sz w:val="22"/>
          <w:szCs w:val="22"/>
          <w:color w:val="auto"/>
        </w:rPr>
      </w:pPr>
    </w:p>
    <w:p>
      <w:pPr>
        <w:ind w:firstLine="656"/>
        <w:spacing w:after="0" w:line="250" w:lineRule="auto"/>
        <w:tabs>
          <w:tab w:leader="none" w:pos="129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34" w:lineRule="exact"/>
        <w:rPr>
          <w:rFonts w:ascii="Arial" w:cs="Arial" w:eastAsia="Arial" w:hAnsi="Arial"/>
          <w:sz w:val="22"/>
          <w:szCs w:val="22"/>
          <w:color w:val="auto"/>
        </w:rPr>
      </w:pPr>
    </w:p>
    <w:p>
      <w:pPr>
        <w:ind w:firstLine="656"/>
        <w:spacing w:after="0" w:line="250" w:lineRule="auto"/>
        <w:tabs>
          <w:tab w:leader="none" w:pos="12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will constitute one and the same instrument.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229"/>
        <w:spacing w:after="0" w:line="232"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AMERICAN AIRLINES GROUP, INC.</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Grant B.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11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Vice President,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21018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0185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5562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6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AMERICAN AIRLINES, INC.</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Grant B.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11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Vice President,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21018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01850" cy="8890"/>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5562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6260" cy="8890"/>
                    </a:xfrm>
                    <a:prstGeom prst="rect">
                      <a:avLst/>
                    </a:prstGeom>
                    <a:noFill/>
                  </pic:spPr>
                </pic:pic>
              </a:graphicData>
            </a:graphic>
          </wp:anchor>
        </w:drawing>
      </w: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EXECUTIVE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wp:posOffset>
            </wp:positionV>
            <wp:extent cx="13792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Stephen L. Johnson</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5562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6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Severance Agreement</w:t>
      </w:r>
      <w:r>
        <w:rPr>
          <w:rFonts w:ascii="Arial" w:cs="Arial" w:eastAsia="Arial" w:hAnsi="Arial"/>
          <w:sz w:val="22"/>
          <w:szCs w:val="22"/>
          <w:color w:val="auto"/>
        </w:rPr>
        <w:t>]</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200" w:lineRule="exact"/>
        <w:rPr>
          <w:sz w:val="20"/>
          <w:szCs w:val="20"/>
          <w:color w:val="auto"/>
        </w:rPr>
      </w:pPr>
    </w:p>
    <w:p>
      <w:pPr>
        <w:spacing w:after="0" w:line="336"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ind w:left="4800"/>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This Release of Claims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is entered into as of _________________, 20__, among [__________]</w:t>
      </w:r>
    </w:p>
    <w:p>
      <w:pPr>
        <w:spacing w:after="0" w:line="33" w:lineRule="exact"/>
        <w:rPr>
          <w:sz w:val="20"/>
          <w:szCs w:val="20"/>
          <w:color w:val="auto"/>
        </w:rPr>
      </w:pPr>
    </w:p>
    <w:p>
      <w:pPr>
        <w:ind w:right="18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and American Airlines Group, Inc., a Delaware corporation (“</w:t>
      </w:r>
      <w:r>
        <w:rPr>
          <w:rFonts w:ascii="Arial" w:cs="Arial" w:eastAsia="Arial" w:hAnsi="Arial"/>
          <w:sz w:val="21"/>
          <w:szCs w:val="21"/>
          <w:b w:val="1"/>
          <w:bCs w:val="1"/>
          <w:i w:val="1"/>
          <w:iCs w:val="1"/>
          <w:color w:val="auto"/>
        </w:rPr>
        <w:t>Group</w:t>
      </w:r>
      <w:r>
        <w:rPr>
          <w:rFonts w:ascii="Arial" w:cs="Arial" w:eastAsia="Arial" w:hAnsi="Arial"/>
          <w:sz w:val="21"/>
          <w:szCs w:val="21"/>
          <w:color w:val="auto"/>
        </w:rPr>
        <w:t>”), and American Airlines, Inc., a Delaware corporation and a wholly-owned subsidiary of Group (“</w:t>
      </w:r>
      <w:r>
        <w:rPr>
          <w:rFonts w:ascii="Arial" w:cs="Arial" w:eastAsia="Arial" w:hAnsi="Arial"/>
          <w:sz w:val="21"/>
          <w:szCs w:val="21"/>
          <w:b w:val="1"/>
          <w:bCs w:val="1"/>
          <w:i w:val="1"/>
          <w:iCs w:val="1"/>
          <w:color w:val="auto"/>
        </w:rPr>
        <w:t>American</w:t>
      </w:r>
      <w:r>
        <w:rPr>
          <w:rFonts w:ascii="Arial" w:cs="Arial" w:eastAsia="Arial" w:hAnsi="Arial"/>
          <w:sz w:val="21"/>
          <w:szCs w:val="21"/>
          <w:color w:val="auto"/>
        </w:rPr>
        <w:t>” and, together with Group,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collectively with Executive,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effective eight days after Executive’s signature hereto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unless Executive revokes Executive’s acceptance of this Release as provided in Paragraph 1(c), below.</w:t>
      </w:r>
    </w:p>
    <w:p>
      <w:pPr>
        <w:spacing w:after="0" w:line="175" w:lineRule="exact"/>
        <w:rPr>
          <w:sz w:val="20"/>
          <w:szCs w:val="20"/>
          <w:color w:val="auto"/>
        </w:rPr>
      </w:pPr>
    </w:p>
    <w:p>
      <w:pPr>
        <w:ind w:left="260" w:right="80" w:firstLine="1287"/>
        <w:spacing w:after="0" w:line="278" w:lineRule="auto"/>
        <w:tabs>
          <w:tab w:leader="none" w:pos="1961" w:val="left"/>
        </w:tabs>
        <w:numPr>
          <w:ilvl w:val="1"/>
          <w:numId w:val="136"/>
        </w:numPr>
        <w:rPr>
          <w:rFonts w:ascii="Arial" w:cs="Arial" w:eastAsia="Arial" w:hAnsi="Arial"/>
          <w:sz w:val="19"/>
          <w:szCs w:val="19"/>
          <w:color w:val="auto"/>
        </w:rPr>
      </w:pPr>
      <w:r>
        <w:rPr>
          <w:rFonts w:ascii="Arial" w:cs="Arial" w:eastAsia="Arial" w:hAnsi="Arial"/>
          <w:sz w:val="21"/>
          <w:szCs w:val="21"/>
          <w:u w:val="single" w:color="auto"/>
          <w:color w:val="auto"/>
        </w:rPr>
        <w:t>Executive’s Release of the Company</w:t>
      </w:r>
      <w:r>
        <w:rPr>
          <w:rFonts w:ascii="Arial" w:cs="Arial" w:eastAsia="Arial" w:hAnsi="Arial"/>
          <w:sz w:val="21"/>
          <w:szCs w:val="21"/>
          <w:color w:val="auto"/>
        </w:rPr>
        <w:t>. Executive understands that by agreeing to this Release, Executive is agreeing not to sue, or otherwise file any claim against, the Company or any of its employees or other agents for any reason whatsoever based on anything that has occurred as of the date Executive signs this Release.</w:t>
      </w:r>
    </w:p>
    <w:p>
      <w:pPr>
        <w:spacing w:after="0" w:line="159" w:lineRule="exact"/>
        <w:rPr>
          <w:rFonts w:ascii="Arial" w:cs="Arial" w:eastAsia="Arial" w:hAnsi="Arial"/>
          <w:sz w:val="19"/>
          <w:szCs w:val="19"/>
          <w:color w:val="auto"/>
        </w:rPr>
      </w:pPr>
    </w:p>
    <w:p>
      <w:pPr>
        <w:ind w:left="760" w:firstLine="1300"/>
        <w:spacing w:after="0" w:line="286" w:lineRule="auto"/>
        <w:tabs>
          <w:tab w:leader="none" w:pos="2586" w:val="left"/>
        </w:tabs>
        <w:numPr>
          <w:ilvl w:val="2"/>
          <w:numId w:val="136"/>
        </w:numPr>
        <w:rPr>
          <w:rFonts w:ascii="Arial" w:cs="Arial" w:eastAsia="Arial" w:hAnsi="Arial"/>
          <w:sz w:val="18"/>
          <w:szCs w:val="18"/>
          <w:color w:val="auto"/>
        </w:rPr>
      </w:pPr>
      <w:r>
        <w:rPr>
          <w:rFonts w:ascii="Arial" w:cs="Arial" w:eastAsia="Arial" w:hAnsi="Arial"/>
          <w:sz w:val="19"/>
          <w:szCs w:val="19"/>
          <w:color w:val="auto"/>
        </w:rPr>
        <w:t>On behalf of Executive and Executive’s heirs and assigns, Executive hereby releases and forever discharges the “</w:t>
      </w:r>
      <w:r>
        <w:rPr>
          <w:rFonts w:ascii="Arial" w:cs="Arial" w:eastAsia="Arial" w:hAnsi="Arial"/>
          <w:sz w:val="19"/>
          <w:szCs w:val="19"/>
          <w:u w:val="single" w:color="auto"/>
          <w:color w:val="auto"/>
        </w:rPr>
        <w:t>Releasees</w:t>
      </w:r>
      <w:r>
        <w:rPr>
          <w:rFonts w:ascii="Arial" w:cs="Arial" w:eastAsia="Arial" w:hAnsi="Arial"/>
          <w:sz w:val="19"/>
          <w:szCs w:val="19"/>
          <w:color w:val="auto"/>
        </w:rPr>
        <w:t>”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9"/>
          <w:szCs w:val="19"/>
          <w:u w:val="single" w:color="auto"/>
          <w:color w:val="auto"/>
        </w:rPr>
        <w:t>Claims</w:t>
      </w:r>
      <w:r>
        <w:rPr>
          <w:rFonts w:ascii="Arial" w:cs="Arial" w:eastAsia="Arial" w:hAnsi="Arial"/>
          <w:sz w:val="19"/>
          <w:szCs w:val="19"/>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29 U.S.C. § 621, et seq.; Title VII of the Civil Rights Act of 1964, as amended by the Civil Rights Act of 1991, 42 U.S.C. § 2000 et seq.; the Equal Pay Act, 29 U.S.C.</w:t>
      </w:r>
    </w:p>
    <w:p>
      <w:pPr>
        <w:spacing w:after="0" w:line="8" w:lineRule="exact"/>
        <w:rPr>
          <w:rFonts w:ascii="Arial" w:cs="Arial" w:eastAsia="Arial" w:hAnsi="Arial"/>
          <w:sz w:val="18"/>
          <w:szCs w:val="18"/>
          <w:color w:val="auto"/>
        </w:rPr>
      </w:pPr>
    </w:p>
    <w:p>
      <w:pPr>
        <w:ind w:left="760" w:right="40" w:firstLine="4"/>
        <w:spacing w:after="0" w:line="260" w:lineRule="auto"/>
        <w:tabs>
          <w:tab w:leader="none" w:pos="922" w:val="left"/>
        </w:tabs>
        <w:numPr>
          <w:ilvl w:val="0"/>
          <w:numId w:val="136"/>
        </w:numPr>
        <w:rPr>
          <w:rFonts w:ascii="Arial" w:cs="Arial" w:eastAsia="Arial" w:hAnsi="Arial"/>
          <w:sz w:val="21"/>
          <w:szCs w:val="21"/>
          <w:color w:val="auto"/>
        </w:rPr>
      </w:pPr>
      <w:r>
        <w:rPr>
          <w:rFonts w:ascii="Arial" w:cs="Arial" w:eastAsia="Arial" w:hAnsi="Arial"/>
          <w:sz w:val="21"/>
          <w:szCs w:val="21"/>
          <w:color w:val="auto"/>
        </w:rPr>
        <w:t>206(d); the Civil Rights Act of 1866, 42 U.S.C. § 1981; the Family and Medical Leave Act of 1993, 29 U.S.C. § 2601 et seq.; the Americans with Disabilities Act of 1990, 42 U.S.C. § 12101 et seq.; the False Claims Act, 31 U.S.C. § 3729 et seq.; the Employee Retirement Income Security Act, 29 U.S.C. § 1001 et seq.; the Worker Adjustment and Retraining Notification Act, 29 U.S.C. § 2101 et seq. the Fair Labor Standards Act, 29 U.S.C. § 215 et seq., the Sarbanes-Oxley Act of 2002; the Texas Labor Code (specifically including the Texas Payday Law, the Texas Anti-Retaliation Act, Chapter 21 of the Texas Labor Code, and the Texas Whistleblower Act); and any and all other federal, state and local laws, statutes, executive orders, regulations municipal ordinances, common law, and any other jurisdiction worldwide; Claims for breach of contract; Claims arising in tort, including, without limitation, Claims of wrongful dismissal or discharge, discrimination,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20" w:top="1440" w:right="379" w:bottom="1440" w:gutter="0" w:footer="0" w:header="0"/>
        </w:sectPr>
      </w:pPr>
    </w:p>
    <w:bookmarkStart w:id="177" w:name="page178"/>
    <w:bookmarkEnd w:id="177"/>
    <w:p>
      <w:pPr>
        <w:spacing w:after="0" w:line="200" w:lineRule="exact"/>
        <w:rPr>
          <w:sz w:val="20"/>
          <w:szCs w:val="20"/>
          <w:color w:val="auto"/>
        </w:rPr>
      </w:pPr>
    </w:p>
    <w:p>
      <w:pPr>
        <w:spacing w:after="0" w:line="342"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47" w:lineRule="exact"/>
        <w:rPr>
          <w:sz w:val="20"/>
          <w:szCs w:val="20"/>
          <w:color w:val="auto"/>
        </w:rPr>
      </w:pPr>
    </w:p>
    <w:p>
      <w:pPr>
        <w:ind w:left="1820" w:hanging="520"/>
        <w:spacing w:after="0"/>
        <w:tabs>
          <w:tab w:leader="none" w:pos="1820" w:val="left"/>
        </w:tabs>
        <w:numPr>
          <w:ilvl w:val="0"/>
          <w:numId w:val="137"/>
        </w:numPr>
        <w:rPr>
          <w:rFonts w:ascii="Arial" w:cs="Arial" w:eastAsia="Arial" w:hAnsi="Arial"/>
          <w:sz w:val="18"/>
          <w:szCs w:val="18"/>
          <w:color w:val="auto"/>
        </w:rPr>
      </w:pPr>
      <w:r>
        <w:rPr>
          <w:rFonts w:ascii="Arial" w:cs="Arial" w:eastAsia="Arial" w:hAnsi="Arial"/>
          <w:sz w:val="19"/>
          <w:szCs w:val="19"/>
          <w:color w:val="auto"/>
        </w:rPr>
        <w:t>Notwithstanding the generality of the foregoing, Executive does not release the following claims:</w:t>
      </w:r>
    </w:p>
    <w:p>
      <w:pPr>
        <w:spacing w:after="0" w:line="254" w:lineRule="exact"/>
        <w:rPr>
          <w:rFonts w:ascii="Arial" w:cs="Arial" w:eastAsia="Arial" w:hAnsi="Arial"/>
          <w:sz w:val="18"/>
          <w:szCs w:val="18"/>
          <w:color w:val="auto"/>
        </w:rPr>
      </w:pPr>
    </w:p>
    <w:p>
      <w:pPr>
        <w:ind w:left="540" w:right="140" w:firstLine="1300"/>
        <w:spacing w:after="0" w:line="276" w:lineRule="auto"/>
        <w:tabs>
          <w:tab w:leader="none" w:pos="2482" w:val="left"/>
        </w:tabs>
        <w:numPr>
          <w:ilvl w:val="1"/>
          <w:numId w:val="137"/>
        </w:numPr>
        <w:rPr>
          <w:rFonts w:ascii="Arial" w:cs="Arial" w:eastAsia="Arial" w:hAnsi="Arial"/>
          <w:sz w:val="20"/>
          <w:szCs w:val="20"/>
          <w:color w:val="auto"/>
        </w:rPr>
      </w:pPr>
      <w:r>
        <w:rPr>
          <w:rFonts w:ascii="Arial" w:cs="Arial" w:eastAsia="Arial" w:hAnsi="Arial"/>
          <w:sz w:val="22"/>
          <w:szCs w:val="22"/>
          <w:color w:val="auto"/>
        </w:rPr>
        <w:t>Claims for unemployment compensation or any state disability insurance benefits pursuant to the terms of applicable state law;</w:t>
      </w:r>
    </w:p>
    <w:p>
      <w:pPr>
        <w:spacing w:after="0" w:line="160" w:lineRule="exact"/>
        <w:rPr>
          <w:rFonts w:ascii="Arial" w:cs="Arial" w:eastAsia="Arial" w:hAnsi="Arial"/>
          <w:sz w:val="20"/>
          <w:szCs w:val="20"/>
          <w:color w:val="auto"/>
        </w:rPr>
      </w:pPr>
    </w:p>
    <w:p>
      <w:pPr>
        <w:ind w:left="540" w:right="560" w:firstLine="1300"/>
        <w:spacing w:after="0" w:line="263" w:lineRule="auto"/>
        <w:tabs>
          <w:tab w:leader="none" w:pos="2483" w:val="left"/>
        </w:tabs>
        <w:numPr>
          <w:ilvl w:val="1"/>
          <w:numId w:val="137"/>
        </w:numPr>
        <w:rPr>
          <w:rFonts w:ascii="Arial" w:cs="Arial" w:eastAsia="Arial" w:hAnsi="Arial"/>
          <w:sz w:val="20"/>
          <w:szCs w:val="20"/>
          <w:color w:val="auto"/>
        </w:rPr>
      </w:pPr>
      <w:r>
        <w:rPr>
          <w:rFonts w:ascii="Arial" w:cs="Arial" w:eastAsia="Arial" w:hAnsi="Arial"/>
          <w:sz w:val="22"/>
          <w:szCs w:val="22"/>
          <w:color w:val="auto"/>
        </w:rPr>
        <w:t>Claims for workers’ compensation insurance benefits under the terms of any worker’s compensation insurance policy or fund of the Company;</w:t>
      </w:r>
    </w:p>
    <w:p>
      <w:pPr>
        <w:spacing w:after="0" w:line="188" w:lineRule="exact"/>
        <w:rPr>
          <w:rFonts w:ascii="Arial" w:cs="Arial" w:eastAsia="Arial" w:hAnsi="Arial"/>
          <w:sz w:val="20"/>
          <w:szCs w:val="20"/>
          <w:color w:val="auto"/>
        </w:rPr>
      </w:pPr>
    </w:p>
    <w:p>
      <w:pPr>
        <w:ind w:left="540" w:right="140" w:firstLine="1300"/>
        <w:spacing w:after="0" w:line="263" w:lineRule="auto"/>
        <w:tabs>
          <w:tab w:leader="none" w:pos="2484" w:val="left"/>
        </w:tabs>
        <w:numPr>
          <w:ilvl w:val="1"/>
          <w:numId w:val="137"/>
        </w:numPr>
        <w:rPr>
          <w:rFonts w:ascii="Arial" w:cs="Arial" w:eastAsia="Arial" w:hAnsi="Arial"/>
          <w:sz w:val="20"/>
          <w:szCs w:val="20"/>
          <w:color w:val="auto"/>
        </w:rPr>
      </w:pPr>
      <w:r>
        <w:rPr>
          <w:rFonts w:ascii="Arial" w:cs="Arial" w:eastAsia="Arial" w:hAnsi="Arial"/>
          <w:sz w:val="22"/>
          <w:szCs w:val="22"/>
          <w:color w:val="auto"/>
        </w:rPr>
        <w:t>Claims to continued participation in certain of the Company’s group benefit plans pursuant to the terms and conditions of COBRA;</w:t>
      </w:r>
    </w:p>
    <w:p>
      <w:pPr>
        <w:spacing w:after="0" w:line="174" w:lineRule="exact"/>
        <w:rPr>
          <w:rFonts w:ascii="Arial" w:cs="Arial" w:eastAsia="Arial" w:hAnsi="Arial"/>
          <w:sz w:val="20"/>
          <w:szCs w:val="20"/>
          <w:color w:val="auto"/>
        </w:rPr>
      </w:pPr>
    </w:p>
    <w:p>
      <w:pPr>
        <w:ind w:left="540" w:right="1040" w:firstLine="1300"/>
        <w:spacing w:after="0" w:line="276" w:lineRule="auto"/>
        <w:tabs>
          <w:tab w:leader="none" w:pos="2473" w:val="left"/>
        </w:tabs>
        <w:numPr>
          <w:ilvl w:val="1"/>
          <w:numId w:val="137"/>
        </w:numPr>
        <w:rPr>
          <w:rFonts w:ascii="Arial" w:cs="Arial" w:eastAsia="Arial" w:hAnsi="Arial"/>
          <w:sz w:val="20"/>
          <w:szCs w:val="20"/>
          <w:color w:val="auto"/>
        </w:rPr>
      </w:pPr>
      <w:r>
        <w:rPr>
          <w:rFonts w:ascii="Arial" w:cs="Arial" w:eastAsia="Arial" w:hAnsi="Arial"/>
          <w:sz w:val="22"/>
          <w:szCs w:val="22"/>
          <w:color w:val="auto"/>
        </w:rPr>
        <w:t>Claims to any benefit entitlements vested as the date of Executive’s employment termination, pursuant to written terms of any Company employee benefit plan;</w:t>
      </w:r>
    </w:p>
    <w:p>
      <w:pPr>
        <w:spacing w:after="0" w:line="160" w:lineRule="exact"/>
        <w:rPr>
          <w:rFonts w:ascii="Arial" w:cs="Arial" w:eastAsia="Arial" w:hAnsi="Arial"/>
          <w:sz w:val="20"/>
          <w:szCs w:val="20"/>
          <w:color w:val="auto"/>
        </w:rPr>
      </w:pPr>
    </w:p>
    <w:p>
      <w:pPr>
        <w:ind w:left="540" w:right="280" w:firstLine="1300"/>
        <w:spacing w:after="0" w:line="259" w:lineRule="auto"/>
        <w:tabs>
          <w:tab w:leader="none" w:pos="2472" w:val="left"/>
        </w:tabs>
        <w:numPr>
          <w:ilvl w:val="1"/>
          <w:numId w:val="137"/>
        </w:numPr>
        <w:rPr>
          <w:rFonts w:ascii="Arial" w:cs="Arial" w:eastAsia="Arial" w:hAnsi="Arial"/>
          <w:sz w:val="20"/>
          <w:szCs w:val="20"/>
          <w:color w:val="auto"/>
        </w:rPr>
      </w:pPr>
      <w:r>
        <w:rPr>
          <w:rFonts w:ascii="Arial" w:cs="Arial" w:eastAsia="Arial" w:hAnsi="Arial"/>
          <w:sz w:val="22"/>
          <w:szCs w:val="22"/>
          <w:color w:val="auto"/>
        </w:rPr>
        <w:t>Claims for indemnification under any indemnification agreement with the Company, the Company’s Bylaws, any other applicable law or the Company’s directors and officers liability insurance policy; and</w:t>
      </w:r>
    </w:p>
    <w:p>
      <w:pPr>
        <w:spacing w:after="0" w:line="180" w:lineRule="exact"/>
        <w:rPr>
          <w:rFonts w:ascii="Arial" w:cs="Arial" w:eastAsia="Arial" w:hAnsi="Arial"/>
          <w:sz w:val="20"/>
          <w:szCs w:val="20"/>
          <w:color w:val="auto"/>
        </w:rPr>
      </w:pPr>
    </w:p>
    <w:p>
      <w:pPr>
        <w:ind w:left="540" w:right="160" w:firstLine="1300"/>
        <w:spacing w:after="0" w:line="259" w:lineRule="auto"/>
        <w:tabs>
          <w:tab w:leader="none" w:pos="2473" w:val="left"/>
        </w:tabs>
        <w:numPr>
          <w:ilvl w:val="1"/>
          <w:numId w:val="137"/>
        </w:numPr>
        <w:rPr>
          <w:rFonts w:ascii="Arial" w:cs="Arial" w:eastAsia="Arial" w:hAnsi="Arial"/>
          <w:sz w:val="20"/>
          <w:szCs w:val="20"/>
          <w:color w:val="auto"/>
        </w:rPr>
      </w:pPr>
      <w:r>
        <w:rPr>
          <w:rFonts w:ascii="Arial" w:cs="Arial" w:eastAsia="Arial" w:hAnsi="Arial"/>
          <w:sz w:val="22"/>
          <w:szCs w:val="22"/>
          <w:color w:val="auto"/>
        </w:rPr>
        <w:t xml:space="preserve">Executive’s right to bring to the attention of the Equal Employment Opportunity Commission claims of discrimination;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Executive does release Executive’s right to secure any damages for alleged discriminatory treatment.</w:t>
      </w:r>
    </w:p>
    <w:p>
      <w:pPr>
        <w:spacing w:after="0" w:line="180" w:lineRule="exact"/>
        <w:rPr>
          <w:rFonts w:ascii="Arial" w:cs="Arial" w:eastAsia="Arial" w:hAnsi="Arial"/>
          <w:sz w:val="20"/>
          <w:szCs w:val="20"/>
          <w:color w:val="auto"/>
        </w:rPr>
      </w:pPr>
    </w:p>
    <w:p>
      <w:pPr>
        <w:ind w:left="1840" w:hanging="540"/>
        <w:spacing w:after="0"/>
        <w:tabs>
          <w:tab w:leader="none" w:pos="1840" w:val="left"/>
        </w:tabs>
        <w:numPr>
          <w:ilvl w:val="0"/>
          <w:numId w:val="137"/>
        </w:numPr>
        <w:rPr>
          <w:rFonts w:ascii="Arial" w:cs="Arial" w:eastAsia="Arial" w:hAnsi="Arial"/>
          <w:sz w:val="18"/>
          <w:szCs w:val="18"/>
          <w:color w:val="auto"/>
        </w:rPr>
      </w:pPr>
      <w:r>
        <w:rPr>
          <w:rFonts w:ascii="Arial" w:cs="Arial" w:eastAsia="Arial" w:hAnsi="Arial"/>
          <w:sz w:val="19"/>
          <w:szCs w:val="19"/>
          <w:color w:val="auto"/>
        </w:rPr>
        <w:t>In accordance with the Older Workers Benefit Protection Act of 1990, Executive has been advised</w:t>
      </w:r>
    </w:p>
    <w:p>
      <w:pPr>
        <w:spacing w:after="0" w:line="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of the following:</w:t>
      </w:r>
    </w:p>
    <w:p>
      <w:pPr>
        <w:spacing w:after="0" w:line="215" w:lineRule="exact"/>
        <w:rPr>
          <w:rFonts w:ascii="Arial" w:cs="Arial" w:eastAsia="Arial" w:hAnsi="Arial"/>
          <w:sz w:val="18"/>
          <w:szCs w:val="18"/>
          <w:color w:val="auto"/>
        </w:rPr>
      </w:pPr>
    </w:p>
    <w:p>
      <w:pPr>
        <w:ind w:left="2480" w:hanging="640"/>
        <w:spacing w:after="0"/>
        <w:tabs>
          <w:tab w:leader="none" w:pos="2480" w:val="left"/>
        </w:tabs>
        <w:numPr>
          <w:ilvl w:val="1"/>
          <w:numId w:val="137"/>
        </w:numPr>
        <w:rPr>
          <w:rFonts w:ascii="Arial" w:cs="Arial" w:eastAsia="Arial" w:hAnsi="Arial"/>
          <w:sz w:val="20"/>
          <w:szCs w:val="20"/>
          <w:color w:val="auto"/>
        </w:rPr>
      </w:pPr>
      <w:r>
        <w:rPr>
          <w:rFonts w:ascii="Arial" w:cs="Arial" w:eastAsia="Arial" w:hAnsi="Arial"/>
          <w:sz w:val="22"/>
          <w:szCs w:val="22"/>
          <w:color w:val="auto"/>
        </w:rPr>
        <w:t>Executive has the right to consult with an attorney before signing this Release;</w:t>
      </w:r>
    </w:p>
    <w:p>
      <w:pPr>
        <w:spacing w:after="0" w:line="233" w:lineRule="exact"/>
        <w:rPr>
          <w:rFonts w:ascii="Arial" w:cs="Arial" w:eastAsia="Arial" w:hAnsi="Arial"/>
          <w:sz w:val="20"/>
          <w:szCs w:val="20"/>
          <w:color w:val="auto"/>
        </w:rPr>
      </w:pPr>
    </w:p>
    <w:p>
      <w:pPr>
        <w:ind w:left="2480" w:hanging="640"/>
        <w:spacing w:after="0"/>
        <w:tabs>
          <w:tab w:leader="none" w:pos="2480" w:val="left"/>
        </w:tabs>
        <w:numPr>
          <w:ilvl w:val="1"/>
          <w:numId w:val="137"/>
        </w:numPr>
        <w:rPr>
          <w:rFonts w:ascii="Arial" w:cs="Arial" w:eastAsia="Arial" w:hAnsi="Arial"/>
          <w:sz w:val="20"/>
          <w:szCs w:val="20"/>
          <w:color w:val="auto"/>
        </w:rPr>
      </w:pPr>
      <w:r>
        <w:rPr>
          <w:rFonts w:ascii="Arial" w:cs="Arial" w:eastAsia="Arial" w:hAnsi="Arial"/>
          <w:sz w:val="22"/>
          <w:szCs w:val="22"/>
          <w:color w:val="auto"/>
        </w:rPr>
        <w:t>Executive has been given at least twenty-one (21) days to consider this Release;</w:t>
      </w:r>
    </w:p>
    <w:p>
      <w:pPr>
        <w:spacing w:after="0" w:line="219" w:lineRule="exact"/>
        <w:rPr>
          <w:rFonts w:ascii="Arial" w:cs="Arial" w:eastAsia="Arial" w:hAnsi="Arial"/>
          <w:sz w:val="20"/>
          <w:szCs w:val="20"/>
          <w:color w:val="auto"/>
        </w:rPr>
      </w:pPr>
    </w:p>
    <w:p>
      <w:pPr>
        <w:ind w:left="540" w:right="160" w:firstLine="1300"/>
        <w:spacing w:after="0" w:line="270" w:lineRule="auto"/>
        <w:tabs>
          <w:tab w:leader="none" w:pos="2484" w:val="left"/>
        </w:tabs>
        <w:numPr>
          <w:ilvl w:val="1"/>
          <w:numId w:val="137"/>
        </w:numPr>
        <w:rPr>
          <w:rFonts w:ascii="Arial" w:cs="Arial" w:eastAsia="Arial" w:hAnsi="Arial"/>
          <w:sz w:val="19"/>
          <w:szCs w:val="19"/>
          <w:color w:val="auto"/>
        </w:rPr>
      </w:pPr>
      <w:r>
        <w:rPr>
          <w:rFonts w:ascii="Arial" w:cs="Arial" w:eastAsia="Arial" w:hAnsi="Arial"/>
          <w:sz w:val="21"/>
          <w:szCs w:val="21"/>
          <w:color w:val="auto"/>
        </w:rPr>
        <w:t>Executive has seven (7) days after signing this Release to revoke it, and Executive will not receive the severance benefits provided by that certain Severance Agreement among the Parties (the “</w:t>
      </w:r>
      <w:r>
        <w:rPr>
          <w:rFonts w:ascii="Arial" w:cs="Arial" w:eastAsia="Arial" w:hAnsi="Arial"/>
          <w:sz w:val="21"/>
          <w:szCs w:val="21"/>
          <w:u w:val="single" w:color="auto"/>
          <w:color w:val="auto"/>
        </w:rPr>
        <w:t>Severance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unless and until such seven (7) day period has expired. If Executive wishes to revoke this Release, Executive must deliver notice of Executive’s revocation in writing, no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480"/>
          </w:cols>
          <w:pgMar w:left="1080" w:top="1440" w:right="339" w:bottom="1440" w:gutter="0" w:footer="0" w:header="0"/>
        </w:sectPr>
      </w:pPr>
    </w:p>
    <w:bookmarkStart w:id="178" w:name="page179"/>
    <w:bookmarkEnd w:id="178"/>
    <w:p>
      <w:pPr>
        <w:spacing w:after="0" w:line="200" w:lineRule="exact"/>
        <w:rPr>
          <w:sz w:val="20"/>
          <w:szCs w:val="20"/>
          <w:color w:val="auto"/>
        </w:rPr>
      </w:pPr>
    </w:p>
    <w:p>
      <w:pPr>
        <w:spacing w:after="0" w:line="34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than 5:00 p.m. on the 7th day following Executive’s execution of this Release to [_________].</w:t>
      </w:r>
    </w:p>
    <w:p>
      <w:pPr>
        <w:spacing w:after="0" w:line="220" w:lineRule="exact"/>
        <w:rPr>
          <w:sz w:val="20"/>
          <w:szCs w:val="20"/>
          <w:color w:val="auto"/>
        </w:rPr>
      </w:pPr>
    </w:p>
    <w:p>
      <w:pPr>
        <w:ind w:left="1700" w:hanging="413"/>
        <w:spacing w:after="0"/>
        <w:tabs>
          <w:tab w:leader="none" w:pos="1700" w:val="left"/>
        </w:tabs>
        <w:numPr>
          <w:ilvl w:val="0"/>
          <w:numId w:val="138"/>
        </w:numPr>
        <w:rPr>
          <w:rFonts w:ascii="Arial" w:cs="Arial" w:eastAsia="Arial" w:hAnsi="Arial"/>
          <w:sz w:val="20"/>
          <w:szCs w:val="20"/>
          <w:color w:val="auto"/>
        </w:rPr>
      </w:pPr>
      <w:r>
        <w:rPr>
          <w:rFonts w:ascii="Arial" w:cs="Arial" w:eastAsia="Arial" w:hAnsi="Arial"/>
          <w:sz w:val="22"/>
          <w:szCs w:val="22"/>
          <w:u w:val="single" w:color="auto"/>
          <w:color w:val="auto"/>
        </w:rPr>
        <w:t>Executive Representations</w:t>
      </w:r>
      <w:r>
        <w:rPr>
          <w:rFonts w:ascii="Arial" w:cs="Arial" w:eastAsia="Arial" w:hAnsi="Arial"/>
          <w:sz w:val="22"/>
          <w:szCs w:val="22"/>
          <w:color w:val="auto"/>
        </w:rPr>
        <w:t>. Executive represents and warrants that:</w:t>
      </w:r>
    </w:p>
    <w:p>
      <w:pPr>
        <w:spacing w:after="0" w:line="233" w:lineRule="exact"/>
        <w:rPr>
          <w:rFonts w:ascii="Arial" w:cs="Arial" w:eastAsia="Arial" w:hAnsi="Arial"/>
          <w:sz w:val="20"/>
          <w:szCs w:val="20"/>
          <w:color w:val="auto"/>
        </w:rPr>
      </w:pPr>
    </w:p>
    <w:p>
      <w:pPr>
        <w:ind w:left="2340" w:hanging="540"/>
        <w:spacing w:after="0"/>
        <w:tabs>
          <w:tab w:leader="none" w:pos="2340" w:val="left"/>
        </w:tabs>
        <w:numPr>
          <w:ilvl w:val="1"/>
          <w:numId w:val="138"/>
        </w:numPr>
        <w:rPr>
          <w:rFonts w:ascii="Arial" w:cs="Arial" w:eastAsia="Arial" w:hAnsi="Arial"/>
          <w:sz w:val="19"/>
          <w:szCs w:val="19"/>
          <w:color w:val="auto"/>
        </w:rPr>
      </w:pPr>
      <w:r>
        <w:rPr>
          <w:rFonts w:ascii="Arial" w:cs="Arial" w:eastAsia="Arial" w:hAnsi="Arial"/>
          <w:sz w:val="21"/>
          <w:szCs w:val="21"/>
          <w:color w:val="auto"/>
        </w:rPr>
        <w:t>Executive has returned to the Company all Company property in Executive’s possession;</w:t>
      </w:r>
    </w:p>
    <w:p>
      <w:pPr>
        <w:spacing w:after="0" w:line="231" w:lineRule="exact"/>
        <w:rPr>
          <w:rFonts w:ascii="Arial" w:cs="Arial" w:eastAsia="Arial" w:hAnsi="Arial"/>
          <w:sz w:val="19"/>
          <w:szCs w:val="19"/>
          <w:color w:val="auto"/>
        </w:rPr>
      </w:pPr>
    </w:p>
    <w:p>
      <w:pPr>
        <w:ind w:left="500" w:right="260" w:firstLine="1300"/>
        <w:spacing w:after="0" w:line="278" w:lineRule="auto"/>
        <w:tabs>
          <w:tab w:leader="none" w:pos="2324" w:val="left"/>
        </w:tabs>
        <w:numPr>
          <w:ilvl w:val="1"/>
          <w:numId w:val="138"/>
        </w:numPr>
        <w:rPr>
          <w:rFonts w:ascii="Arial" w:cs="Arial" w:eastAsia="Arial" w:hAnsi="Arial"/>
          <w:sz w:val="19"/>
          <w:szCs w:val="19"/>
          <w:color w:val="auto"/>
        </w:rPr>
      </w:pPr>
      <w:r>
        <w:rPr>
          <w:rFonts w:ascii="Arial" w:cs="Arial" w:eastAsia="Arial" w:hAnsi="Arial"/>
          <w:sz w:val="21"/>
          <w:szCs w:val="21"/>
          <w:color w:val="auto"/>
        </w:rPr>
        <w:t>Executive is not owed wages, commissions, bonuses or other compensation, other than wages through the date of the termination of Executive’s employment and any accrued, unused vacation earned through such date, and any payments that become due under the Severance Agreement;</w:t>
      </w:r>
    </w:p>
    <w:p>
      <w:pPr>
        <w:spacing w:after="0" w:line="159" w:lineRule="exact"/>
        <w:rPr>
          <w:rFonts w:ascii="Arial" w:cs="Arial" w:eastAsia="Arial" w:hAnsi="Arial"/>
          <w:sz w:val="19"/>
          <w:szCs w:val="19"/>
          <w:color w:val="auto"/>
        </w:rPr>
      </w:pPr>
    </w:p>
    <w:p>
      <w:pPr>
        <w:jc w:val="both"/>
        <w:ind w:left="500" w:right="420" w:firstLine="1300"/>
        <w:spacing w:after="0" w:line="254" w:lineRule="auto"/>
        <w:tabs>
          <w:tab w:leader="none" w:pos="2326" w:val="left"/>
        </w:tabs>
        <w:numPr>
          <w:ilvl w:val="1"/>
          <w:numId w:val="138"/>
        </w:numPr>
        <w:rPr>
          <w:rFonts w:ascii="Arial" w:cs="Arial" w:eastAsia="Arial" w:hAnsi="Arial"/>
          <w:sz w:val="20"/>
          <w:szCs w:val="20"/>
          <w:color w:val="auto"/>
        </w:rPr>
      </w:pPr>
      <w:r>
        <w:rPr>
          <w:rFonts w:ascii="Arial" w:cs="Arial" w:eastAsia="Arial" w:hAnsi="Arial"/>
          <w:sz w:val="22"/>
          <w:szCs w:val="22"/>
          <w:color w:val="auto"/>
        </w:rPr>
        <w:t>During the course of Executive’s employment Executive did not sustain any injuries for which Executive might be entitled to compensation pursuant to worker’s compensation law or Executive has disclosed any injuries of which Executive is currently, reasonably aware for which Executive might be entitled to compensation pursuant to worker’s compensation law; and</w:t>
      </w:r>
    </w:p>
    <w:p>
      <w:pPr>
        <w:spacing w:after="0" w:line="184" w:lineRule="exact"/>
        <w:rPr>
          <w:rFonts w:ascii="Arial" w:cs="Arial" w:eastAsia="Arial" w:hAnsi="Arial"/>
          <w:sz w:val="20"/>
          <w:szCs w:val="20"/>
          <w:color w:val="auto"/>
        </w:rPr>
      </w:pPr>
    </w:p>
    <w:p>
      <w:pPr>
        <w:ind w:left="500" w:right="60" w:firstLine="1300"/>
        <w:spacing w:after="0" w:line="259" w:lineRule="auto"/>
        <w:tabs>
          <w:tab w:leader="none" w:pos="2324" w:val="left"/>
        </w:tabs>
        <w:numPr>
          <w:ilvl w:val="1"/>
          <w:numId w:val="138"/>
        </w:numPr>
        <w:rPr>
          <w:rFonts w:ascii="Arial" w:cs="Arial" w:eastAsia="Arial" w:hAnsi="Arial"/>
          <w:sz w:val="20"/>
          <w:szCs w:val="20"/>
          <w:color w:val="auto"/>
        </w:rPr>
      </w:pPr>
      <w:r>
        <w:rPr>
          <w:rFonts w:ascii="Arial" w:cs="Arial" w:eastAsia="Arial" w:hAnsi="Arial"/>
          <w:sz w:val="22"/>
          <w:szCs w:val="22"/>
          <w:color w:val="auto"/>
        </w:rPr>
        <w:t>Executive has not initiated any adversarial proceedings of any kind against the Company or against any other person or entity released herein, nor will Executive do so in the future, except as specifically allowed by this Release.</w:t>
      </w:r>
    </w:p>
    <w:p>
      <w:pPr>
        <w:spacing w:after="0" w:line="180" w:lineRule="exact"/>
        <w:rPr>
          <w:rFonts w:ascii="Arial" w:cs="Arial" w:eastAsia="Arial" w:hAnsi="Arial"/>
          <w:sz w:val="20"/>
          <w:szCs w:val="20"/>
          <w:color w:val="auto"/>
        </w:rPr>
      </w:pPr>
    </w:p>
    <w:p>
      <w:pPr>
        <w:ind w:right="840" w:firstLine="1287"/>
        <w:spacing w:after="0" w:line="276" w:lineRule="auto"/>
        <w:tabs>
          <w:tab w:leader="none" w:pos="1701" w:val="left"/>
        </w:tabs>
        <w:numPr>
          <w:ilvl w:val="0"/>
          <w:numId w:val="138"/>
        </w:numPr>
        <w:rPr>
          <w:rFonts w:ascii="Arial" w:cs="Arial" w:eastAsia="Arial" w:hAnsi="Arial"/>
          <w:sz w:val="20"/>
          <w:szCs w:val="20"/>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Release are severable. If any provision is held to be invalid or unenforceable, it shall not affect the validity or enforceability of any other provision.</w:t>
      </w:r>
    </w:p>
    <w:p>
      <w:pPr>
        <w:spacing w:after="0" w:line="160" w:lineRule="exact"/>
        <w:rPr>
          <w:rFonts w:ascii="Arial" w:cs="Arial" w:eastAsia="Arial" w:hAnsi="Arial"/>
          <w:sz w:val="20"/>
          <w:szCs w:val="20"/>
          <w:color w:val="auto"/>
        </w:rPr>
      </w:pPr>
    </w:p>
    <w:p>
      <w:pPr>
        <w:ind w:firstLine="1287"/>
        <w:spacing w:after="0" w:line="259" w:lineRule="auto"/>
        <w:tabs>
          <w:tab w:leader="none" w:pos="1701" w:val="left"/>
        </w:tabs>
        <w:numPr>
          <w:ilvl w:val="0"/>
          <w:numId w:val="138"/>
        </w:numPr>
        <w:rPr>
          <w:rFonts w:ascii="Arial" w:cs="Arial" w:eastAsia="Arial" w:hAnsi="Arial"/>
          <w:sz w:val="20"/>
          <w:szCs w:val="20"/>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Release shall in all respects be governed and construed in accordance with the laws of the State of Texas, including all matters of construction, validity and performance, without regard to conflicts of law principles.</w:t>
      </w:r>
    </w:p>
    <w:p>
      <w:pPr>
        <w:spacing w:after="0" w:line="180" w:lineRule="exact"/>
        <w:rPr>
          <w:rFonts w:ascii="Arial" w:cs="Arial" w:eastAsia="Arial" w:hAnsi="Arial"/>
          <w:sz w:val="20"/>
          <w:szCs w:val="20"/>
          <w:color w:val="auto"/>
        </w:rPr>
      </w:pPr>
    </w:p>
    <w:p>
      <w:pPr>
        <w:ind w:right="120" w:firstLine="1287"/>
        <w:spacing w:after="0" w:line="307" w:lineRule="auto"/>
        <w:tabs>
          <w:tab w:leader="none" w:pos="1701" w:val="left"/>
        </w:tabs>
        <w:numPr>
          <w:ilvl w:val="0"/>
          <w:numId w:val="138"/>
        </w:numPr>
        <w:rPr>
          <w:rFonts w:ascii="Arial" w:cs="Arial" w:eastAsia="Arial" w:hAnsi="Arial"/>
          <w:sz w:val="18"/>
          <w:szCs w:val="18"/>
          <w:color w:val="auto"/>
        </w:rPr>
      </w:pPr>
      <w:r>
        <w:rPr>
          <w:rFonts w:ascii="Arial" w:cs="Arial" w:eastAsia="Arial" w:hAnsi="Arial"/>
          <w:sz w:val="19"/>
          <w:szCs w:val="19"/>
          <w:u w:val="single" w:color="auto"/>
          <w:color w:val="auto"/>
        </w:rPr>
        <w:t>Integration Clause</w:t>
      </w:r>
      <w:r>
        <w:rPr>
          <w:rFonts w:ascii="Arial" w:cs="Arial" w:eastAsia="Arial" w:hAnsi="Arial"/>
          <w:sz w:val="19"/>
          <w:szCs w:val="19"/>
          <w:color w:val="auto"/>
        </w:rPr>
        <w:t>. This Release and the Severance Agreement contain the Parties’ entire agreement with regard to the separation of Executive’s employment, and supersede and replace any prior agreements as to those matters, whether oral or written. This Release may not be changed or modified, in whole or in part, except by an instrument in writing signed by Executive and a duly authorized officer or director of the Company.</w:t>
      </w:r>
    </w:p>
    <w:p>
      <w:pPr>
        <w:spacing w:after="0" w:line="137" w:lineRule="exact"/>
        <w:rPr>
          <w:rFonts w:ascii="Arial" w:cs="Arial" w:eastAsia="Arial" w:hAnsi="Arial"/>
          <w:sz w:val="18"/>
          <w:szCs w:val="18"/>
          <w:color w:val="auto"/>
        </w:rPr>
      </w:pPr>
    </w:p>
    <w:p>
      <w:pPr>
        <w:ind w:right="400" w:firstLine="1287"/>
        <w:spacing w:after="0" w:line="259" w:lineRule="auto"/>
        <w:tabs>
          <w:tab w:leader="none" w:pos="1701" w:val="left"/>
        </w:tabs>
        <w:numPr>
          <w:ilvl w:val="0"/>
          <w:numId w:val="138"/>
        </w:numPr>
        <w:rPr>
          <w:rFonts w:ascii="Arial" w:cs="Arial" w:eastAsia="Arial" w:hAnsi="Arial"/>
          <w:sz w:val="20"/>
          <w:szCs w:val="20"/>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Release may be executed in counterparts with the same force and effectiveness as though executed in a single document. Facsimile signatures shall have the same force and effectiveness as original signatures.</w:t>
      </w:r>
    </w:p>
    <w:p>
      <w:pPr>
        <w:spacing w:after="0" w:line="180" w:lineRule="exact"/>
        <w:rPr>
          <w:rFonts w:ascii="Arial" w:cs="Arial" w:eastAsia="Arial" w:hAnsi="Arial"/>
          <w:sz w:val="20"/>
          <w:szCs w:val="20"/>
          <w:color w:val="auto"/>
        </w:rPr>
      </w:pPr>
    </w:p>
    <w:p>
      <w:pPr>
        <w:ind w:right="160" w:firstLine="1287"/>
        <w:spacing w:after="0" w:line="301" w:lineRule="auto"/>
        <w:tabs>
          <w:tab w:leader="none" w:pos="1701" w:val="left"/>
        </w:tabs>
        <w:numPr>
          <w:ilvl w:val="0"/>
          <w:numId w:val="138"/>
        </w:numPr>
        <w:rPr>
          <w:rFonts w:ascii="Arial" w:cs="Arial" w:eastAsia="Arial" w:hAnsi="Arial"/>
          <w:sz w:val="19"/>
          <w:szCs w:val="19"/>
          <w:color w:val="auto"/>
        </w:rPr>
      </w:pPr>
      <w:r>
        <w:rPr>
          <w:rFonts w:ascii="Arial" w:cs="Arial" w:eastAsia="Arial" w:hAnsi="Arial"/>
          <w:sz w:val="21"/>
          <w:szCs w:val="21"/>
          <w:u w:val="single" w:color="auto"/>
          <w:color w:val="auto"/>
        </w:rPr>
        <w:t>Intent to be Bound</w:t>
      </w:r>
      <w:r>
        <w:rPr>
          <w:rFonts w:ascii="Arial" w:cs="Arial" w:eastAsia="Arial" w:hAnsi="Arial"/>
          <w:sz w:val="21"/>
          <w:szCs w:val="21"/>
          <w:color w:val="auto"/>
        </w:rPr>
        <w:t>. The Parties have carefully read this Release in its entirety; fully understand and agree to its terms and provisions; and intend and agree that it is final and binding on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60"/>
          </w:cols>
          <w:pgMar w:left="580" w:top="1440" w:right="359" w:bottom="1440" w:gutter="0" w:footer="0" w:header="0"/>
        </w:sectPr>
      </w:pPr>
    </w:p>
    <w:bookmarkStart w:id="179" w:name="page180"/>
    <w:bookmarkEnd w:id="179"/>
    <w:p>
      <w:pPr>
        <w:spacing w:after="0" w:line="200" w:lineRule="exact"/>
        <w:rPr>
          <w:sz w:val="20"/>
          <w:szCs w:val="20"/>
          <w:color w:val="auto"/>
        </w:rPr>
      </w:pPr>
    </w:p>
    <w:p>
      <w:pPr>
        <w:spacing w:after="0" w:line="342" w:lineRule="exact"/>
        <w:rPr>
          <w:sz w:val="20"/>
          <w:szCs w:val="20"/>
          <w:color w:val="auto"/>
        </w:rPr>
      </w:pPr>
    </w:p>
    <w:p>
      <w:pPr>
        <w:ind w:firstLine="864"/>
        <w:spacing w:after="0" w:line="263" w:lineRule="auto"/>
        <w:rPr>
          <w:sz w:val="20"/>
          <w:szCs w:val="20"/>
          <w:color w:val="auto"/>
        </w:rPr>
      </w:pPr>
      <w:r>
        <w:rPr>
          <w:rFonts w:ascii="Arial" w:cs="Arial" w:eastAsia="Arial" w:hAnsi="Arial"/>
          <w:sz w:val="22"/>
          <w:szCs w:val="22"/>
          <w:color w:val="auto"/>
        </w:rPr>
        <w:t>IN WITNESS WHEREOF, and intending to be legally bound, the Parties have executed the foregoing on the dates shown below.</w:t>
      </w:r>
    </w:p>
    <w:p>
      <w:pPr>
        <w:spacing w:after="0" w:line="200" w:lineRule="exact"/>
        <w:rPr>
          <w:sz w:val="20"/>
          <w:szCs w:val="20"/>
          <w:color w:val="auto"/>
        </w:rPr>
      </w:pPr>
    </w:p>
    <w:p>
      <w:pPr>
        <w:spacing w:after="0" w:line="347"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AMERICAN AIRLINES GROUP, INC.</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By:</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ind w:left="58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13335</wp:posOffset>
            </wp:positionV>
            <wp:extent cx="30003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AMERICAN AIRLINES, INC.</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By:</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ind w:left="58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13335</wp:posOffset>
            </wp:positionV>
            <wp:extent cx="30003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294005</wp:posOffset>
            </wp:positionV>
            <wp:extent cx="34715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13335</wp:posOffset>
            </wp:positionV>
            <wp:extent cx="28200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80"/>
          </w:cols>
          <w:pgMar w:left="320" w:top="1440" w:right="799" w:bottom="1440" w:gutter="0" w:footer="0" w:header="0"/>
        </w:sectPr>
      </w:pPr>
    </w:p>
    <w:bookmarkStart w:id="180" w:name="page181"/>
    <w:bookmarkEnd w:id="180"/>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 AGREEMENT</w:t>
      </w:r>
    </w:p>
    <w:p>
      <w:pPr>
        <w:spacing w:after="0" w:line="280" w:lineRule="exact"/>
        <w:rPr>
          <w:sz w:val="20"/>
          <w:szCs w:val="20"/>
          <w:color w:val="auto"/>
        </w:rPr>
      </w:pPr>
    </w:p>
    <w:p>
      <w:pPr>
        <w:jc w:val="both"/>
        <w:ind w:firstLine="385"/>
        <w:spacing w:after="0" w:line="297" w:lineRule="auto"/>
        <w:rPr>
          <w:sz w:val="20"/>
          <w:szCs w:val="20"/>
          <w:color w:val="auto"/>
        </w:rPr>
      </w:pPr>
      <w:r>
        <w:rPr>
          <w:rFonts w:ascii="Arial" w:cs="Arial" w:eastAsia="Arial" w:hAnsi="Arial"/>
          <w:sz w:val="19"/>
          <w:szCs w:val="19"/>
          <w:color w:val="auto"/>
        </w:rPr>
        <w:t>This Restrictive Covenants Agreement (“</w:t>
      </w:r>
      <w:r>
        <w:rPr>
          <w:rFonts w:ascii="Arial" w:cs="Arial" w:eastAsia="Arial" w:hAnsi="Arial"/>
          <w:sz w:val="19"/>
          <w:szCs w:val="19"/>
          <w:b w:val="1"/>
          <w:bCs w:val="1"/>
          <w:i w:val="1"/>
          <w:iCs w:val="1"/>
          <w:color w:val="auto"/>
        </w:rPr>
        <w:t>Restrictive Covenants Agreement</w:t>
      </w:r>
      <w:r>
        <w:rPr>
          <w:rFonts w:ascii="Arial" w:cs="Arial" w:eastAsia="Arial" w:hAnsi="Arial"/>
          <w:sz w:val="19"/>
          <w:szCs w:val="19"/>
          <w:color w:val="auto"/>
        </w:rPr>
        <w:t>”) is entered into by and between American Airlines Group, Inc. on behalf of itself, its subsidiaries, and other affiliates (collectively referred to herein as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Stephen L. Johnson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as of September 20,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as consideration for and ancillary to the Company’s agreement to enter into the severance agreement to which this Restrictive Covenants Agreement is attached (the “</w:t>
      </w:r>
      <w:r>
        <w:rPr>
          <w:rFonts w:ascii="Arial" w:cs="Arial" w:eastAsia="Arial" w:hAnsi="Arial"/>
          <w:sz w:val="19"/>
          <w:szCs w:val="19"/>
          <w:b w:val="1"/>
          <w:bCs w:val="1"/>
          <w:i w:val="1"/>
          <w:iCs w:val="1"/>
          <w:color w:val="auto"/>
        </w:rPr>
        <w:t>Severance Agreement</w:t>
      </w:r>
      <w:r>
        <w:rPr>
          <w:rFonts w:ascii="Arial" w:cs="Arial" w:eastAsia="Arial" w:hAnsi="Arial"/>
          <w:sz w:val="19"/>
          <w:szCs w:val="19"/>
          <w:color w:val="auto"/>
        </w:rPr>
        <w:t>”), and to protect the goodwill and other legitimate business interests of the Company.</w:t>
      </w:r>
    </w:p>
    <w:p>
      <w:pPr>
        <w:spacing w:after="0" w:line="201" w:lineRule="exact"/>
        <w:rPr>
          <w:sz w:val="20"/>
          <w:szCs w:val="20"/>
          <w:color w:val="auto"/>
        </w:rPr>
      </w:pPr>
    </w:p>
    <w:p>
      <w:pPr>
        <w:jc w:val="both"/>
        <w:ind w:left="180" w:firstLine="638"/>
        <w:spacing w:after="0" w:line="287" w:lineRule="auto"/>
        <w:tabs>
          <w:tab w:leader="none" w:pos="1314"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In furtherance of Executive’s job duties, the Company agrees to provide Executive with access to and use of certain of the Company’s confidential or proprietary information that the Company deems necessary and reasonable for Executive to perform Executive’s job duties, Executive agrees to safeguard the confidentiality of such information, and to not use or disclose any of the Company’s confidential or proprietary information without the Company’s written approval, except as reasonably necessary to carry out Executive’s job duties. For the avoidance of doubt, the foregoing restrictions shall not apply to information that is or becomes generally known in the public through lawful means, and not through a breach of this Restrictive Covenants Agreement or other legal or contractual obligation. In addition, Executive acknowledges that Executive continues to be bound by the confidentiality provisions contained in the Company’s Standards of Business Conduct, the terms and conditions of which are incorporated herein by reference. Nothing herein shall be deemed to limit in any way Executive’s obligations under the Company’s Standards of Business Conduct. In the event of any conflict between the terms hereof and the terms of the Company’s Standards of Business Conduct, the more restrictive terms shall prevail. For the avoidance of doubt, nothing in this Restrictive Covenants Agreement or the Company’s Standards of Business Conduct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provided, however, that Executive may not disclose information of the Company or any of their affiliates that is protected by the attorney-client privilege, except as otherwise required by law. Executive does not need the prior authorization of the Company to make any such reports or disclosures, and Executive is not required to notify the Company that Executive has made such reports or disclosures. Executive acknowledges receipt of notice of immunity rights under the U.S. Defend Trade Secrets Act, which states: (1) an individual shall not be held criminally or civilly liable under any federal or state trade secret law for the disclosure of a trade secret that is made (A) in confidence to a federal, state, or local government official, either directly or indirectly, or to an attorney, solely for the purpose of reporting or investigating a suspected violation of law; or (B) in a complaint or other document filed in a lawsuit or other proceeding, if such filing is made under seal; and (2) an individual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p>
    <w:p>
      <w:pPr>
        <w:spacing w:after="0" w:line="342" w:lineRule="exact"/>
        <w:rPr>
          <w:sz w:val="20"/>
          <w:szCs w:val="20"/>
          <w:color w:val="auto"/>
        </w:rPr>
      </w:pPr>
    </w:p>
    <w:p>
      <w:pPr>
        <w:jc w:val="both"/>
        <w:ind w:left="180"/>
        <w:spacing w:after="0" w:line="312" w:lineRule="auto"/>
        <w:rPr>
          <w:sz w:val="20"/>
          <w:szCs w:val="20"/>
          <w:color w:val="auto"/>
        </w:rPr>
      </w:pPr>
      <w:r>
        <w:rPr>
          <w:rFonts w:ascii="Arial" w:cs="Arial" w:eastAsia="Arial" w:hAnsi="Arial"/>
          <w:sz w:val="19"/>
          <w:szCs w:val="19"/>
          <w:color w:val="auto"/>
        </w:rPr>
        <w:t>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47" w:lineRule="exact"/>
        <w:rPr>
          <w:sz w:val="20"/>
          <w:szCs w:val="20"/>
          <w:color w:val="auto"/>
        </w:rPr>
      </w:pPr>
    </w:p>
    <w:p>
      <w:pPr>
        <w:ind w:left="1300" w:hanging="482"/>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87" w:lineRule="auto"/>
        <w:tabs>
          <w:tab w:leader="none" w:pos="1941" w:val="left"/>
        </w:tabs>
        <w:numPr>
          <w:ilvl w:val="1"/>
          <w:numId w:val="140"/>
        </w:numPr>
        <w:rPr>
          <w:rFonts w:ascii="Arial" w:cs="Arial" w:eastAsia="Arial" w:hAnsi="Arial"/>
          <w:sz w:val="19"/>
          <w:szCs w:val="19"/>
          <w:color w:val="auto"/>
        </w:rPr>
      </w:pPr>
      <w:r>
        <w:rPr>
          <w:rFonts w:ascii="Arial" w:cs="Arial" w:eastAsia="Arial" w:hAnsi="Arial"/>
          <w:sz w:val="19"/>
          <w:szCs w:val="19"/>
          <w:color w:val="auto"/>
        </w:rPr>
        <w:t>Executive acknowledges that during the course of Executive’s employment (which as used in this Restrictive Covenants Agreement shall include engagement as an independent contractor or other non-employee role as well) with the Company, Executive has and shall become familiar with the Company’s corporate strategy, pricing and other market information, know-how, trade secrets, and valuable customer, supplier and employee relationships, and with other confidential or proprietary information concerning the Company, and that Executive’s services shall be of special, unique and extraordinary value to the Company. Executive also acknowledges that the Company’s business, through (A) the location of its customers and facilities and (B) the area in which its services are offered, is international in scope and extends worldwide. Accordingly, Executive agrees that, during Executive’s employment with the Company and for twelve (12) months thereafter (unless some longer period is specified in any other agreement between Executive and the Company) (the “</w:t>
      </w:r>
      <w:r>
        <w:rPr>
          <w:rFonts w:ascii="Arial" w:cs="Arial" w:eastAsia="Arial" w:hAnsi="Arial"/>
          <w:sz w:val="19"/>
          <w:szCs w:val="19"/>
          <w:b w:val="1"/>
          <w:bCs w:val="1"/>
          <w:i w:val="1"/>
          <w:iCs w:val="1"/>
          <w:color w:val="auto"/>
        </w:rPr>
        <w:t>Noncompete Period</w:t>
      </w:r>
      <w:r>
        <w:rPr>
          <w:rFonts w:ascii="Arial" w:cs="Arial" w:eastAsia="Arial" w:hAnsi="Arial"/>
          <w:sz w:val="19"/>
          <w:szCs w:val="19"/>
          <w:color w:val="auto"/>
        </w:rPr>
        <w:t>”), Executive shall not directly or indirectly: (i) own any interest in, manage, control, or in any other manner engage in, or take significant steps to engage in, any Competing Business (as defined on Annex 1 to this Agreement), provided nothing herein shall prohibit Executive from being a passive owner of not more than two percent (2%) of the outstanding stock of any class of the stock of a corporation which is publicly traded, so long as Executive has no active participation in the business of such corporation, or (ii) be employed by, consult with, or render services to any Competing Business, whether as an employee, consultant, contractor, advisor, member, director, or otherwise, in a role that is similar to any role Executive held at any time while employed by the Company, that is executive or managerial in nature, or in which Executive could reasonably be expected to use or disclose any of confidential or proprietary information of the Company, in either case (i) or (ii), in any state, country and area where the Company conducts business during Executive’s employment with the Company or has material plans to conduct business as of the termination of such employment (the “</w:t>
      </w:r>
      <w:r>
        <w:rPr>
          <w:rFonts w:ascii="Arial" w:cs="Arial" w:eastAsia="Arial" w:hAnsi="Arial"/>
          <w:sz w:val="19"/>
          <w:szCs w:val="19"/>
          <w:b w:val="1"/>
          <w:bCs w:val="1"/>
          <w:i w:val="1"/>
          <w:iCs w:val="1"/>
          <w:color w:val="auto"/>
        </w:rPr>
        <w:t>Geographic Area</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firstLine="1304"/>
        <w:spacing w:after="0" w:line="261" w:lineRule="auto"/>
        <w:tabs>
          <w:tab w:leader="none" w:pos="1939" w:val="left"/>
        </w:tabs>
        <w:numPr>
          <w:ilvl w:val="1"/>
          <w:numId w:val="140"/>
        </w:numPr>
        <w:rPr>
          <w:rFonts w:ascii="Arial" w:cs="Arial" w:eastAsia="Arial" w:hAnsi="Arial"/>
          <w:sz w:val="21"/>
          <w:szCs w:val="21"/>
          <w:color w:val="auto"/>
        </w:rPr>
      </w:pPr>
      <w:r>
        <w:rPr>
          <w:rFonts w:ascii="Arial" w:cs="Arial" w:eastAsia="Arial" w:hAnsi="Arial"/>
          <w:sz w:val="21"/>
          <w:szCs w:val="21"/>
          <w:color w:val="auto"/>
        </w:rPr>
        <w:t>During Executive’s employment with the Company and for twenty-four (24) months thereafter (the “</w:t>
      </w:r>
      <w:r>
        <w:rPr>
          <w:rFonts w:ascii="Arial" w:cs="Arial" w:eastAsia="Arial" w:hAnsi="Arial"/>
          <w:sz w:val="21"/>
          <w:szCs w:val="21"/>
          <w:b w:val="1"/>
          <w:bCs w:val="1"/>
          <w:i w:val="1"/>
          <w:iCs w:val="1"/>
          <w:color w:val="auto"/>
        </w:rPr>
        <w:t>Non-Solicit Period</w:t>
      </w:r>
      <w:r>
        <w:rPr>
          <w:rFonts w:ascii="Arial" w:cs="Arial" w:eastAsia="Arial" w:hAnsi="Arial"/>
          <w:sz w:val="21"/>
          <w:szCs w:val="21"/>
          <w:color w:val="auto"/>
        </w:rPr>
        <w:t>”), Executive shall not directly or indirectly through another individual, corporation, partnership, limited liability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joint venture, estate, trust, association, unincorporated organization or other entity or group (A) solicit for employment or hire, employ or hire, or otherwise induce or attempt to induce any employee, consultant or other service provider of the Company to leave the employ or engagement of the Company, or in any way interfere with the relationship between the Company and any employee, consultant, or other service provider thereof, (B) solicit the business of or offer or provide services that are similar to the Company’s services to any of the Company’s customers, or (C) induce or encourage any customer, supplier, licensee, licensor or other business relation of the Company to cease doing business with the Company, or in any way interfere with the relationship between any such customer, supplier, licensee, licensor or business relation and the Company (including, without limitation, making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00" w:lineRule="exact"/>
        <w:rPr>
          <w:sz w:val="20"/>
          <w:szCs w:val="20"/>
          <w:color w:val="auto"/>
        </w:rPr>
      </w:pPr>
    </w:p>
    <w:p>
      <w:pPr>
        <w:spacing w:after="0" w:line="342"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negative or disparaging statements or communications regarding the Company) in the Geographic Area; provided, that the foregoing shall be limited to such employees, consultants, service providers, customers, suppliers, licensees, licensors or other business relations with which Executive had business dealings or about whom or which Executive acquired information or had access to the Company’s confidential information about the customer, employee, consultant, service provider, suppliers, licensee or licensor during Executive’s employment with the Company.</w:t>
      </w:r>
    </w:p>
    <w:p>
      <w:pPr>
        <w:spacing w:after="0" w:line="174" w:lineRule="exact"/>
        <w:rPr>
          <w:sz w:val="20"/>
          <w:szCs w:val="20"/>
          <w:color w:val="auto"/>
        </w:rPr>
      </w:pPr>
    </w:p>
    <w:p>
      <w:pPr>
        <w:jc w:val="both"/>
        <w:ind w:firstLine="818"/>
        <w:spacing w:after="0" w:line="289" w:lineRule="auto"/>
        <w:tabs>
          <w:tab w:leader="none" w:pos="1296"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If, at the time of enforcement of Sections 1 or 2, a court or other governing body shall hold that the limitations as to time, geographic area or scope of activity stated herein are unreasonable under circumstances then existing, Executive agrees that the maximum limitations as to time, geographic area or scope of activity that are reasonable under such circumstances shall be substituted for the stated limitations and that the court or other governing body shall reform the restrictions contained herein to cover the maximum period, scope and area permitted by law. Executive acknowledges that the restrictions contained in Sections 1 and 2 are reasonable and necessary for the protection of the Company’s confidential information, goodwill and other legitimate business interests. Executive acknowledges that any breach or threatened breach of the provisions of Sections 1 or 2 would cause the Company irreparable harm. Accordingly, in addition to other rights and remedies existing in its favor, the Company shall be entitled to seek specific performance and/or injunctive or other equitable relief from a court of competent jurisdiction in order to enforce or prevent any violations of the provisions hereof (without posting a bond or other security). Further, in the event of an alleged breach or violation of Section 1 or 2 by Executive, the Noncompete Period or Non-Solicit Period, as applicable, shall be tolled until such breach or violation has been duly cured and the Noncompete Period or Non-Solicit Period, as applicable, shall be extended by the period of time during which Executive was in breach of the restrictive covenants. The parties agree that because the Company is based in Texas and this Restrictive Covenants Agreement was negotiated, entered into and is performable in whole or in part in Texas, the laws of the State of Texas shall govern this Restrictive Covenants Agreement.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249" w:lineRule="auto"/>
        <w:tabs>
          <w:tab w:leader="none" w:pos="1296"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No Restriction on Earning a Living</w:t>
      </w:r>
      <w:r>
        <w:rPr>
          <w:rFonts w:ascii="Arial" w:cs="Arial" w:eastAsia="Arial" w:hAnsi="Arial"/>
          <w:sz w:val="22"/>
          <w:szCs w:val="22"/>
          <w:color w:val="auto"/>
        </w:rPr>
        <w:t>. By Executive’s entrance into the Severance Agreement and this Restrictive Covenants Agreement, Executive hereby acknowledges that the provisions of this Restrictive Covenants Agreement do not preclude Executive from earning a livelihood, nor do they unreasonably impose limitations on Executive’s ability to earn a living. In addition, Executive hereby acknowledges that the potential harm to the Company of non-enforcement of this Restrictive Covenants Agreement outweighs any harm to Executive of enforcement (by injunction or otherwise) of this Restrictive Covenants Agreement against Executive.</w:t>
      </w:r>
    </w:p>
    <w:p>
      <w:pPr>
        <w:spacing w:after="0" w:line="193" w:lineRule="exact"/>
        <w:rPr>
          <w:rFonts w:ascii="Arial" w:cs="Arial" w:eastAsia="Arial" w:hAnsi="Arial"/>
          <w:sz w:val="22"/>
          <w:szCs w:val="22"/>
          <w:color w:val="auto"/>
        </w:rPr>
      </w:pPr>
    </w:p>
    <w:p>
      <w:pPr>
        <w:jc w:val="both"/>
        <w:ind w:firstLine="656"/>
        <w:spacing w:after="0" w:line="264" w:lineRule="auto"/>
        <w:tabs>
          <w:tab w:leader="none" w:pos="1296"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Breach</w:t>
      </w:r>
      <w:r>
        <w:rPr>
          <w:rFonts w:ascii="Arial" w:cs="Arial" w:eastAsia="Arial" w:hAnsi="Arial"/>
          <w:sz w:val="21"/>
          <w:szCs w:val="21"/>
          <w:color w:val="auto"/>
        </w:rPr>
        <w:t>. If at any time before or after the date Executive’s employment or other service relationship with the Company is terminated, Executive breaches any of the obligations under this Restrictive Covenants Agreement, then, in addition to all other legal and equitable remedies available to the Company, the Company may, by delivery of written notice to Executive within ninety (90) days after its actual knowledge of such breach, terminate Executive’s right to receive any unpaid severance benefits and any unvested portion of any equity awards, require the repayment of any severance benefits previously paid and elect to purchase all or any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p>
    <w:p>
      <w:pPr>
        <w:spacing w:after="0" w:line="34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Company common stock issued to Executive (to the extent not previously repurchased) upon vesting or exercise of an equity award at a price per share equal to the lower of fair market value as of the date of repurchase or the original purchase price paid by Executive. In the event Executive disposes of the shares of Company common stock acquired upon vesting or exercise of equity awards prior to the Company exercising its repurchase right pursuant to the preceding sentence, then Executive agrees to, within 10 days after receiving the Company’s written notice in accordance with this Section 5, remit to the Company an amount equal to the fair market value of the shares of Company common stock so disposed, calculated as of the date Executive disposed of the shares of Company common stock. Each written notice in accordance with this Section 5 will identify the shares of Company common stock to be acquired from Executive, the repurchase price of such Company common stock and the time and place for the closing of the transaction. At the closing, the Company shall pay the repurchase price to Executive, and Executive shall transfer the shares of Company common stock being repurchased to the Company or the fair market value of such shares of Company common stock as of the date Executive disposed of them, as applicable. Executive hereby appoints the Company as Executive’s attorney-in-fact to facilitate and effect any such repurchase.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the Company and Executive have executed this Restrictive Covenants Agreement as of the Effective Date above.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American Airlines Group, Inc.</w:t>
      </w:r>
    </w:p>
    <w:p>
      <w:pPr>
        <w:spacing w:after="0" w:line="31"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Grant McGee</w:t>
      </w:r>
    </w:p>
    <w:p>
      <w:pPr>
        <w:spacing w:after="0" w:line="12"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Name: Grant McGee</w:t>
      </w:r>
    </w:p>
    <w:p>
      <w:pPr>
        <w:ind w:left="6420"/>
        <w:spacing w:after="0"/>
        <w:rPr>
          <w:sz w:val="20"/>
          <w:szCs w:val="20"/>
          <w:color w:val="auto"/>
        </w:rPr>
      </w:pPr>
      <w:r>
        <w:rPr>
          <w:rFonts w:ascii="Arial" w:cs="Arial" w:eastAsia="Arial" w:hAnsi="Arial"/>
          <w:sz w:val="22"/>
          <w:szCs w:val="22"/>
          <w:color w:val="auto"/>
        </w:rPr>
        <w:t>Title: Vice President, Corporate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EXECUTIVE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/s/ Stephen L. Johnson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Print Name: Stephen L. Johnson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Restrictive Covenants Agreement</w:t>
      </w:r>
      <w:r>
        <w:rPr>
          <w:rFonts w:ascii="Arial" w:cs="Arial" w:eastAsia="Arial" w:hAnsi="Arial"/>
          <w:sz w:val="22"/>
          <w:szCs w:val="22"/>
          <w:color w:val="auto"/>
        </w:rPr>
        <w:t>]</w:t>
      </w:r>
    </w:p>
    <w:p>
      <w:pPr>
        <w:sectPr>
          <w:pgSz w:w="11900" w:h="16838" w:orient="portrait"/>
          <w:cols w:equalWidth="0" w:num="1">
            <w:col w:w="10900"/>
          </w:cols>
          <w:pgMar w:left="320" w:top="1440" w:right="679" w:bottom="1440" w:gutter="0" w:footer="0" w:header="0"/>
        </w:sectPr>
      </w:pPr>
    </w:p>
    <w:bookmarkStart w:id="185" w:name="page186"/>
    <w:bookmarkEnd w:id="185"/>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Competing Business Definition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Intentionally omitted pursuant to Regulation S-K, Item 601(a)(5)</w:t>
      </w:r>
    </w:p>
    <w:p>
      <w:pPr>
        <w:sectPr>
          <w:pgSz w:w="11900" w:h="16838" w:orient="portrait"/>
          <w:cols w:equalWidth="0" w:num="1">
            <w:col w:w="9019"/>
          </w:cols>
          <w:pgMar w:left="1440" w:top="1440"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 FOR EXECUTIVES</w:t>
      </w:r>
    </w:p>
    <w:p>
      <w:pPr>
        <w:spacing w:after="0" w:line="2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This Severance Agreement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and entered into by and among David G. Seymour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American Airlines Group, Inc., a Delaware corporation (“</w:t>
      </w:r>
      <w:r>
        <w:rPr>
          <w:rFonts w:ascii="Arial" w:cs="Arial" w:eastAsia="Arial" w:hAnsi="Arial"/>
          <w:sz w:val="21"/>
          <w:szCs w:val="21"/>
          <w:b w:val="1"/>
          <w:bCs w:val="1"/>
          <w:i w:val="1"/>
          <w:iCs w:val="1"/>
          <w:color w:val="auto"/>
        </w:rPr>
        <w:t>Group</w:t>
      </w:r>
      <w:r>
        <w:rPr>
          <w:rFonts w:ascii="Arial" w:cs="Arial" w:eastAsia="Arial" w:hAnsi="Arial"/>
          <w:sz w:val="21"/>
          <w:szCs w:val="21"/>
          <w:color w:val="auto"/>
        </w:rPr>
        <w:t>”), and American Airlines, Inc., a Delaware corporation and a wholly-owned subsidiary of Group (“</w:t>
      </w:r>
      <w:r>
        <w:rPr>
          <w:rFonts w:ascii="Arial" w:cs="Arial" w:eastAsia="Arial" w:hAnsi="Arial"/>
          <w:sz w:val="21"/>
          <w:szCs w:val="21"/>
          <w:b w:val="1"/>
          <w:bCs w:val="1"/>
          <w:i w:val="1"/>
          <w:iCs w:val="1"/>
          <w:color w:val="auto"/>
        </w:rPr>
        <w:t>American</w:t>
      </w:r>
      <w:r>
        <w:rPr>
          <w:rFonts w:ascii="Arial" w:cs="Arial" w:eastAsia="Arial" w:hAnsi="Arial"/>
          <w:sz w:val="21"/>
          <w:szCs w:val="21"/>
          <w:color w:val="auto"/>
        </w:rPr>
        <w:t>” and, together with Group,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effective as of the latest date set forth by the signatures of the parties hereto below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p>
    <w:p>
      <w:pPr>
        <w:spacing w:after="0" w:line="220" w:lineRule="exact"/>
        <w:rPr>
          <w:sz w:val="20"/>
          <w:szCs w:val="20"/>
          <w:color w:val="auto"/>
        </w:rPr>
      </w:pPr>
    </w:p>
    <w:p>
      <w:pPr>
        <w:jc w:val="both"/>
        <w:ind w:firstLine="656"/>
        <w:spacing w:after="0"/>
        <w:tabs>
          <w:tab w:leader="none" w:pos="129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Company believes that it is imperative to provide Executive with severance benefits upon certain terminations of Executive’s service to the Company that enhance Executive’s financial security and provide incentive and encouragement to Executive to remain with the Company.</w:t>
      </w:r>
    </w:p>
    <w:p>
      <w:pPr>
        <w:spacing w:after="0" w:line="199" w:lineRule="exact"/>
        <w:rPr>
          <w:rFonts w:ascii="Arial" w:cs="Arial" w:eastAsia="Arial" w:hAnsi="Arial"/>
          <w:sz w:val="22"/>
          <w:szCs w:val="22"/>
          <w:color w:val="auto"/>
        </w:rPr>
      </w:pPr>
    </w:p>
    <w:p>
      <w:pPr>
        <w:ind w:left="1120" w:hanging="464"/>
        <w:spacing w:after="0"/>
        <w:tabs>
          <w:tab w:leader="none" w:pos="112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Unless otherwise defined herein, capitalized terms used in this Agreement are defined in Section 9 below.</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agree as follows:</w:t>
      </w:r>
    </w:p>
    <w:p>
      <w:pPr>
        <w:spacing w:after="0" w:line="220" w:lineRule="exact"/>
        <w:rPr>
          <w:sz w:val="20"/>
          <w:szCs w:val="20"/>
          <w:color w:val="auto"/>
        </w:rPr>
      </w:pPr>
    </w:p>
    <w:p>
      <w:pPr>
        <w:ind w:right="200" w:firstLine="8"/>
        <w:spacing w:after="0" w:line="250" w:lineRule="auto"/>
        <w:tabs>
          <w:tab w:leader="none" w:pos="648"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shall become effective as of the Effective Date and terminate upon the date that all obligations of the parties hereto with respect to this Agreement have been satisfied.</w:t>
      </w:r>
    </w:p>
    <w:p>
      <w:pPr>
        <w:spacing w:after="0" w:line="174" w:lineRule="exact"/>
        <w:rPr>
          <w:rFonts w:ascii="Arial" w:cs="Arial" w:eastAsia="Arial" w:hAnsi="Arial"/>
          <w:sz w:val="22"/>
          <w:szCs w:val="22"/>
          <w:color w:val="auto"/>
        </w:rPr>
      </w:pPr>
    </w:p>
    <w:p>
      <w:pPr>
        <w:jc w:val="both"/>
        <w:ind w:firstLine="8"/>
        <w:spacing w:after="0" w:line="289" w:lineRule="auto"/>
        <w:tabs>
          <w:tab w:leader="none" w:pos="648"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 Further, any termination of or changes in the terms or conditions of Executive’s employment shall not affect the covenants set forth in the Restrictive Covenants Agreement (as defined below), which shall remain in full force and effect pursuant to their terms.</w:t>
      </w:r>
    </w:p>
    <w:p>
      <w:pPr>
        <w:spacing w:after="0" w:line="142" w:lineRule="exact"/>
        <w:rPr>
          <w:rFonts w:ascii="Arial" w:cs="Arial" w:eastAsia="Arial" w:hAnsi="Arial"/>
          <w:sz w:val="19"/>
          <w:szCs w:val="19"/>
          <w:color w:val="auto"/>
        </w:rPr>
      </w:pPr>
    </w:p>
    <w:p>
      <w:pPr>
        <w:jc w:val="both"/>
        <w:ind w:firstLine="8"/>
        <w:spacing w:after="0" w:line="285" w:lineRule="auto"/>
        <w:tabs>
          <w:tab w:leader="none" w:pos="648"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Covered Termination</w:t>
      </w:r>
      <w:r>
        <w:rPr>
          <w:rFonts w:ascii="Arial" w:cs="Arial" w:eastAsia="Arial" w:hAnsi="Arial"/>
          <w:sz w:val="19"/>
          <w:szCs w:val="19"/>
          <w:color w:val="auto"/>
        </w:rPr>
        <w:t xml:space="preserve">. If Executive experiences a Covered Termination, and delivers to the Company a general release of all claims against the Company and its affiliates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Release of Claims</w:t>
      </w:r>
      <w:r>
        <w:rPr>
          <w:rFonts w:ascii="Arial" w:cs="Arial" w:eastAsia="Arial" w:hAnsi="Arial"/>
          <w:sz w:val="19"/>
          <w:szCs w:val="19"/>
          <w:color w:val="auto"/>
        </w:rPr>
        <w:t>”) that becomes effective and irrevocable within sixty (60) days, or such shorter period of time specified by the Company, following such Covered Termination (the “</w:t>
      </w:r>
      <w:r>
        <w:rPr>
          <w:rFonts w:ascii="Arial" w:cs="Arial" w:eastAsia="Arial" w:hAnsi="Arial"/>
          <w:sz w:val="19"/>
          <w:szCs w:val="19"/>
          <w:b w:val="1"/>
          <w:bCs w:val="1"/>
          <w:i w:val="1"/>
          <w:iCs w:val="1"/>
          <w:color w:val="auto"/>
        </w:rPr>
        <w:t>Release Condition</w:t>
      </w:r>
      <w:r>
        <w:rPr>
          <w:rFonts w:ascii="Arial" w:cs="Arial" w:eastAsia="Arial" w:hAnsi="Arial"/>
          <w:sz w:val="19"/>
          <w:szCs w:val="19"/>
          <w:color w:val="auto"/>
        </w:rPr>
        <w:t>”), and continues to comply with the requirements set forth in Section 12, then in addition to any accrued but unpaid salary, bonus, benefits, vacation and expense reimbursement payable in accordance with applicable law, the Company shall provide Executive with the following:</w:t>
      </w:r>
    </w:p>
    <w:p>
      <w:pPr>
        <w:spacing w:after="0" w:line="157" w:lineRule="exact"/>
        <w:rPr>
          <w:rFonts w:ascii="Arial" w:cs="Arial" w:eastAsia="Arial" w:hAnsi="Arial"/>
          <w:sz w:val="19"/>
          <w:szCs w:val="19"/>
          <w:color w:val="auto"/>
        </w:rPr>
      </w:pPr>
    </w:p>
    <w:p>
      <w:pPr>
        <w:ind w:firstLine="656"/>
        <w:spacing w:after="0" w:line="239" w:lineRule="auto"/>
        <w:tabs>
          <w:tab w:leader="none" w:pos="1293" w:val="left"/>
        </w:tabs>
        <w:numPr>
          <w:ilvl w:val="1"/>
          <w:numId w:val="144"/>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 Executive shall be entitled to receive a severance payment in an amount equal to the sum of (i) eighteen (18) months of Executive’s base salary and (ii) 1.5 times Executive’s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187" w:name="page188"/>
    <w:bookmarkEnd w:id="187"/>
    <w:p>
      <w:pPr>
        <w:spacing w:after="0" w:line="200" w:lineRule="exact"/>
        <w:rPr>
          <w:sz w:val="20"/>
          <w:szCs w:val="20"/>
          <w:color w:val="auto"/>
        </w:rPr>
      </w:pPr>
    </w:p>
    <w:p>
      <w:pPr>
        <w:spacing w:after="0" w:line="38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target annual bonus assuming achievement of performance goals at target, in each case, at the rate in effect immediately prior to the Termination Date (in each case, without giving effect to any reduction in base salary that gives rise to a Covered Termination for Good Reason), less applicable withholdings. This severance payment shall be made to Executive in substantially equal installments over the eighteen (18) months immediately following the date of the Covered Termination in accordance with the Company’s normal payroll procedures with the first such installment to be made on the first payroll date following the date the Release of Claims becomes effective and irrevocable, provided, that if the Covered Termination occurs after November 1 of any year, the first such installment shall be made on the first payroll date of the subsequent year and, provided further, that, in each case, the first installment shall include any installment payments that would have been made had such installments commenced on the first payroll date after the Covered Termination.</w:t>
      </w:r>
    </w:p>
    <w:p>
      <w:pPr>
        <w:spacing w:after="0" w:line="145" w:lineRule="exact"/>
        <w:rPr>
          <w:sz w:val="20"/>
          <w:szCs w:val="20"/>
          <w:color w:val="auto"/>
        </w:rPr>
      </w:pPr>
    </w:p>
    <w:p>
      <w:pPr>
        <w:jc w:val="both"/>
        <w:ind w:firstLine="656"/>
        <w:spacing w:after="0" w:line="269" w:lineRule="auto"/>
        <w:tabs>
          <w:tab w:leader="none" w:pos="1291" w:val="left"/>
        </w:tabs>
        <w:numPr>
          <w:ilvl w:val="1"/>
          <w:numId w:val="145"/>
        </w:numPr>
        <w:rPr>
          <w:rFonts w:ascii="Arial" w:cs="Arial" w:eastAsia="Arial" w:hAnsi="Arial"/>
          <w:sz w:val="19"/>
          <w:szCs w:val="19"/>
          <w:color w:val="auto"/>
        </w:rPr>
      </w:pPr>
      <w:r>
        <w:rPr>
          <w:rFonts w:ascii="Arial" w:cs="Arial" w:eastAsia="Arial" w:hAnsi="Arial"/>
          <w:sz w:val="19"/>
          <w:szCs w:val="19"/>
          <w:u w:val="single" w:color="auto"/>
          <w:color w:val="auto"/>
        </w:rPr>
        <w:t>Continued Healthcare</w:t>
      </w:r>
      <w:r>
        <w:rPr>
          <w:rFonts w:ascii="Arial" w:cs="Arial" w:eastAsia="Arial" w:hAnsi="Arial"/>
          <w:sz w:val="19"/>
          <w:szCs w:val="19"/>
          <w:color w:val="auto"/>
        </w:rPr>
        <w:t>. As additional severance, Executive shall be entitled to receive a payment in an amount equal to the product of (i) eighteen (18) multiplied by (ii) the monthly premium for continued healthcare coverage pursuant to the provisions of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for Executive and Executive’s covered dependents based on Executive’s elected healthcare coverage and COBRA premium rates, in each case, in effect as of the Termination Date, payable in a lump sum, less applicable withholdings, no later than the first regular payroll date following the date the Release of Claims becomes effective and irrevocable. Executive acknowledges that Executive shall be solely responsible for all matters relating to any continuation of coverage pursuant to COBRA, including, without limitation, Executive’s election of such coverage and Executive’s timely payment of premiums.</w:t>
      </w:r>
    </w:p>
    <w:p>
      <w:pPr>
        <w:spacing w:after="0" w:line="160" w:lineRule="exact"/>
        <w:rPr>
          <w:rFonts w:ascii="Arial" w:cs="Arial" w:eastAsia="Arial" w:hAnsi="Arial"/>
          <w:sz w:val="19"/>
          <w:szCs w:val="19"/>
          <w:color w:val="auto"/>
        </w:rPr>
      </w:pPr>
    </w:p>
    <w:p>
      <w:pPr>
        <w:jc w:val="both"/>
        <w:ind w:firstLine="656"/>
        <w:spacing w:after="0" w:line="231" w:lineRule="auto"/>
        <w:tabs>
          <w:tab w:leader="none" w:pos="1293"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Each outstanding and unvested equity award, including, without limitation, each restricted stock unit award, held by Executive shall remain outstanding following the Termination Date and continue to vest in accordance with its original vesting schedule during the eighteen (18) month period immediately following the Termination Date without regard to any continued service requirements but, for any performance-based award, subject to the attainment of the performance goals applicable to such award.</w:t>
      </w:r>
    </w:p>
    <w:p>
      <w:pPr>
        <w:spacing w:after="0" w:line="186" w:lineRule="exact"/>
        <w:rPr>
          <w:rFonts w:ascii="Arial" w:cs="Arial" w:eastAsia="Arial" w:hAnsi="Arial"/>
          <w:sz w:val="22"/>
          <w:szCs w:val="22"/>
          <w:color w:val="auto"/>
        </w:rPr>
      </w:pPr>
    </w:p>
    <w:p>
      <w:pPr>
        <w:jc w:val="both"/>
        <w:ind w:firstLine="656"/>
        <w:spacing w:after="0" w:line="269" w:lineRule="auto"/>
        <w:tabs>
          <w:tab w:leader="none" w:pos="1291" w:val="left"/>
        </w:tabs>
        <w:numPr>
          <w:ilvl w:val="1"/>
          <w:numId w:val="145"/>
        </w:numPr>
        <w:rPr>
          <w:rFonts w:ascii="Arial" w:cs="Arial" w:eastAsia="Arial" w:hAnsi="Arial"/>
          <w:sz w:val="19"/>
          <w:szCs w:val="19"/>
          <w:color w:val="auto"/>
        </w:rPr>
      </w:pPr>
      <w:r>
        <w:rPr>
          <w:rFonts w:ascii="Arial" w:cs="Arial" w:eastAsia="Arial" w:hAnsi="Arial"/>
          <w:sz w:val="19"/>
          <w:szCs w:val="19"/>
          <w:u w:val="single" w:color="auto"/>
          <w:color w:val="auto"/>
        </w:rPr>
        <w:t>Travel Privileges</w:t>
      </w:r>
      <w:r>
        <w:rPr>
          <w:rFonts w:ascii="Arial" w:cs="Arial" w:eastAsia="Arial" w:hAnsi="Arial"/>
          <w:sz w:val="19"/>
          <w:szCs w:val="19"/>
          <w:color w:val="auto"/>
        </w:rPr>
        <w:t>. Executive previously vested into lifetime travel privileges that include unlimited reserved travel in any class of service for Executive and Executive’s immediate family, including eligible dependent children, for personal purposes, access to Admirals Club travel lounges and 12 free round-trip passes, or 24 free one-way passes, each year for reserved travel for non-eligible family members and friends. Executive’s right to travel privileges shall be subject to all applicable taxes pursuant to the Company’s then existing tax policies, and the Company will not provide any tax gross-up payments to Executive for taxes payable on such travels. The amount of travel privileges used by Executive in one year will not affect the amount of travel privileges Executive is entitled to use in any other year. The right to travel privileges provided in this Agreement is not subject to liquidation, cash out, or exchange for any other taxable or nontaxable benefit.</w:t>
      </w:r>
    </w:p>
    <w:p>
      <w:pPr>
        <w:spacing w:after="0" w:line="160" w:lineRule="exact"/>
        <w:rPr>
          <w:rFonts w:ascii="Arial" w:cs="Arial" w:eastAsia="Arial" w:hAnsi="Arial"/>
          <w:sz w:val="19"/>
          <w:szCs w:val="19"/>
          <w:color w:val="auto"/>
        </w:rPr>
      </w:pPr>
    </w:p>
    <w:p>
      <w:pPr>
        <w:jc w:val="both"/>
        <w:ind w:firstLine="8"/>
        <w:spacing w:after="0" w:line="247" w:lineRule="auto"/>
        <w:tabs>
          <w:tab w:leader="none" w:pos="648"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Covered Termination During a Change in Control Period</w:t>
      </w:r>
      <w:r>
        <w:rPr>
          <w:rFonts w:ascii="Arial" w:cs="Arial" w:eastAsia="Arial" w:hAnsi="Arial"/>
          <w:sz w:val="21"/>
          <w:szCs w:val="21"/>
          <w:color w:val="auto"/>
        </w:rPr>
        <w:t>. If Executive experiences a Covered Termination at any time during the period commencing on a Change in Control and ending twenty-four (24) months following the Change in Control, and satisfies the Release Condition and continues to comply with the requirements set forth in Section 12, then in addition to the severance and other benefits Executive may be eligible for set forth in Section 3, each outstanding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0" w:lineRule="exact"/>
        <w:rPr>
          <w:sz w:val="20"/>
          <w:szCs w:val="20"/>
          <w:color w:val="auto"/>
        </w:rPr>
      </w:pPr>
    </w:p>
    <w:p>
      <w:pPr>
        <w:spacing w:after="0" w:line="38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unvested equity award including, without limitation, each restricted stock unit award, held by Executive shall automatically become vested and, if applicable, exercisable, and any forfeiture restrictions thereon shall immediately lapse, in each case, with respect to one hundred percent (100%) of the unvested shares underlying the equity award as of the Termination Date; provided that for any performance-based equity awards held by the Executive that vest based on the attainment of performance goals that remain unsatisfied as of immediately before the Termination Date, such performance goals shall be deemed achieved at the greater of target or the expected attainment level based on performance as of the Termination Date (as determined by the Board of Directors of the Company or its Compensation Committee).</w:t>
      </w:r>
    </w:p>
    <w:p>
      <w:pPr>
        <w:spacing w:after="0" w:line="143" w:lineRule="exact"/>
        <w:rPr>
          <w:sz w:val="20"/>
          <w:szCs w:val="20"/>
          <w:color w:val="auto"/>
        </w:rPr>
      </w:pPr>
    </w:p>
    <w:p>
      <w:pPr>
        <w:jc w:val="both"/>
        <w:ind w:firstLine="8"/>
        <w:spacing w:after="0"/>
        <w:tabs>
          <w:tab w:leader="none" w:pos="648"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Certain Reductions</w:t>
      </w:r>
      <w:r>
        <w:rPr>
          <w:rFonts w:ascii="Arial" w:cs="Arial" w:eastAsia="Arial" w:hAnsi="Arial"/>
          <w:sz w:val="21"/>
          <w:szCs w:val="21"/>
          <w:color w:val="auto"/>
        </w:rPr>
        <w:t>.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previously paid being recharacterized as payments pursuant to the Company’s statutory obligation.</w:t>
      </w:r>
    </w:p>
    <w:p>
      <w:pPr>
        <w:spacing w:after="0" w:line="175" w:lineRule="exact"/>
        <w:rPr>
          <w:rFonts w:ascii="Arial" w:cs="Arial" w:eastAsia="Arial" w:hAnsi="Arial"/>
          <w:sz w:val="21"/>
          <w:szCs w:val="21"/>
          <w:color w:val="auto"/>
        </w:rPr>
      </w:pPr>
    </w:p>
    <w:p>
      <w:pPr>
        <w:jc w:val="both"/>
        <w:ind w:firstLine="8"/>
        <w:spacing w:after="0" w:line="297" w:lineRule="auto"/>
        <w:tabs>
          <w:tab w:leader="none" w:pos="648"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Deemed Resignation</w:t>
      </w:r>
      <w:r>
        <w:rPr>
          <w:rFonts w:ascii="Arial" w:cs="Arial" w:eastAsia="Arial" w:hAnsi="Arial"/>
          <w:sz w:val="19"/>
          <w:szCs w:val="19"/>
          <w:color w:val="auto"/>
        </w:rPr>
        <w:t>. Upon termination of Executive’s employment for any reason, Executive shall be deemed to have resigned from any and all offices and directorships then held with the Company or any of its affiliates, and, at the Company’s request, Executive shall execute such documents as are necessary or desirable to effectuate such resignations.</w:t>
      </w:r>
    </w:p>
    <w:p>
      <w:pPr>
        <w:spacing w:after="0" w:line="120" w:lineRule="exact"/>
        <w:rPr>
          <w:rFonts w:ascii="Arial" w:cs="Arial" w:eastAsia="Arial" w:hAnsi="Arial"/>
          <w:sz w:val="19"/>
          <w:szCs w:val="19"/>
          <w:color w:val="auto"/>
        </w:rPr>
      </w:pPr>
    </w:p>
    <w:p>
      <w:pPr>
        <w:jc w:val="both"/>
        <w:ind w:firstLine="8"/>
        <w:spacing w:after="0" w:line="233" w:lineRule="auto"/>
        <w:tabs>
          <w:tab w:leader="none" w:pos="648"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Executive’s service with the Company is terminated by the Company or by Executive for any or no reason other than as a Covered Termination, then Executive shall not be entitled to any benefits hereunder other than accrued but unpaid salary, bonus, vacation and expense reimbursement in accordance with applicable law, retiree travel privileges in accordance with the Company’s travel policy, as amended from time to time, and to elect any continued healthcare coverage as may be required under COBRA or similar state law.</w:t>
      </w:r>
    </w:p>
    <w:p>
      <w:pPr>
        <w:spacing w:after="0" w:line="176" w:lineRule="exact"/>
        <w:rPr>
          <w:rFonts w:ascii="Arial" w:cs="Arial" w:eastAsia="Arial" w:hAnsi="Arial"/>
          <w:sz w:val="22"/>
          <w:szCs w:val="22"/>
          <w:color w:val="auto"/>
        </w:rPr>
      </w:pPr>
    </w:p>
    <w:p>
      <w:pPr>
        <w:jc w:val="both"/>
        <w:ind w:firstLine="8"/>
        <w:spacing w:after="0" w:line="268" w:lineRule="auto"/>
        <w:tabs>
          <w:tab w:leader="none" w:pos="648"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Notwithstanding anything in this Agreement to the contrary, if any payment or distribution Executive would receive pursuant to this Agreement or otherwise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(a) constitute a “parachute payment” within the meaning of Section 280G of the Code and (b)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of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186"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shall have the following meanings:</w:t>
      </w:r>
    </w:p>
    <w:p>
      <w:pPr>
        <w:spacing w:after="0" w:line="192" w:lineRule="exact"/>
        <w:rPr>
          <w:rFonts w:ascii="Arial" w:cs="Arial" w:eastAsia="Arial" w:hAnsi="Arial"/>
          <w:sz w:val="22"/>
          <w:szCs w:val="22"/>
          <w:color w:val="auto"/>
        </w:rPr>
      </w:pPr>
    </w:p>
    <w:p>
      <w:pPr>
        <w:jc w:val="both"/>
        <w:ind w:firstLine="656"/>
        <w:spacing w:after="0" w:line="266" w:lineRule="auto"/>
        <w:tabs>
          <w:tab w:leader="none" w:pos="1293" w:val="left"/>
        </w:tabs>
        <w:numPr>
          <w:ilvl w:val="1"/>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xml:space="preserve">” means (a) Executive’s willful and continued failure to perform Executive’s duties (other than any such failure resulting from Executive’s incapacity due to physical or mental illness) after written notice of such failure has been given to Executive by the Company and Executive has had a reasonable period (but not more than fifteen (15) days) after receipt of such notice to correct such failure; (b) the unlawful or willful commission by Executive of any act that is dishonest and demonstrably injurious to the Company or any of its subsidiaries in any material respect; (c) the conviction of, or plea of guilty or </w:t>
      </w:r>
      <w:r>
        <w:rPr>
          <w:rFonts w:ascii="Arial" w:cs="Arial" w:eastAsia="Arial" w:hAnsi="Arial"/>
          <w:sz w:val="19"/>
          <w:szCs w:val="19"/>
          <w:i w:val="1"/>
          <w:iCs w:val="1"/>
          <w:color w:val="auto"/>
        </w:rPr>
        <w:t xml:space="preserve">nolo contendere </w:t>
      </w:r>
      <w:r>
        <w:rPr>
          <w:rFonts w:ascii="Arial" w:cs="Arial" w:eastAsia="Arial" w:hAnsi="Arial"/>
          <w:sz w:val="19"/>
          <w:szCs w:val="19"/>
          <w:color w:val="auto"/>
        </w:rPr>
        <w:t>to, a felony offense by Executive; (d) habitual drug or alcohol abuse that impairs Executive’s ability to perform</w:t>
      </w:r>
      <w:r>
        <w:rPr>
          <w:rFonts w:ascii="Arial" w:cs="Arial" w:eastAsia="Arial" w:hAnsi="Arial"/>
          <w:sz w:val="19"/>
          <w:szCs w:val="19"/>
          <w:i w:val="1"/>
          <w:iCs w:val="1"/>
          <w:color w:val="auto"/>
        </w:rPr>
        <w:t xml:space="preserve"> </w:t>
      </w:r>
      <w:r>
        <w:rPr>
          <w:rFonts w:ascii="Arial" w:cs="Arial" w:eastAsia="Arial" w:hAnsi="Arial"/>
          <w:sz w:val="19"/>
          <w:szCs w:val="19"/>
          <w:color w:val="auto"/>
        </w:rPr>
        <w:t>the essential duties of Executive’s position or the Executive’s possession or use of illegal drugs on the Company’s premises; (e) embezzlement, fraud or any other illegal act against the Company or any illegal act committed in connection with Executive’s performance of Executive’s duties; (f) any material breach by Executive of any material Company policy (other than inadvertent actions taken in good faith), including without limitation the Company’s code of conduct and those policies regarding ethics, unlawful harassment, workplace safety, or workplace discrimination; or (g) a material breach by Executive of any agreement between the Company and Executive, but only if such breach shall continue unremedied for more than fifteen (15) days after written notice thereof is given to Executive by the Company.</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1300" w:hanging="644"/>
        <w:spacing w:after="0"/>
        <w:tabs>
          <w:tab w:leader="none" w:pos="130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a “Change in Control” as defined in the Company’s 2023 Incentive Award Plan.</w:t>
      </w:r>
    </w:p>
    <w:p>
      <w:pPr>
        <w:spacing w:after="0" w:line="227" w:lineRule="exact"/>
        <w:rPr>
          <w:rFonts w:ascii="Arial" w:cs="Arial" w:eastAsia="Arial" w:hAnsi="Arial"/>
          <w:sz w:val="19"/>
          <w:szCs w:val="19"/>
          <w:color w:val="auto"/>
        </w:rPr>
      </w:pPr>
    </w:p>
    <w:p>
      <w:pPr>
        <w:jc w:val="both"/>
        <w:ind w:firstLine="656"/>
        <w:spacing w:after="0" w:line="297" w:lineRule="auto"/>
        <w:tabs>
          <w:tab w:leader="none" w:pos="1293" w:val="left"/>
        </w:tabs>
        <w:numPr>
          <w:ilvl w:val="1"/>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Covered Termination</w:t>
      </w:r>
      <w:r>
        <w:rPr>
          <w:rFonts w:ascii="Arial" w:cs="Arial" w:eastAsia="Arial" w:hAnsi="Arial"/>
          <w:sz w:val="19"/>
          <w:szCs w:val="19"/>
          <w:color w:val="auto"/>
        </w:rPr>
        <w:t>” means the termination of Executive’s employment with the Company effected by the Company other than for Cause or Executive’s resignation of employment with the Company for Good Reason. For the avoidance of doubt, a Covered Termination shall not include Executive’s termination of employment due to death or disability.</w:t>
      </w:r>
    </w:p>
    <w:p>
      <w:pPr>
        <w:spacing w:after="0" w:line="120" w:lineRule="exact"/>
        <w:rPr>
          <w:rFonts w:ascii="Arial" w:cs="Arial" w:eastAsia="Arial" w:hAnsi="Arial"/>
          <w:sz w:val="19"/>
          <w:szCs w:val="19"/>
          <w:color w:val="auto"/>
        </w:rPr>
      </w:pPr>
    </w:p>
    <w:p>
      <w:pPr>
        <w:jc w:val="both"/>
        <w:ind w:firstLine="656"/>
        <w:spacing w:after="0" w:line="272" w:lineRule="auto"/>
        <w:tabs>
          <w:tab w:leader="none" w:pos="1345" w:val="left"/>
        </w:tabs>
        <w:numPr>
          <w:ilvl w:val="1"/>
          <w:numId w:val="1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the occurrence of any of the following without Executive’s written consent: (i) a material adverse alteration by the Company in Executive’s base compensation, which is comprised of base salary and target cash incentive opportunity (except where such reduction to base compensation proportionately affects all similarly situated employees of the Company), position, function, duties or responsibilities; (ii) the relocation of Executive outside of the metropolitan area in which Executive is based; or (iii) a material breach by the Company of any written agreement between Executive and the Company; provided, that no resignation for Good Reason shall be effective unless and until (1) Executive has first provided the Company with written notice specifically identifying the acts or omissions constituting the grounds for “Good Reason”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00" w:lineRule="exact"/>
        <w:rPr>
          <w:sz w:val="20"/>
          <w:szCs w:val="20"/>
          <w:color w:val="auto"/>
        </w:rPr>
      </w:pPr>
    </w:p>
    <w:p>
      <w:pPr>
        <w:spacing w:after="0" w:line="38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within thirty (30) days after the occurrence thereof, (2) the Company has not cured such acts or omissions that are capable of cure within thirty (30) days of its actual receipt of such notice, and (3) the effective date of Executive’s termination for Good Reason occurs no later than sixty (60) days after the initial existence of the facts or circumstances constituting Good Reason.</w:t>
      </w:r>
    </w:p>
    <w:p>
      <w:pPr>
        <w:spacing w:after="0" w:line="139" w:lineRule="exact"/>
        <w:rPr>
          <w:sz w:val="20"/>
          <w:szCs w:val="20"/>
          <w:color w:val="auto"/>
        </w:rPr>
      </w:pPr>
    </w:p>
    <w:p>
      <w:pPr>
        <w:ind w:left="1300" w:hanging="644"/>
        <w:spacing w:after="0"/>
        <w:tabs>
          <w:tab w:leader="none" w:pos="130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 the date Executive experiences a Covered Termination.</w:t>
      </w:r>
    </w:p>
    <w:p>
      <w:pPr>
        <w:spacing w:after="0" w:line="192" w:lineRule="exact"/>
        <w:rPr>
          <w:rFonts w:ascii="Arial" w:cs="Arial" w:eastAsia="Arial" w:hAnsi="Arial"/>
          <w:sz w:val="22"/>
          <w:szCs w:val="22"/>
          <w:color w:val="auto"/>
        </w:rPr>
      </w:pPr>
    </w:p>
    <w:p>
      <w:pPr>
        <w:ind w:left="660" w:hanging="652"/>
        <w:spacing w:after="0"/>
        <w:tabs>
          <w:tab w:leader="none" w:pos="66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tabs>
          <w:tab w:leader="none" w:pos="1293" w:val="left"/>
        </w:tabs>
        <w:numPr>
          <w:ilvl w:val="1"/>
          <w:numId w:val="150"/>
        </w:numPr>
        <w:rPr>
          <w:rFonts w:ascii="Arial" w:cs="Arial" w:eastAsia="Arial" w:hAnsi="Arial"/>
          <w:sz w:val="21"/>
          <w:szCs w:val="21"/>
          <w:color w:val="auto"/>
        </w:rPr>
      </w:pPr>
      <w:r>
        <w:rPr>
          <w:rFonts w:ascii="Arial" w:cs="Arial" w:eastAsia="Arial" w:hAnsi="Arial"/>
          <w:sz w:val="21"/>
          <w:szCs w:val="21"/>
          <w:u w:val="single" w:color="auto"/>
          <w:color w:val="auto"/>
        </w:rPr>
        <w:t>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include any successor to the Company’s business and/or assets which executes and delivers the assumption agreement described in this Section 10(a) or which becomes bound by the terms of this Agreement by operation of law.</w:t>
      </w:r>
    </w:p>
    <w:p>
      <w:pPr>
        <w:spacing w:after="0" w:line="186" w:lineRule="exact"/>
        <w:rPr>
          <w:rFonts w:ascii="Arial" w:cs="Arial" w:eastAsia="Arial" w:hAnsi="Arial"/>
          <w:sz w:val="21"/>
          <w:szCs w:val="21"/>
          <w:color w:val="auto"/>
        </w:rPr>
      </w:pPr>
    </w:p>
    <w:p>
      <w:pPr>
        <w:jc w:val="both"/>
        <w:ind w:firstLine="656"/>
        <w:spacing w:after="0" w:line="236" w:lineRule="auto"/>
        <w:tabs>
          <w:tab w:leader="none" w:pos="1291"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85" w:lineRule="exact"/>
        <w:rPr>
          <w:rFonts w:ascii="Arial" w:cs="Arial" w:eastAsia="Arial" w:hAnsi="Arial"/>
          <w:sz w:val="22"/>
          <w:szCs w:val="22"/>
          <w:color w:val="auto"/>
        </w:rPr>
      </w:pPr>
    </w:p>
    <w:p>
      <w:pPr>
        <w:jc w:val="both"/>
        <w:ind w:firstLine="8"/>
        <w:spacing w:after="0" w:line="242" w:lineRule="auto"/>
        <w:tabs>
          <w:tab w:leader="none" w:pos="640"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corporate headquarters, and all notices shall be directed to the attention of the Chief Executive Officer.</w:t>
      </w:r>
    </w:p>
    <w:p>
      <w:pPr>
        <w:spacing w:after="0" w:line="186" w:lineRule="exact"/>
        <w:rPr>
          <w:rFonts w:ascii="Arial" w:cs="Arial" w:eastAsia="Arial" w:hAnsi="Arial"/>
          <w:sz w:val="21"/>
          <w:szCs w:val="21"/>
          <w:color w:val="auto"/>
        </w:rPr>
      </w:pPr>
    </w:p>
    <w:p>
      <w:pPr>
        <w:jc w:val="both"/>
        <w:ind w:firstLine="8"/>
        <w:spacing w:after="0" w:line="269" w:lineRule="auto"/>
        <w:tabs>
          <w:tab w:leader="none" w:pos="648"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As a condition to entering into this Agreement, which provides eligibility to receive benefits under Sections 3 and 4 of this Agreement, Executive must agree to and comply with the requirements set forth in this Section 12. For the avoidance of doubt, the covenants set forth in this Section 12 and the Restrictive Covenants Agreement (as defined below) apply to Executive whether or not Executive receives any benefits under Sections 3 and 4 of this Agreement. Without limiting any other remedy set forth herein or in the Restrictive Covenants Agreement, in the event Executive fails to satisfy the requirements set forth in this Section 12 and the Restrictive Covenants Agreement in any material respect, the Company shall have no obligation to pay or to continue the benefits under Sections 3 and 4 of this Agreement.</w:t>
      </w:r>
    </w:p>
    <w:p>
      <w:pPr>
        <w:spacing w:after="0" w:line="162" w:lineRule="exact"/>
        <w:rPr>
          <w:rFonts w:ascii="Arial" w:cs="Arial" w:eastAsia="Arial" w:hAnsi="Arial"/>
          <w:sz w:val="19"/>
          <w:szCs w:val="19"/>
          <w:color w:val="auto"/>
        </w:rPr>
      </w:pPr>
    </w:p>
    <w:p>
      <w:pPr>
        <w:jc w:val="both"/>
        <w:ind w:firstLine="656"/>
        <w:spacing w:after="0" w:line="272" w:lineRule="auto"/>
        <w:tabs>
          <w:tab w:leader="none" w:pos="1293"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The Company (which as used in this Section 12(a) shall include the Company and any of its affiliates) operates in a highly sensitive and competitive commercial environment. As part of Executive’s employment (which as used in this Section 12(a) shall include engagement as an independent contractor or other non-employee role as well) with the Company, Executive has been and will continue to be exposed to highly confidential and sensitive information regarding the Company’s business operations, including corporate strategy, pricing, and other market information, know-how, trade secrets, and valuable customer, supplier, and employee relationships. It is critical that the Company take all necessary steps to safeguard its legitimate protectable interests in such information and to prevent any of its competitors or any other persons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p>
    <w:p>
      <w:pPr>
        <w:spacing w:after="0" w:line="38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from obtaining any such information. Therefore, as consideration for and ancillary to the Company’s agreement to enter into this Agreement with Executive, and to protect the goodwill and other legitimate business interests of the Company, Executive shall enter into, and shall abide by, the terms and conditions of the restrictive covenants concerning confidentiality, noncompetition and nonsolicitation contained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(the “</w:t>
      </w:r>
      <w:r>
        <w:rPr>
          <w:rFonts w:ascii="Arial" w:cs="Arial" w:eastAsia="Arial" w:hAnsi="Arial"/>
          <w:sz w:val="19"/>
          <w:szCs w:val="19"/>
          <w:b w:val="1"/>
          <w:bCs w:val="1"/>
          <w:i w:val="1"/>
          <w:iCs w:val="1"/>
          <w:color w:val="auto"/>
        </w:rPr>
        <w:t>Restrictive Covenants Agreement</w:t>
      </w:r>
      <w:r>
        <w:rPr>
          <w:rFonts w:ascii="Arial" w:cs="Arial" w:eastAsia="Arial" w:hAnsi="Arial"/>
          <w:sz w:val="19"/>
          <w:szCs w:val="19"/>
          <w:color w:val="auto"/>
        </w:rPr>
        <w:t>”) between Executive and Group, which is hereby incorporated herein by reference. By entering into this Agreement, Executive acknowledges and agrees that Executive has read and understood the Restrictive Covenants Agreement and has had an opportunity to seek the advice of an attorney prior to entering into this Agreement and entering into, or agreeing to enter into, the Restrictive Covenants Agreement.</w:t>
      </w:r>
    </w:p>
    <w:p>
      <w:pPr>
        <w:spacing w:after="0" w:line="143" w:lineRule="exact"/>
        <w:rPr>
          <w:sz w:val="20"/>
          <w:szCs w:val="20"/>
          <w:color w:val="auto"/>
        </w:rPr>
      </w:pPr>
    </w:p>
    <w:p>
      <w:pPr>
        <w:jc w:val="both"/>
        <w:ind w:firstLine="656"/>
        <w:spacing w:after="0" w:line="242" w:lineRule="auto"/>
        <w:tabs>
          <w:tab w:leader="none" w:pos="1291" w:val="left"/>
        </w:tabs>
        <w:numPr>
          <w:ilvl w:val="1"/>
          <w:numId w:val="151"/>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Executive agrees that Executive shall not disparage, criticize or defame the Company, its affiliates and their respective affiliates, directors, officers, agents, partners, stockholders or employees, either publicly or privately. The Company agrees that it shall not, and it shall instruct its executive officers to not, disparage, criticize or defame Executive, either publicly or privately. Nothing in this Section 12(b) shall have application to any evidence or testimony required by any court, arbitrator or government agency.</w:t>
      </w:r>
    </w:p>
    <w:p>
      <w:pPr>
        <w:spacing w:after="0" w:line="182" w:lineRule="exact"/>
        <w:rPr>
          <w:rFonts w:ascii="Arial" w:cs="Arial" w:eastAsia="Arial" w:hAnsi="Arial"/>
          <w:sz w:val="22"/>
          <w:szCs w:val="22"/>
          <w:color w:val="auto"/>
        </w:rPr>
      </w:pPr>
    </w:p>
    <w:p>
      <w:pPr>
        <w:jc w:val="both"/>
        <w:ind w:firstLine="656"/>
        <w:spacing w:after="0" w:line="251" w:lineRule="auto"/>
        <w:tabs>
          <w:tab w:leader="none" w:pos="1293" w:val="left"/>
        </w:tabs>
        <w:numPr>
          <w:ilvl w:val="1"/>
          <w:numId w:val="151"/>
        </w:numPr>
        <w:rPr>
          <w:rFonts w:ascii="Arial" w:cs="Arial" w:eastAsia="Arial" w:hAnsi="Arial"/>
          <w:sz w:val="21"/>
          <w:szCs w:val="21"/>
          <w:color w:val="auto"/>
        </w:rPr>
      </w:pPr>
      <w:r>
        <w:rPr>
          <w:rFonts w:ascii="Arial" w:cs="Arial" w:eastAsia="Arial" w:hAnsi="Arial"/>
          <w:sz w:val="21"/>
          <w:szCs w:val="21"/>
          <w:u w:val="single" w:color="auto"/>
          <w:color w:val="auto"/>
        </w:rPr>
        <w:t>Return of Documents and Property</w:t>
      </w:r>
      <w:r>
        <w:rPr>
          <w:rFonts w:ascii="Arial" w:cs="Arial" w:eastAsia="Arial" w:hAnsi="Arial"/>
          <w:sz w:val="21"/>
          <w:szCs w:val="21"/>
          <w:color w:val="auto"/>
        </w:rPr>
        <w:t>. Executive will no later than the Termination Date turn over to the Company all physical or personal property that are the property of the Company and that Executive had in Executive’s possession, custody or control, including, without limitation, Executive’s laptop computer, along with all other equipment and originals and copies of correspondence, drawings, manuals, letters, notes, notebooks, reports, programs, plans, proposals, financial documents, or any other documents concerning the Company’s customers, business plans, marketing strategies, products, processes or business of any kind and/or which contain proprietary information or trade secrets which are in the possession or control of Executive or Executive’s agents or representatives. These obligations include the return of any electronic information or data that belongs to the Company.</w:t>
      </w:r>
    </w:p>
    <w:p>
      <w:pPr>
        <w:spacing w:after="0" w:line="180" w:lineRule="exact"/>
        <w:rPr>
          <w:rFonts w:ascii="Arial" w:cs="Arial" w:eastAsia="Arial" w:hAnsi="Arial"/>
          <w:sz w:val="21"/>
          <w:szCs w:val="21"/>
          <w:color w:val="auto"/>
        </w:rPr>
      </w:pPr>
    </w:p>
    <w:p>
      <w:pPr>
        <w:ind w:firstLine="656"/>
        <w:spacing w:after="0" w:line="343" w:lineRule="auto"/>
        <w:tabs>
          <w:tab w:leader="none" w:pos="1291"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Executive acknowledges that Executive shall remain subject to the Company’s or the Group’s Clawback Policy, as may be amended from time to time, to the extent provided therein or otherwise required by applicable law.</w:t>
      </w:r>
    </w:p>
    <w:p>
      <w:pPr>
        <w:spacing w:after="0" w:line="90" w:lineRule="exact"/>
        <w:rPr>
          <w:rFonts w:ascii="Arial" w:cs="Arial" w:eastAsia="Arial" w:hAnsi="Arial"/>
          <w:sz w:val="19"/>
          <w:szCs w:val="19"/>
          <w:color w:val="auto"/>
        </w:rPr>
      </w:pPr>
    </w:p>
    <w:p>
      <w:pPr>
        <w:jc w:val="both"/>
        <w:ind w:firstLine="656"/>
        <w:spacing w:after="0" w:line="272" w:lineRule="auto"/>
        <w:tabs>
          <w:tab w:leader="none" w:pos="1293"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Forfeiture; Repayment</w:t>
      </w:r>
      <w:r>
        <w:rPr>
          <w:rFonts w:ascii="Arial" w:cs="Arial" w:eastAsia="Arial" w:hAnsi="Arial"/>
          <w:sz w:val="19"/>
          <w:szCs w:val="19"/>
          <w:color w:val="auto"/>
        </w:rPr>
        <w:t>. If Executive materially breaches Sections 12(a)-(d) and the Company delivers written notice to Executive of such material breach within ninety (90) days after the Company’s Chief Executive Officer’s first acquires actual knowledge of such material breach, then Executive shall (i) forfeit any and all rights to any future payments or benefits to be made or provided under Sections 3 and 4 of this Agreement and (ii) reimburse the Company for all payments made and the value of all benefits received by Executive and Executive’s dependents (if any) up to and through the date of such breach, with interest at the prime rate published by the Wall Street Journal on the date the Company sends written demand for reimbursement, compounded annually, from the date such payments or benefits were made until the date of repayment.</w:t>
      </w:r>
    </w:p>
    <w:p>
      <w:pPr>
        <w:spacing w:after="0" w:line="143" w:lineRule="exact"/>
        <w:rPr>
          <w:rFonts w:ascii="Arial" w:cs="Arial" w:eastAsia="Arial" w:hAnsi="Arial"/>
          <w:sz w:val="19"/>
          <w:szCs w:val="19"/>
          <w:color w:val="auto"/>
        </w:rPr>
      </w:pPr>
    </w:p>
    <w:p>
      <w:pPr>
        <w:jc w:val="both"/>
        <w:ind w:firstLine="8"/>
        <w:spacing w:after="0" w:line="234" w:lineRule="auto"/>
        <w:tabs>
          <w:tab w:leader="none" w:pos="648"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0" w:lineRule="exact"/>
        <w:rPr>
          <w:sz w:val="20"/>
          <w:szCs w:val="20"/>
          <w:color w:val="auto"/>
        </w:rPr>
      </w:pPr>
    </w:p>
    <w:p>
      <w:pPr>
        <w:spacing w:after="0" w:line="382"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(excluding any disputes arising under the Restrictive Covenants Agreement), shall be resolved to the fullest extent permitted by law by final, binding and confidential arbitration in Tarrant County, Texas through Judicial Arbitration &amp; Mediation Services/Endispute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xml:space="preserve">”) in conformity with the then-existing JAMS employment arbitration rules and Texas law. A link to the current JAMS employment arbitration rules follows: https://www.jamsadr.com/rules-employment-arbitration/english. </w:t>
      </w:r>
      <w:r>
        <w:rPr>
          <w:rFonts w:ascii="Arial" w:cs="Arial" w:eastAsia="Arial" w:hAnsi="Arial"/>
          <w:sz w:val="19"/>
          <w:szCs w:val="19"/>
          <w:b w:val="1"/>
          <w:bCs w:val="1"/>
          <w:color w:val="auto"/>
        </w:rPr>
        <w:t>By</w:t>
      </w:r>
      <w:r>
        <w:rPr>
          <w:rFonts w:ascii="Arial" w:cs="Arial" w:eastAsia="Arial" w:hAnsi="Arial"/>
          <w:sz w:val="19"/>
          <w:szCs w:val="19"/>
          <w:color w:val="auto"/>
        </w:rPr>
        <w:t xml:space="preserve"> </w:t>
      </w:r>
      <w:r>
        <w:rPr>
          <w:rFonts w:ascii="Arial" w:cs="Arial" w:eastAsia="Arial" w:hAnsi="Arial"/>
          <w:sz w:val="19"/>
          <w:szCs w:val="19"/>
          <w:b w:val="1"/>
          <w:bCs w:val="1"/>
          <w:color w:val="auto"/>
        </w:rPr>
        <w:t>agreeing to this arbitration procedure, both Executive and the Company waive the right to resolve any such dispute through a trial by jury or judge or administrative proceeding</w:t>
      </w:r>
      <w:r>
        <w:rPr>
          <w:rFonts w:ascii="Arial" w:cs="Arial" w:eastAsia="Arial" w:hAnsi="Arial"/>
          <w:sz w:val="19"/>
          <w:szCs w:val="19"/>
          <w:color w:val="auto"/>
        </w:rPr>
        <w:t>. The arbitrator shall: (a) have the authority to compel adequate</w:t>
      </w:r>
      <w:r>
        <w:rPr>
          <w:rFonts w:ascii="Arial" w:cs="Arial" w:eastAsia="Arial" w:hAnsi="Arial"/>
          <w:sz w:val="19"/>
          <w:szCs w:val="19"/>
          <w:b w:val="1"/>
          <w:bCs w:val="1"/>
          <w:color w:val="auto"/>
        </w:rPr>
        <w:t xml:space="preserve"> </w:t>
      </w:r>
      <w:r>
        <w:rPr>
          <w:rFonts w:ascii="Arial" w:cs="Arial" w:eastAsia="Arial" w:hAnsi="Arial"/>
          <w:sz w:val="19"/>
          <w:szCs w:val="19"/>
          <w:color w:val="auto"/>
        </w:rPr>
        <w:t>discovery for the resolution of the dispute and to award such relief as would otherwise be permitted by law; and (b) issue a written arbitration decision, to include the arbitrator’s essential findings and conclusions and a statement of the award. The Company shall pay all JAMS’s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or arising under the Restrictive Covenants Agreement by Court action instead of arbitration. The parties agree to resolve all disputes excluded from arbitration in a court of competent jurisdiction located in Texas sitting without a jury and each party waives its right to a jury trial in any such dispute.</w:t>
      </w: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300" w:hanging="644"/>
        <w:spacing w:after="0"/>
        <w:tabs>
          <w:tab w:leader="none" w:pos="1300" w:val="left"/>
        </w:tabs>
        <w:numPr>
          <w:ilvl w:val="1"/>
          <w:numId w:val="153"/>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36" w:lineRule="auto"/>
        <w:tabs>
          <w:tab w:leader="none" w:pos="1932" w:val="left"/>
        </w:tabs>
        <w:numPr>
          <w:ilvl w:val="2"/>
          <w:numId w:val="153"/>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Notwithstanding any provision to the contrary in this Agreement, no amount deemed deferred compensation subject to Section 409A of the Code shall be payable pursuant to Sections 3 and 4 above unless Executive’s termination of employment constitutes a “separation from service” with the Company within the meaning of Section 409A of the Code and the Department of Treasury regulations and other guidance promulgated thereunder (“</w:t>
      </w:r>
      <w:r>
        <w:rPr>
          <w:rFonts w:ascii="Arial" w:cs="Arial" w:eastAsia="Arial" w:hAnsi="Arial"/>
          <w:sz w:val="20"/>
          <w:szCs w:val="20"/>
          <w:b w:val="1"/>
          <w:bCs w:val="1"/>
          <w:i w:val="1"/>
          <w:iCs w:val="1"/>
          <w:color w:val="auto"/>
        </w:rPr>
        <w:t>Separation from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Service</w:t>
      </w:r>
      <w:r>
        <w:rPr>
          <w:rFonts w:ascii="Arial" w:cs="Arial" w:eastAsia="Arial" w:hAnsi="Arial"/>
          <w:sz w:val="20"/>
          <w:szCs w:val="20"/>
          <w:color w:val="auto"/>
        </w:rPr>
        <w:t>”) and, except as provided under Section 14(a)(ii) of this Agreement, any such amount shall not be paid, or in the case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installments, commence payment, until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Executive’s Separation from Service and the remaining payments shall be made as provided in this Agreement.</w:t>
      </w:r>
    </w:p>
    <w:p>
      <w:pPr>
        <w:spacing w:after="0" w:line="177" w:lineRule="exact"/>
        <w:rPr>
          <w:rFonts w:ascii="Arial" w:cs="Arial" w:eastAsia="Arial" w:hAnsi="Arial"/>
          <w:sz w:val="20"/>
          <w:szCs w:val="20"/>
          <w:color w:val="auto"/>
        </w:rPr>
      </w:pPr>
    </w:p>
    <w:p>
      <w:pPr>
        <w:jc w:val="both"/>
        <w:ind w:firstLine="1304"/>
        <w:spacing w:after="0" w:line="272" w:lineRule="auto"/>
        <w:tabs>
          <w:tab w:leader="none" w:pos="1938" w:val="left"/>
        </w:tabs>
        <w:numPr>
          <w:ilvl w:val="2"/>
          <w:numId w:val="153"/>
        </w:numPr>
        <w:rPr>
          <w:rFonts w:ascii="Arial" w:cs="Arial" w:eastAsia="Arial" w:hAnsi="Arial"/>
          <w:sz w:val="19"/>
          <w:szCs w:val="19"/>
          <w:color w:val="auto"/>
        </w:rPr>
      </w:pPr>
      <w:r>
        <w:rPr>
          <w:rFonts w:ascii="Arial" w:cs="Arial" w:eastAsia="Arial" w:hAnsi="Arial"/>
          <w:sz w:val="19"/>
          <w:szCs w:val="19"/>
          <w:u w:val="single" w:color="auto"/>
          <w:color w:val="auto"/>
        </w:rPr>
        <w:t>Specified Employee</w:t>
      </w:r>
      <w:r>
        <w:rPr>
          <w:rFonts w:ascii="Arial" w:cs="Arial" w:eastAsia="Arial" w:hAnsi="Arial"/>
          <w:sz w:val="19"/>
          <w:szCs w:val="19"/>
          <w:color w:val="auto"/>
        </w:rPr>
        <w:t>. Notwithstanding any provision to the contrary in this Agreement, if Executive is deemed at the time of Executive’s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 the applicable Code Section 409A(a)(2)(B)(i) period, all payments deferred pursuant to this Section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0" w:lineRule="exact"/>
        <w:rPr>
          <w:sz w:val="20"/>
          <w:szCs w:val="20"/>
          <w:color w:val="auto"/>
        </w:rPr>
      </w:pPr>
    </w:p>
    <w:p>
      <w:pPr>
        <w:spacing w:after="0" w:line="38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14(a)(ii) shall be paid in a lump sum to Executive, and any remaining payments due under this Agreement shall be paid as otherwise provided herein.</w:t>
      </w:r>
    </w:p>
    <w:p>
      <w:pPr>
        <w:spacing w:after="0" w:line="161" w:lineRule="exact"/>
        <w:rPr>
          <w:sz w:val="20"/>
          <w:szCs w:val="20"/>
          <w:color w:val="auto"/>
        </w:rPr>
      </w:pPr>
    </w:p>
    <w:p>
      <w:pPr>
        <w:jc w:val="both"/>
        <w:ind w:firstLine="1304"/>
        <w:spacing w:after="0" w:line="268" w:lineRule="auto"/>
        <w:tabs>
          <w:tab w:leader="none" w:pos="1944" w:val="left"/>
        </w:tabs>
        <w:numPr>
          <w:ilvl w:val="1"/>
          <w:numId w:val="154"/>
        </w:numPr>
        <w:rPr>
          <w:rFonts w:ascii="Arial" w:cs="Arial" w:eastAsia="Arial" w:hAnsi="Arial"/>
          <w:sz w:val="19"/>
          <w:szCs w:val="19"/>
          <w:color w:val="auto"/>
        </w:rPr>
      </w:pPr>
      <w:r>
        <w:rPr>
          <w:rFonts w:ascii="Arial" w:cs="Arial" w:eastAsia="Arial" w:hAnsi="Arial"/>
          <w:sz w:val="19"/>
          <w:szCs w:val="19"/>
          <w:u w:val="single" w:color="auto"/>
          <w:color w:val="auto"/>
        </w:rPr>
        <w:t>Expense Reimbursements</w:t>
      </w:r>
      <w:r>
        <w:rPr>
          <w:rFonts w:ascii="Arial" w:cs="Arial" w:eastAsia="Arial" w:hAnsi="Arial"/>
          <w:sz w:val="19"/>
          <w:szCs w:val="19"/>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61" w:lineRule="exact"/>
        <w:rPr>
          <w:rFonts w:ascii="Arial" w:cs="Arial" w:eastAsia="Arial" w:hAnsi="Arial"/>
          <w:sz w:val="19"/>
          <w:szCs w:val="19"/>
          <w:color w:val="auto"/>
        </w:rPr>
      </w:pPr>
    </w:p>
    <w:p>
      <w:pPr>
        <w:jc w:val="both"/>
        <w:ind w:firstLine="1304"/>
        <w:spacing w:after="0" w:line="241" w:lineRule="auto"/>
        <w:tabs>
          <w:tab w:leader="none" w:pos="1932" w:val="left"/>
        </w:tabs>
        <w:numPr>
          <w:ilvl w:val="1"/>
          <w:numId w:val="154"/>
        </w:numPr>
        <w:rPr>
          <w:rFonts w:ascii="Arial" w:cs="Arial" w:eastAsia="Arial" w:hAnsi="Arial"/>
          <w:sz w:val="22"/>
          <w:szCs w:val="22"/>
          <w:color w:val="auto"/>
        </w:rPr>
      </w:pPr>
      <w:r>
        <w:rPr>
          <w:rFonts w:ascii="Arial" w:cs="Arial" w:eastAsia="Arial" w:hAnsi="Arial"/>
          <w:sz w:val="22"/>
          <w:szCs w:val="22"/>
          <w:u w:val="single" w:color="auto"/>
          <w:color w:val="auto"/>
        </w:rPr>
        <w:t>Installments</w:t>
      </w:r>
      <w:r>
        <w:rPr>
          <w:rFonts w:ascii="Arial" w:cs="Arial" w:eastAsia="Arial" w:hAnsi="Arial"/>
          <w:sz w:val="22"/>
          <w:szCs w:val="22"/>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98" w:lineRule="exact"/>
        <w:rPr>
          <w:rFonts w:ascii="Arial" w:cs="Arial" w:eastAsia="Arial" w:hAnsi="Arial"/>
          <w:sz w:val="22"/>
          <w:szCs w:val="22"/>
          <w:color w:val="auto"/>
        </w:rPr>
      </w:pPr>
    </w:p>
    <w:p>
      <w:pPr>
        <w:jc w:val="both"/>
        <w:ind w:firstLine="656"/>
        <w:spacing w:after="0" w:line="292" w:lineRule="auto"/>
        <w:tabs>
          <w:tab w:leader="none" w:pos="1291"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38" w:lineRule="exact"/>
        <w:rPr>
          <w:rFonts w:ascii="Arial" w:cs="Arial" w:eastAsia="Arial" w:hAnsi="Arial"/>
          <w:sz w:val="19"/>
          <w:szCs w:val="19"/>
          <w:color w:val="auto"/>
        </w:rPr>
      </w:pPr>
    </w:p>
    <w:p>
      <w:pPr>
        <w:jc w:val="both"/>
        <w:ind w:firstLine="656"/>
        <w:spacing w:after="0" w:line="256" w:lineRule="auto"/>
        <w:tabs>
          <w:tab w:leader="none" w:pos="1293"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Whole Agreement</w:t>
      </w:r>
      <w:r>
        <w:rPr>
          <w:rFonts w:ascii="Arial" w:cs="Arial" w:eastAsia="Arial" w:hAnsi="Arial"/>
          <w:sz w:val="21"/>
          <w:szCs w:val="21"/>
          <w:color w:val="auto"/>
        </w:rPr>
        <w:t>. This Agreement and the agreements and provisions incorporated in this Agreement, including, without limitation, the Restrictive Covenants Agreement and the award agreements and equity plans governing the terms of Executive’s outstanding and unvested equity awards, represent the entire understanding of the parties hereto with respect to the subject matter hereof and supersede all prior promises, arrangements and understandings regarding same, whether written or unwritten, or previously approved by the Board of Directors of the Company.</w:t>
      </w:r>
    </w:p>
    <w:p>
      <w:pPr>
        <w:spacing w:after="0" w:line="170" w:lineRule="exact"/>
        <w:rPr>
          <w:rFonts w:ascii="Arial" w:cs="Arial" w:eastAsia="Arial" w:hAnsi="Arial"/>
          <w:sz w:val="21"/>
          <w:szCs w:val="21"/>
          <w:color w:val="auto"/>
        </w:rPr>
      </w:pPr>
    </w:p>
    <w:p>
      <w:pPr>
        <w:jc w:val="both"/>
        <w:ind w:firstLine="656"/>
        <w:spacing w:after="0" w:line="247" w:lineRule="auto"/>
        <w:tabs>
          <w:tab w:leader="none" w:pos="1291"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was negotiated, entered into and is performable, in whole or in part, in Tarrant County, Texas. Therefore, the validity, interpretation, construction and performance of this Agreement shall be governed by the laws of the State of Texas.</w:t>
      </w:r>
    </w:p>
    <w:p>
      <w:pPr>
        <w:spacing w:after="0" w:line="177" w:lineRule="exact"/>
        <w:rPr>
          <w:rFonts w:ascii="Arial" w:cs="Arial" w:eastAsia="Arial" w:hAnsi="Arial"/>
          <w:sz w:val="22"/>
          <w:szCs w:val="22"/>
          <w:color w:val="auto"/>
        </w:rPr>
      </w:pPr>
    </w:p>
    <w:p>
      <w:pPr>
        <w:ind w:firstLine="656"/>
        <w:spacing w:after="0" w:line="263" w:lineRule="auto"/>
        <w:tabs>
          <w:tab w:leader="none" w:pos="1293"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61" w:lineRule="exact"/>
        <w:rPr>
          <w:rFonts w:ascii="Arial" w:cs="Arial" w:eastAsia="Arial" w:hAnsi="Arial"/>
          <w:sz w:val="22"/>
          <w:szCs w:val="22"/>
          <w:color w:val="auto"/>
        </w:rPr>
      </w:pPr>
    </w:p>
    <w:p>
      <w:pPr>
        <w:ind w:firstLine="656"/>
        <w:spacing w:after="0" w:line="263" w:lineRule="auto"/>
        <w:tabs>
          <w:tab w:leader="none" w:pos="1296"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will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229"/>
        <w:spacing w:after="0" w:line="232"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AMERICAN AIRLINES GROUP, INC.</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Grant B.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11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Vice President,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21018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0185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5562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6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AMERICAN AIRLINES, INC.</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Grant B.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11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Vice President,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-17780</wp:posOffset>
            </wp:positionV>
            <wp:extent cx="21018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01850" cy="825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11049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EXECUTIVE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 David G. Seymour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wp:posOffset>
            </wp:positionV>
            <wp:extent cx="133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2"/>
          <w:szCs w:val="22"/>
          <w:color w:val="auto"/>
        </w:rPr>
        <w:t>David G. Seymour</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 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5562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6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Severance Agreement</w:t>
      </w:r>
      <w:r>
        <w:rPr>
          <w:rFonts w:ascii="Arial" w:cs="Arial" w:eastAsia="Arial" w:hAnsi="Arial"/>
          <w:sz w:val="22"/>
          <w:szCs w:val="22"/>
          <w:color w:val="auto"/>
        </w:rPr>
        <w:t>]</w:t>
      </w:r>
    </w:p>
    <w:p>
      <w:pPr>
        <w:sectPr>
          <w:pgSz w:w="11900" w:h="16838" w:orient="portrait"/>
          <w:cols w:equalWidth="0" w:num="1">
            <w:col w:w="11220"/>
          </w:cols>
          <w:pgMar w:left="320" w:top="1440" w:right="359" w:bottom="1440" w:gutter="0" w:footer="0" w:header="0"/>
        </w:sectPr>
      </w:pPr>
    </w:p>
    <w:bookmarkStart w:id="195" w:name="page196"/>
    <w:bookmarkEnd w:id="195"/>
    <w:p>
      <w:pPr>
        <w:spacing w:after="0" w:line="360"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ind w:left="4800"/>
        <w:spacing w:after="0"/>
        <w:rPr>
          <w:sz w:val="20"/>
          <w:szCs w:val="20"/>
          <w:color w:val="auto"/>
        </w:rPr>
      </w:pPr>
      <w:r>
        <w:rPr>
          <w:rFonts w:ascii="Arial" w:cs="Arial" w:eastAsia="Arial" w:hAnsi="Arial"/>
          <w:sz w:val="22"/>
          <w:szCs w:val="22"/>
          <w:b w:val="1"/>
          <w:bCs w:val="1"/>
          <w:u w:val="single" w:color="auto"/>
          <w:color w:val="auto"/>
        </w:rPr>
        <w:t>RELEASE OF CLAIMS</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This Release of Claims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is entered into as of _________________, 20__, among [__________]</w:t>
      </w:r>
    </w:p>
    <w:p>
      <w:pPr>
        <w:spacing w:after="0" w:line="20" w:lineRule="exact"/>
        <w:rPr>
          <w:sz w:val="20"/>
          <w:szCs w:val="20"/>
          <w:color w:val="auto"/>
        </w:rPr>
      </w:pPr>
    </w:p>
    <w:p>
      <w:pPr>
        <w:ind w:right="180"/>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and American Airlines Group, Inc., a Delaware corporation (“</w:t>
      </w:r>
      <w:r>
        <w:rPr>
          <w:rFonts w:ascii="Arial" w:cs="Arial" w:eastAsia="Arial" w:hAnsi="Arial"/>
          <w:sz w:val="21"/>
          <w:szCs w:val="21"/>
          <w:b w:val="1"/>
          <w:bCs w:val="1"/>
          <w:i w:val="1"/>
          <w:iCs w:val="1"/>
          <w:color w:val="auto"/>
        </w:rPr>
        <w:t>Group</w:t>
      </w:r>
      <w:r>
        <w:rPr>
          <w:rFonts w:ascii="Arial" w:cs="Arial" w:eastAsia="Arial" w:hAnsi="Arial"/>
          <w:sz w:val="21"/>
          <w:szCs w:val="21"/>
          <w:color w:val="auto"/>
        </w:rPr>
        <w:t>”), and American Airlines, Inc., a Delaware corporation and a wholly-owned subsidiary of Group (“</w:t>
      </w:r>
      <w:r>
        <w:rPr>
          <w:rFonts w:ascii="Arial" w:cs="Arial" w:eastAsia="Arial" w:hAnsi="Arial"/>
          <w:sz w:val="21"/>
          <w:szCs w:val="21"/>
          <w:b w:val="1"/>
          <w:bCs w:val="1"/>
          <w:i w:val="1"/>
          <w:iCs w:val="1"/>
          <w:color w:val="auto"/>
        </w:rPr>
        <w:t>American</w:t>
      </w:r>
      <w:r>
        <w:rPr>
          <w:rFonts w:ascii="Arial" w:cs="Arial" w:eastAsia="Arial" w:hAnsi="Arial"/>
          <w:sz w:val="21"/>
          <w:szCs w:val="21"/>
          <w:color w:val="auto"/>
        </w:rPr>
        <w:t>” and, together with Group,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collectively with Executive,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effective eight days after Executive’s signature hereto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unless Executive revokes Executive’s acceptance of this Release as provided in Paragraph 1(c), below.</w:t>
      </w:r>
    </w:p>
    <w:p>
      <w:pPr>
        <w:spacing w:after="0" w:line="191" w:lineRule="exact"/>
        <w:rPr>
          <w:sz w:val="20"/>
          <w:szCs w:val="20"/>
          <w:color w:val="auto"/>
        </w:rPr>
      </w:pPr>
    </w:p>
    <w:p>
      <w:pPr>
        <w:ind w:left="260" w:right="80" w:firstLine="1287"/>
        <w:spacing w:after="0" w:line="257" w:lineRule="auto"/>
        <w:tabs>
          <w:tab w:leader="none" w:pos="1961" w:val="left"/>
        </w:tabs>
        <w:numPr>
          <w:ilvl w:val="1"/>
          <w:numId w:val="156"/>
        </w:numPr>
        <w:rPr>
          <w:rFonts w:ascii="Arial" w:cs="Arial" w:eastAsia="Arial" w:hAnsi="Arial"/>
          <w:sz w:val="19"/>
          <w:szCs w:val="19"/>
          <w:color w:val="auto"/>
        </w:rPr>
      </w:pPr>
      <w:r>
        <w:rPr>
          <w:rFonts w:ascii="Arial" w:cs="Arial" w:eastAsia="Arial" w:hAnsi="Arial"/>
          <w:sz w:val="21"/>
          <w:szCs w:val="21"/>
          <w:u w:val="single" w:color="auto"/>
          <w:color w:val="auto"/>
        </w:rPr>
        <w:t>Executive’s Release of the Company</w:t>
      </w:r>
      <w:r>
        <w:rPr>
          <w:rFonts w:ascii="Arial" w:cs="Arial" w:eastAsia="Arial" w:hAnsi="Arial"/>
          <w:sz w:val="21"/>
          <w:szCs w:val="21"/>
          <w:color w:val="auto"/>
        </w:rPr>
        <w:t>. Executive understands that by agreeing to this Release, Executive is agreeing not to sue, or otherwise file any claim against, the Company or any of its employees or other agents for any reason whatsoever based on anything that has occurred as of the date Executive signs this Release.</w:t>
      </w:r>
    </w:p>
    <w:p>
      <w:pPr>
        <w:spacing w:after="0" w:line="182" w:lineRule="exact"/>
        <w:rPr>
          <w:rFonts w:ascii="Arial" w:cs="Arial" w:eastAsia="Arial" w:hAnsi="Arial"/>
          <w:sz w:val="19"/>
          <w:szCs w:val="19"/>
          <w:color w:val="auto"/>
        </w:rPr>
      </w:pPr>
    </w:p>
    <w:p>
      <w:pPr>
        <w:ind w:left="760" w:firstLine="1300"/>
        <w:spacing w:after="0" w:line="274" w:lineRule="auto"/>
        <w:tabs>
          <w:tab w:leader="none" w:pos="2586" w:val="left"/>
        </w:tabs>
        <w:numPr>
          <w:ilvl w:val="2"/>
          <w:numId w:val="156"/>
        </w:numPr>
        <w:rPr>
          <w:rFonts w:ascii="Arial" w:cs="Arial" w:eastAsia="Arial" w:hAnsi="Arial"/>
          <w:sz w:val="18"/>
          <w:szCs w:val="18"/>
          <w:color w:val="auto"/>
        </w:rPr>
      </w:pPr>
      <w:r>
        <w:rPr>
          <w:rFonts w:ascii="Arial" w:cs="Arial" w:eastAsia="Arial" w:hAnsi="Arial"/>
          <w:sz w:val="19"/>
          <w:szCs w:val="19"/>
          <w:color w:val="auto"/>
        </w:rPr>
        <w:t>On behalf of Executive and Executive’s heirs and assigns, Executive hereby releases and forever discharges the “</w:t>
      </w:r>
      <w:r>
        <w:rPr>
          <w:rFonts w:ascii="Arial" w:cs="Arial" w:eastAsia="Arial" w:hAnsi="Arial"/>
          <w:sz w:val="19"/>
          <w:szCs w:val="19"/>
          <w:u w:val="single" w:color="auto"/>
          <w:color w:val="auto"/>
        </w:rPr>
        <w:t>Releasees</w:t>
      </w:r>
      <w:r>
        <w:rPr>
          <w:rFonts w:ascii="Arial" w:cs="Arial" w:eastAsia="Arial" w:hAnsi="Arial"/>
          <w:sz w:val="19"/>
          <w:szCs w:val="19"/>
          <w:color w:val="auto"/>
        </w:rPr>
        <w:t>”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Arial" w:cs="Arial" w:eastAsia="Arial" w:hAnsi="Arial"/>
          <w:sz w:val="19"/>
          <w:szCs w:val="19"/>
          <w:u w:val="single" w:color="auto"/>
          <w:color w:val="auto"/>
        </w:rPr>
        <w:t>Claims</w:t>
      </w:r>
      <w:r>
        <w:rPr>
          <w:rFonts w:ascii="Arial" w:cs="Arial" w:eastAsia="Arial" w:hAnsi="Arial"/>
          <w:sz w:val="19"/>
          <w:szCs w:val="19"/>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29 U.S.C. § 621, et seq.; Title VII of the Civil Rights Act of 1964, as amended by the Civil Rights Act of 1991, 42 U.S.C. § 2000 et seq.; the Equal Pay Act, 29 U.S.C.</w:t>
      </w:r>
    </w:p>
    <w:p>
      <w:pPr>
        <w:spacing w:after="0" w:line="1" w:lineRule="exact"/>
        <w:rPr>
          <w:rFonts w:ascii="Arial" w:cs="Arial" w:eastAsia="Arial" w:hAnsi="Arial"/>
          <w:sz w:val="18"/>
          <w:szCs w:val="18"/>
          <w:color w:val="auto"/>
        </w:rPr>
      </w:pPr>
    </w:p>
    <w:p>
      <w:pPr>
        <w:ind w:left="760" w:right="40" w:firstLine="4"/>
        <w:spacing w:after="0" w:line="277" w:lineRule="auto"/>
        <w:tabs>
          <w:tab w:leader="none" w:pos="92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206(d); the Civil Rights Act of 1866, 42 U.S.C. § 1981; the Family and Medical Leave Act of 1993, 29 U.S.C. § 2601 et seq.; the Americans with Disabilities Act of 1990, 42 U.S.C. § 12101 et seq.; the False Claims Act, 31 U.S.C. § 3729 et seq.; the Employee Retirement Income Security Act, 29 U.S.C. § 1001 et seq.; the Worker Adjustment and Retraining Notification Act, 29 U.S.C. § 2101 et seq. the Fair Labor Standards Act, 29 U.S.C. § 215 et seq., the Sarbanes-Oxley Act of 2002; the Texas Labor Code (specifically including the Texas Payday Law, the Texas Anti-Retaliation Act, Chapter 21 of the Texas Labor Code, and the Texas Whistleblower Act); and any and all other federal, state and local laws, statutes, executive orders, regulations municipal ordinances, common law, and any other jurisdiction worldwide; Claims for breach of contract; Claims arising in tort, including, without limitation, Claims of wrongful dismissal or discharge, discrimination, harassment, retaliation, fraud, misrepresentation, defamation, libel, infliction of emotional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20" w:top="1440" w:right="379" w:bottom="1440" w:gutter="0" w:footer="0" w:header="0"/>
        </w:sectPr>
      </w:pPr>
    </w:p>
    <w:bookmarkStart w:id="196" w:name="page197"/>
    <w:bookmarkEnd w:id="196"/>
    <w:p>
      <w:pPr>
        <w:spacing w:after="0" w:line="366"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77" w:lineRule="exact"/>
        <w:rPr>
          <w:sz w:val="20"/>
          <w:szCs w:val="20"/>
          <w:color w:val="auto"/>
        </w:rPr>
      </w:pPr>
    </w:p>
    <w:p>
      <w:pPr>
        <w:ind w:left="1820" w:hanging="520"/>
        <w:spacing w:after="0"/>
        <w:tabs>
          <w:tab w:leader="none" w:pos="1820" w:val="left"/>
        </w:tabs>
        <w:numPr>
          <w:ilvl w:val="0"/>
          <w:numId w:val="157"/>
        </w:numPr>
        <w:rPr>
          <w:rFonts w:ascii="Arial" w:cs="Arial" w:eastAsia="Arial" w:hAnsi="Arial"/>
          <w:sz w:val="18"/>
          <w:szCs w:val="18"/>
          <w:color w:val="auto"/>
        </w:rPr>
      </w:pPr>
      <w:r>
        <w:rPr>
          <w:rFonts w:ascii="Arial" w:cs="Arial" w:eastAsia="Arial" w:hAnsi="Arial"/>
          <w:sz w:val="19"/>
          <w:szCs w:val="19"/>
          <w:color w:val="auto"/>
        </w:rPr>
        <w:t>Notwithstanding the generality of the foregoing, Executive does not release the following claims:</w:t>
      </w:r>
    </w:p>
    <w:p>
      <w:pPr>
        <w:spacing w:after="0" w:line="254" w:lineRule="exact"/>
        <w:rPr>
          <w:rFonts w:ascii="Arial" w:cs="Arial" w:eastAsia="Arial" w:hAnsi="Arial"/>
          <w:sz w:val="18"/>
          <w:szCs w:val="18"/>
          <w:color w:val="auto"/>
        </w:rPr>
      </w:pPr>
    </w:p>
    <w:p>
      <w:pPr>
        <w:ind w:left="540" w:firstLine="1300"/>
        <w:spacing w:after="0" w:line="250" w:lineRule="auto"/>
        <w:tabs>
          <w:tab w:leader="none" w:pos="2482" w:val="left"/>
        </w:tabs>
        <w:numPr>
          <w:ilvl w:val="1"/>
          <w:numId w:val="157"/>
        </w:numPr>
        <w:rPr>
          <w:rFonts w:ascii="Arial" w:cs="Arial" w:eastAsia="Arial" w:hAnsi="Arial"/>
          <w:sz w:val="20"/>
          <w:szCs w:val="20"/>
          <w:color w:val="auto"/>
        </w:rPr>
      </w:pPr>
      <w:r>
        <w:rPr>
          <w:rFonts w:ascii="Arial" w:cs="Arial" w:eastAsia="Arial" w:hAnsi="Arial"/>
          <w:sz w:val="22"/>
          <w:szCs w:val="22"/>
          <w:color w:val="auto"/>
        </w:rPr>
        <w:t>Claims for unemployment compensation or any state disability insurance benefits pursuant to the terms of applicable state law;</w:t>
      </w:r>
    </w:p>
    <w:p>
      <w:pPr>
        <w:spacing w:after="0" w:line="174" w:lineRule="exact"/>
        <w:rPr>
          <w:rFonts w:ascii="Arial" w:cs="Arial" w:eastAsia="Arial" w:hAnsi="Arial"/>
          <w:sz w:val="20"/>
          <w:szCs w:val="20"/>
          <w:color w:val="auto"/>
        </w:rPr>
      </w:pPr>
    </w:p>
    <w:p>
      <w:pPr>
        <w:ind w:left="540" w:right="420" w:firstLine="1300"/>
        <w:spacing w:after="0" w:line="263" w:lineRule="auto"/>
        <w:tabs>
          <w:tab w:leader="none" w:pos="2483" w:val="left"/>
        </w:tabs>
        <w:numPr>
          <w:ilvl w:val="1"/>
          <w:numId w:val="157"/>
        </w:numPr>
        <w:rPr>
          <w:rFonts w:ascii="Arial" w:cs="Arial" w:eastAsia="Arial" w:hAnsi="Arial"/>
          <w:sz w:val="20"/>
          <w:szCs w:val="20"/>
          <w:color w:val="auto"/>
        </w:rPr>
      </w:pPr>
      <w:r>
        <w:rPr>
          <w:rFonts w:ascii="Arial" w:cs="Arial" w:eastAsia="Arial" w:hAnsi="Arial"/>
          <w:sz w:val="22"/>
          <w:szCs w:val="22"/>
          <w:color w:val="auto"/>
        </w:rPr>
        <w:t>Claims for workers’ compensation insurance benefits under the terms of any worker’s compensation insurance policy or fund of the Company;</w:t>
      </w:r>
    </w:p>
    <w:p>
      <w:pPr>
        <w:spacing w:after="0" w:line="161" w:lineRule="exact"/>
        <w:rPr>
          <w:rFonts w:ascii="Arial" w:cs="Arial" w:eastAsia="Arial" w:hAnsi="Arial"/>
          <w:sz w:val="20"/>
          <w:szCs w:val="20"/>
          <w:color w:val="auto"/>
        </w:rPr>
      </w:pPr>
    </w:p>
    <w:p>
      <w:pPr>
        <w:ind w:left="540" w:firstLine="1300"/>
        <w:spacing w:after="0" w:line="250" w:lineRule="auto"/>
        <w:tabs>
          <w:tab w:leader="none" w:pos="2484" w:val="left"/>
        </w:tabs>
        <w:numPr>
          <w:ilvl w:val="1"/>
          <w:numId w:val="157"/>
        </w:numPr>
        <w:rPr>
          <w:rFonts w:ascii="Arial" w:cs="Arial" w:eastAsia="Arial" w:hAnsi="Arial"/>
          <w:sz w:val="20"/>
          <w:szCs w:val="20"/>
          <w:color w:val="auto"/>
        </w:rPr>
      </w:pPr>
      <w:r>
        <w:rPr>
          <w:rFonts w:ascii="Arial" w:cs="Arial" w:eastAsia="Arial" w:hAnsi="Arial"/>
          <w:sz w:val="22"/>
          <w:szCs w:val="22"/>
          <w:color w:val="auto"/>
        </w:rPr>
        <w:t>Claims to continued participation in certain of the Company’s group benefit plans pursuant to the terms and conditions of COBRA;</w:t>
      </w:r>
    </w:p>
    <w:p>
      <w:pPr>
        <w:spacing w:after="0" w:line="188" w:lineRule="exact"/>
        <w:rPr>
          <w:rFonts w:ascii="Arial" w:cs="Arial" w:eastAsia="Arial" w:hAnsi="Arial"/>
          <w:sz w:val="20"/>
          <w:szCs w:val="20"/>
          <w:color w:val="auto"/>
        </w:rPr>
      </w:pPr>
    </w:p>
    <w:p>
      <w:pPr>
        <w:ind w:left="540" w:right="900" w:firstLine="1300"/>
        <w:spacing w:after="0" w:line="250" w:lineRule="auto"/>
        <w:tabs>
          <w:tab w:leader="none" w:pos="2473" w:val="left"/>
        </w:tabs>
        <w:numPr>
          <w:ilvl w:val="1"/>
          <w:numId w:val="157"/>
        </w:numPr>
        <w:rPr>
          <w:rFonts w:ascii="Arial" w:cs="Arial" w:eastAsia="Arial" w:hAnsi="Arial"/>
          <w:sz w:val="20"/>
          <w:szCs w:val="20"/>
          <w:color w:val="auto"/>
        </w:rPr>
      </w:pPr>
      <w:r>
        <w:rPr>
          <w:rFonts w:ascii="Arial" w:cs="Arial" w:eastAsia="Arial" w:hAnsi="Arial"/>
          <w:sz w:val="22"/>
          <w:szCs w:val="22"/>
          <w:color w:val="auto"/>
        </w:rPr>
        <w:t>Claims to any benefit entitlements vested as the date of Executive’s employment termination, pursuant to written terms of any Company employee benefit plan;</w:t>
      </w:r>
    </w:p>
    <w:p>
      <w:pPr>
        <w:spacing w:after="0" w:line="188" w:lineRule="exact"/>
        <w:rPr>
          <w:rFonts w:ascii="Arial" w:cs="Arial" w:eastAsia="Arial" w:hAnsi="Arial"/>
          <w:sz w:val="20"/>
          <w:szCs w:val="20"/>
          <w:color w:val="auto"/>
        </w:rPr>
      </w:pPr>
    </w:p>
    <w:p>
      <w:pPr>
        <w:ind w:left="540" w:right="140" w:firstLine="1300"/>
        <w:spacing w:after="0"/>
        <w:tabs>
          <w:tab w:leader="none" w:pos="2472" w:val="left"/>
        </w:tabs>
        <w:numPr>
          <w:ilvl w:val="1"/>
          <w:numId w:val="157"/>
        </w:numPr>
        <w:rPr>
          <w:rFonts w:ascii="Arial" w:cs="Arial" w:eastAsia="Arial" w:hAnsi="Arial"/>
          <w:sz w:val="20"/>
          <w:szCs w:val="20"/>
          <w:color w:val="auto"/>
        </w:rPr>
      </w:pPr>
      <w:r>
        <w:rPr>
          <w:rFonts w:ascii="Arial" w:cs="Arial" w:eastAsia="Arial" w:hAnsi="Arial"/>
          <w:sz w:val="22"/>
          <w:szCs w:val="22"/>
          <w:color w:val="auto"/>
        </w:rPr>
        <w:t>Claims for indemnification under any indemnification agreement with the Company, the Company’s Bylaws, any other applicable law or the Company’s directors and officers liability insurance policy; and</w:t>
      </w:r>
    </w:p>
    <w:p>
      <w:pPr>
        <w:spacing w:after="0" w:line="199" w:lineRule="exact"/>
        <w:rPr>
          <w:rFonts w:ascii="Arial" w:cs="Arial" w:eastAsia="Arial" w:hAnsi="Arial"/>
          <w:sz w:val="20"/>
          <w:szCs w:val="20"/>
          <w:color w:val="auto"/>
        </w:rPr>
      </w:pPr>
    </w:p>
    <w:p>
      <w:pPr>
        <w:ind w:left="540" w:right="20" w:firstLine="1300"/>
        <w:spacing w:after="0" w:line="247" w:lineRule="auto"/>
        <w:tabs>
          <w:tab w:leader="none" w:pos="2473" w:val="left"/>
        </w:tabs>
        <w:numPr>
          <w:ilvl w:val="1"/>
          <w:numId w:val="157"/>
        </w:numPr>
        <w:rPr>
          <w:rFonts w:ascii="Arial" w:cs="Arial" w:eastAsia="Arial" w:hAnsi="Arial"/>
          <w:sz w:val="20"/>
          <w:szCs w:val="20"/>
          <w:color w:val="auto"/>
        </w:rPr>
      </w:pPr>
      <w:r>
        <w:rPr>
          <w:rFonts w:ascii="Arial" w:cs="Arial" w:eastAsia="Arial" w:hAnsi="Arial"/>
          <w:sz w:val="22"/>
          <w:szCs w:val="22"/>
          <w:color w:val="auto"/>
        </w:rPr>
        <w:t xml:space="preserve">Executive’s right to bring to the attention of the Equal Employment Opportunity Commission claims of discrimination;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Executive does release Executive’s right to secure any damages for alleged discriminatory treatment.</w:t>
      </w:r>
    </w:p>
    <w:p>
      <w:pPr>
        <w:spacing w:after="0" w:line="177" w:lineRule="exact"/>
        <w:rPr>
          <w:rFonts w:ascii="Arial" w:cs="Arial" w:eastAsia="Arial" w:hAnsi="Arial"/>
          <w:sz w:val="20"/>
          <w:szCs w:val="20"/>
          <w:color w:val="auto"/>
        </w:rPr>
      </w:pPr>
    </w:p>
    <w:p>
      <w:pPr>
        <w:ind w:left="1840" w:hanging="540"/>
        <w:spacing w:after="0"/>
        <w:tabs>
          <w:tab w:leader="none" w:pos="1840" w:val="left"/>
        </w:tabs>
        <w:numPr>
          <w:ilvl w:val="0"/>
          <w:numId w:val="157"/>
        </w:numPr>
        <w:rPr>
          <w:rFonts w:ascii="Arial" w:cs="Arial" w:eastAsia="Arial" w:hAnsi="Arial"/>
          <w:sz w:val="18"/>
          <w:szCs w:val="18"/>
          <w:color w:val="auto"/>
        </w:rPr>
      </w:pPr>
      <w:r>
        <w:rPr>
          <w:rFonts w:ascii="Arial" w:cs="Arial" w:eastAsia="Arial" w:hAnsi="Arial"/>
          <w:sz w:val="19"/>
          <w:szCs w:val="19"/>
          <w:color w:val="auto"/>
        </w:rPr>
        <w:t>In accordance with the Older Workers Benefit Protection Act of 1990, Executive has been advised</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of the following:</w:t>
      </w:r>
    </w:p>
    <w:p>
      <w:pPr>
        <w:spacing w:after="0" w:line="201" w:lineRule="exact"/>
        <w:rPr>
          <w:rFonts w:ascii="Arial" w:cs="Arial" w:eastAsia="Arial" w:hAnsi="Arial"/>
          <w:sz w:val="18"/>
          <w:szCs w:val="18"/>
          <w:color w:val="auto"/>
        </w:rPr>
      </w:pPr>
    </w:p>
    <w:p>
      <w:pPr>
        <w:ind w:left="2480" w:hanging="640"/>
        <w:spacing w:after="0"/>
        <w:tabs>
          <w:tab w:leader="none" w:pos="2480" w:val="left"/>
        </w:tabs>
        <w:numPr>
          <w:ilvl w:val="1"/>
          <w:numId w:val="157"/>
        </w:numPr>
        <w:rPr>
          <w:rFonts w:ascii="Arial" w:cs="Arial" w:eastAsia="Arial" w:hAnsi="Arial"/>
          <w:sz w:val="20"/>
          <w:szCs w:val="20"/>
          <w:color w:val="auto"/>
        </w:rPr>
      </w:pPr>
      <w:r>
        <w:rPr>
          <w:rFonts w:ascii="Arial" w:cs="Arial" w:eastAsia="Arial" w:hAnsi="Arial"/>
          <w:sz w:val="22"/>
          <w:szCs w:val="22"/>
          <w:color w:val="auto"/>
        </w:rPr>
        <w:t>Executive has the right to consult with an attorney before signing this Release;</w:t>
      </w:r>
    </w:p>
    <w:p>
      <w:pPr>
        <w:spacing w:after="0" w:line="206" w:lineRule="exact"/>
        <w:rPr>
          <w:rFonts w:ascii="Arial" w:cs="Arial" w:eastAsia="Arial" w:hAnsi="Arial"/>
          <w:sz w:val="20"/>
          <w:szCs w:val="20"/>
          <w:color w:val="auto"/>
        </w:rPr>
      </w:pPr>
    </w:p>
    <w:p>
      <w:pPr>
        <w:ind w:left="2480" w:hanging="640"/>
        <w:spacing w:after="0"/>
        <w:tabs>
          <w:tab w:leader="none" w:pos="2480" w:val="left"/>
        </w:tabs>
        <w:numPr>
          <w:ilvl w:val="1"/>
          <w:numId w:val="157"/>
        </w:numPr>
        <w:rPr>
          <w:rFonts w:ascii="Arial" w:cs="Arial" w:eastAsia="Arial" w:hAnsi="Arial"/>
          <w:sz w:val="19"/>
          <w:szCs w:val="19"/>
          <w:color w:val="auto"/>
        </w:rPr>
      </w:pPr>
      <w:r>
        <w:rPr>
          <w:rFonts w:ascii="Arial" w:cs="Arial" w:eastAsia="Arial" w:hAnsi="Arial"/>
          <w:sz w:val="21"/>
          <w:szCs w:val="21"/>
          <w:color w:val="auto"/>
        </w:rPr>
        <w:t>Executive has been given at least twenty-one (21) days to consider this Release;</w:t>
      </w:r>
    </w:p>
    <w:p>
      <w:pPr>
        <w:spacing w:after="0" w:line="231" w:lineRule="exact"/>
        <w:rPr>
          <w:rFonts w:ascii="Arial" w:cs="Arial" w:eastAsia="Arial" w:hAnsi="Arial"/>
          <w:sz w:val="19"/>
          <w:szCs w:val="19"/>
          <w:color w:val="auto"/>
        </w:rPr>
      </w:pPr>
    </w:p>
    <w:p>
      <w:pPr>
        <w:ind w:left="540" w:right="20" w:firstLine="1300"/>
        <w:spacing w:after="0" w:line="253" w:lineRule="auto"/>
        <w:tabs>
          <w:tab w:leader="none" w:pos="2484" w:val="left"/>
        </w:tabs>
        <w:numPr>
          <w:ilvl w:val="1"/>
          <w:numId w:val="157"/>
        </w:numPr>
        <w:rPr>
          <w:rFonts w:ascii="Arial" w:cs="Arial" w:eastAsia="Arial" w:hAnsi="Arial"/>
          <w:sz w:val="19"/>
          <w:szCs w:val="19"/>
          <w:color w:val="auto"/>
        </w:rPr>
      </w:pPr>
      <w:r>
        <w:rPr>
          <w:rFonts w:ascii="Arial" w:cs="Arial" w:eastAsia="Arial" w:hAnsi="Arial"/>
          <w:sz w:val="21"/>
          <w:szCs w:val="21"/>
          <w:color w:val="auto"/>
        </w:rPr>
        <w:t>Executive has seven (7) days after signing this Release to revoke it, and Executive will not receive the severance benefits provided by that certain Severance Agreement among the Parties (the “</w:t>
      </w:r>
      <w:r>
        <w:rPr>
          <w:rFonts w:ascii="Arial" w:cs="Arial" w:eastAsia="Arial" w:hAnsi="Arial"/>
          <w:sz w:val="21"/>
          <w:szCs w:val="21"/>
          <w:u w:val="single" w:color="auto"/>
          <w:color w:val="auto"/>
        </w:rPr>
        <w:t>Severance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unless and until such seven (7) day period has expired. If Executive wishes to revoke this Release, Executive must deliver notice of Executive’s revocation in writing, no later than 5:00 p.m. on the 7th day following Executive’s execution of this Release to [_________].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40"/>
          </w:cols>
          <w:pgMar w:left="1080" w:top="1440" w:right="479" w:bottom="1440" w:gutter="0" w:footer="0" w:header="0"/>
        </w:sectPr>
      </w:pPr>
    </w:p>
    <w:bookmarkStart w:id="197" w:name="page198"/>
    <w:bookmarkEnd w:id="197"/>
    <w:p>
      <w:pPr>
        <w:spacing w:after="0" w:line="366" w:lineRule="exact"/>
        <w:rPr>
          <w:sz w:val="20"/>
          <w:szCs w:val="20"/>
          <w:color w:val="auto"/>
        </w:rPr>
      </w:pPr>
    </w:p>
    <w:p>
      <w:pPr>
        <w:ind w:left="1700" w:hanging="413"/>
        <w:spacing w:after="0"/>
        <w:tabs>
          <w:tab w:leader="none" w:pos="1700" w:val="left"/>
        </w:tabs>
        <w:numPr>
          <w:ilvl w:val="0"/>
          <w:numId w:val="158"/>
        </w:numPr>
        <w:rPr>
          <w:rFonts w:ascii="Arial" w:cs="Arial" w:eastAsia="Arial" w:hAnsi="Arial"/>
          <w:sz w:val="20"/>
          <w:szCs w:val="20"/>
          <w:color w:val="auto"/>
        </w:rPr>
      </w:pPr>
      <w:r>
        <w:rPr>
          <w:rFonts w:ascii="Arial" w:cs="Arial" w:eastAsia="Arial" w:hAnsi="Arial"/>
          <w:sz w:val="22"/>
          <w:szCs w:val="22"/>
          <w:u w:val="single" w:color="auto"/>
          <w:color w:val="auto"/>
        </w:rPr>
        <w:t>Executive Representations</w:t>
      </w:r>
      <w:r>
        <w:rPr>
          <w:rFonts w:ascii="Arial" w:cs="Arial" w:eastAsia="Arial" w:hAnsi="Arial"/>
          <w:sz w:val="22"/>
          <w:szCs w:val="22"/>
          <w:color w:val="auto"/>
        </w:rPr>
        <w:t>. Executive represents and warrants that:</w:t>
      </w:r>
    </w:p>
    <w:p>
      <w:pPr>
        <w:spacing w:after="0" w:line="206" w:lineRule="exact"/>
        <w:rPr>
          <w:rFonts w:ascii="Arial" w:cs="Arial" w:eastAsia="Arial" w:hAnsi="Arial"/>
          <w:sz w:val="20"/>
          <w:szCs w:val="20"/>
          <w:color w:val="auto"/>
        </w:rPr>
      </w:pPr>
    </w:p>
    <w:p>
      <w:pPr>
        <w:ind w:left="2340" w:hanging="540"/>
        <w:spacing w:after="0"/>
        <w:tabs>
          <w:tab w:leader="none" w:pos="2340" w:val="left"/>
        </w:tabs>
        <w:numPr>
          <w:ilvl w:val="1"/>
          <w:numId w:val="158"/>
        </w:numPr>
        <w:rPr>
          <w:rFonts w:ascii="Arial" w:cs="Arial" w:eastAsia="Arial" w:hAnsi="Arial"/>
          <w:sz w:val="19"/>
          <w:szCs w:val="19"/>
          <w:color w:val="auto"/>
        </w:rPr>
      </w:pPr>
      <w:r>
        <w:rPr>
          <w:rFonts w:ascii="Arial" w:cs="Arial" w:eastAsia="Arial" w:hAnsi="Arial"/>
          <w:sz w:val="21"/>
          <w:szCs w:val="21"/>
          <w:color w:val="auto"/>
        </w:rPr>
        <w:t>Executive has returned to the Company all Company property in Executive’s possession;</w:t>
      </w:r>
    </w:p>
    <w:p>
      <w:pPr>
        <w:spacing w:after="0" w:line="231" w:lineRule="exact"/>
        <w:rPr>
          <w:rFonts w:ascii="Arial" w:cs="Arial" w:eastAsia="Arial" w:hAnsi="Arial"/>
          <w:sz w:val="19"/>
          <w:szCs w:val="19"/>
          <w:color w:val="auto"/>
        </w:rPr>
      </w:pPr>
    </w:p>
    <w:p>
      <w:pPr>
        <w:ind w:left="500" w:right="260" w:firstLine="1300"/>
        <w:spacing w:after="0" w:line="264" w:lineRule="auto"/>
        <w:tabs>
          <w:tab w:leader="none" w:pos="2324" w:val="left"/>
        </w:tabs>
        <w:numPr>
          <w:ilvl w:val="1"/>
          <w:numId w:val="158"/>
        </w:numPr>
        <w:rPr>
          <w:rFonts w:ascii="Arial" w:cs="Arial" w:eastAsia="Arial" w:hAnsi="Arial"/>
          <w:sz w:val="19"/>
          <w:szCs w:val="19"/>
          <w:color w:val="auto"/>
        </w:rPr>
      </w:pPr>
      <w:r>
        <w:rPr>
          <w:rFonts w:ascii="Arial" w:cs="Arial" w:eastAsia="Arial" w:hAnsi="Arial"/>
          <w:sz w:val="21"/>
          <w:szCs w:val="21"/>
          <w:color w:val="auto"/>
        </w:rPr>
        <w:t>Executive is not owed wages, commissions, bonuses or other compensation, other than wages through the date of the termination of Executive’s employment and any accrued, unused vacation earned through such date, and any payments that become due under the Severance Agreement;</w:t>
      </w:r>
    </w:p>
    <w:p>
      <w:pPr>
        <w:spacing w:after="0" w:line="161" w:lineRule="exact"/>
        <w:rPr>
          <w:rFonts w:ascii="Arial" w:cs="Arial" w:eastAsia="Arial" w:hAnsi="Arial"/>
          <w:sz w:val="19"/>
          <w:szCs w:val="19"/>
          <w:color w:val="auto"/>
        </w:rPr>
      </w:pPr>
    </w:p>
    <w:p>
      <w:pPr>
        <w:jc w:val="both"/>
        <w:ind w:left="500" w:right="420" w:firstLine="1300"/>
        <w:spacing w:after="0" w:line="241" w:lineRule="auto"/>
        <w:tabs>
          <w:tab w:leader="none" w:pos="2326" w:val="left"/>
        </w:tabs>
        <w:numPr>
          <w:ilvl w:val="1"/>
          <w:numId w:val="158"/>
        </w:numPr>
        <w:rPr>
          <w:rFonts w:ascii="Arial" w:cs="Arial" w:eastAsia="Arial" w:hAnsi="Arial"/>
          <w:sz w:val="20"/>
          <w:szCs w:val="20"/>
          <w:color w:val="auto"/>
        </w:rPr>
      </w:pPr>
      <w:r>
        <w:rPr>
          <w:rFonts w:ascii="Arial" w:cs="Arial" w:eastAsia="Arial" w:hAnsi="Arial"/>
          <w:sz w:val="22"/>
          <w:szCs w:val="22"/>
          <w:color w:val="auto"/>
        </w:rPr>
        <w:t>During the course of Executive’s employment Executive did not sustain any injuries for which Executive might be entitled to compensation pursuant to worker’s compensation law or Executive has disclosed any injuries of which Executive is currently, reasonably aware for which Executive might be entitled to compensation pursuant to worker’s compensation law; and</w:t>
      </w:r>
    </w:p>
    <w:p>
      <w:pPr>
        <w:spacing w:after="0" w:line="185" w:lineRule="exact"/>
        <w:rPr>
          <w:rFonts w:ascii="Arial" w:cs="Arial" w:eastAsia="Arial" w:hAnsi="Arial"/>
          <w:sz w:val="20"/>
          <w:szCs w:val="20"/>
          <w:color w:val="auto"/>
        </w:rPr>
      </w:pPr>
    </w:p>
    <w:p>
      <w:pPr>
        <w:ind w:left="500" w:right="60" w:firstLine="1300"/>
        <w:spacing w:after="0" w:line="247" w:lineRule="auto"/>
        <w:tabs>
          <w:tab w:leader="none" w:pos="2324" w:val="left"/>
        </w:tabs>
        <w:numPr>
          <w:ilvl w:val="1"/>
          <w:numId w:val="158"/>
        </w:numPr>
        <w:rPr>
          <w:rFonts w:ascii="Arial" w:cs="Arial" w:eastAsia="Arial" w:hAnsi="Arial"/>
          <w:sz w:val="20"/>
          <w:szCs w:val="20"/>
          <w:color w:val="auto"/>
        </w:rPr>
      </w:pPr>
      <w:r>
        <w:rPr>
          <w:rFonts w:ascii="Arial" w:cs="Arial" w:eastAsia="Arial" w:hAnsi="Arial"/>
          <w:sz w:val="22"/>
          <w:szCs w:val="22"/>
          <w:color w:val="auto"/>
        </w:rPr>
        <w:t>Executive has not initiated any adversarial proceedings of any kind against the Company or against any other person or entity released herein, nor will Executive do so in the future, except as specifically allowed by this Release.</w:t>
      </w:r>
    </w:p>
    <w:p>
      <w:pPr>
        <w:spacing w:after="0" w:line="190" w:lineRule="exact"/>
        <w:rPr>
          <w:rFonts w:ascii="Arial" w:cs="Arial" w:eastAsia="Arial" w:hAnsi="Arial"/>
          <w:sz w:val="20"/>
          <w:szCs w:val="20"/>
          <w:color w:val="auto"/>
        </w:rPr>
      </w:pPr>
    </w:p>
    <w:p>
      <w:pPr>
        <w:ind w:right="840" w:firstLine="1287"/>
        <w:spacing w:after="0" w:line="250" w:lineRule="auto"/>
        <w:tabs>
          <w:tab w:leader="none" w:pos="1701" w:val="left"/>
        </w:tabs>
        <w:numPr>
          <w:ilvl w:val="0"/>
          <w:numId w:val="158"/>
        </w:numPr>
        <w:rPr>
          <w:rFonts w:ascii="Arial" w:cs="Arial" w:eastAsia="Arial" w:hAnsi="Arial"/>
          <w:sz w:val="20"/>
          <w:szCs w:val="20"/>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Release are severable. If any provision is held to be invalid or unenforceable, it shall not affect the validity or enforceability of any other provision.</w:t>
      </w:r>
    </w:p>
    <w:p>
      <w:pPr>
        <w:spacing w:after="0" w:line="174" w:lineRule="exact"/>
        <w:rPr>
          <w:rFonts w:ascii="Arial" w:cs="Arial" w:eastAsia="Arial" w:hAnsi="Arial"/>
          <w:sz w:val="20"/>
          <w:szCs w:val="20"/>
          <w:color w:val="auto"/>
        </w:rPr>
      </w:pPr>
    </w:p>
    <w:p>
      <w:pPr>
        <w:ind w:firstLine="1287"/>
        <w:spacing w:after="0" w:line="247" w:lineRule="auto"/>
        <w:tabs>
          <w:tab w:leader="none" w:pos="1701" w:val="left"/>
        </w:tabs>
        <w:numPr>
          <w:ilvl w:val="0"/>
          <w:numId w:val="158"/>
        </w:numPr>
        <w:rPr>
          <w:rFonts w:ascii="Arial" w:cs="Arial" w:eastAsia="Arial" w:hAnsi="Arial"/>
          <w:sz w:val="20"/>
          <w:szCs w:val="20"/>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Release shall in all respects be governed and construed in accordance with the laws of the State of Texas, including all matters of construction, validity and performance, without regard to conflicts of law principles.</w:t>
      </w:r>
    </w:p>
    <w:p>
      <w:pPr>
        <w:spacing w:after="0" w:line="190" w:lineRule="exact"/>
        <w:rPr>
          <w:rFonts w:ascii="Arial" w:cs="Arial" w:eastAsia="Arial" w:hAnsi="Arial"/>
          <w:sz w:val="20"/>
          <w:szCs w:val="20"/>
          <w:color w:val="auto"/>
        </w:rPr>
      </w:pPr>
    </w:p>
    <w:p>
      <w:pPr>
        <w:ind w:right="120" w:firstLine="1287"/>
        <w:spacing w:after="0" w:line="292" w:lineRule="auto"/>
        <w:tabs>
          <w:tab w:leader="none" w:pos="1701" w:val="left"/>
        </w:tabs>
        <w:numPr>
          <w:ilvl w:val="0"/>
          <w:numId w:val="158"/>
        </w:numPr>
        <w:rPr>
          <w:rFonts w:ascii="Arial" w:cs="Arial" w:eastAsia="Arial" w:hAnsi="Arial"/>
          <w:sz w:val="18"/>
          <w:szCs w:val="18"/>
          <w:color w:val="auto"/>
        </w:rPr>
      </w:pPr>
      <w:r>
        <w:rPr>
          <w:rFonts w:ascii="Arial" w:cs="Arial" w:eastAsia="Arial" w:hAnsi="Arial"/>
          <w:sz w:val="19"/>
          <w:szCs w:val="19"/>
          <w:u w:val="single" w:color="auto"/>
          <w:color w:val="auto"/>
        </w:rPr>
        <w:t>Integration Clause</w:t>
      </w:r>
      <w:r>
        <w:rPr>
          <w:rFonts w:ascii="Arial" w:cs="Arial" w:eastAsia="Arial" w:hAnsi="Arial"/>
          <w:sz w:val="19"/>
          <w:szCs w:val="19"/>
          <w:color w:val="auto"/>
        </w:rPr>
        <w:t>. This Release and the Severance Agreement contain the Parties’ entire agreement with regard to the separation of Executive’s employment, and supersede and replace any prior agreements as to those matters, whether oral or written. This Release may not be changed or modified, in whole or in part, except by an instrument in writing signed by Executive and a duly authorized officer or director of the Company.</w:t>
      </w:r>
    </w:p>
    <w:p>
      <w:pPr>
        <w:spacing w:after="0" w:line="138" w:lineRule="exact"/>
        <w:rPr>
          <w:rFonts w:ascii="Arial" w:cs="Arial" w:eastAsia="Arial" w:hAnsi="Arial"/>
          <w:sz w:val="18"/>
          <w:szCs w:val="18"/>
          <w:color w:val="auto"/>
        </w:rPr>
      </w:pPr>
    </w:p>
    <w:p>
      <w:pPr>
        <w:ind w:right="400" w:firstLine="1287"/>
        <w:spacing w:after="0" w:line="247" w:lineRule="auto"/>
        <w:tabs>
          <w:tab w:leader="none" w:pos="1701" w:val="left"/>
        </w:tabs>
        <w:numPr>
          <w:ilvl w:val="0"/>
          <w:numId w:val="158"/>
        </w:numPr>
        <w:rPr>
          <w:rFonts w:ascii="Arial" w:cs="Arial" w:eastAsia="Arial" w:hAnsi="Arial"/>
          <w:sz w:val="20"/>
          <w:szCs w:val="20"/>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Release may be executed in counterparts with the same force and effectiveness as though executed in a single document. Facsimile signatures shall have the same force and effectiveness as original signatures.</w:t>
      </w:r>
    </w:p>
    <w:p>
      <w:pPr>
        <w:spacing w:after="0" w:line="177" w:lineRule="exact"/>
        <w:rPr>
          <w:rFonts w:ascii="Arial" w:cs="Arial" w:eastAsia="Arial" w:hAnsi="Arial"/>
          <w:sz w:val="20"/>
          <w:szCs w:val="20"/>
          <w:color w:val="auto"/>
        </w:rPr>
      </w:pPr>
    </w:p>
    <w:p>
      <w:pPr>
        <w:ind w:right="160" w:firstLine="1287"/>
        <w:spacing w:after="0" w:line="287" w:lineRule="auto"/>
        <w:tabs>
          <w:tab w:leader="none" w:pos="1701" w:val="left"/>
        </w:tabs>
        <w:numPr>
          <w:ilvl w:val="0"/>
          <w:numId w:val="158"/>
        </w:numPr>
        <w:rPr>
          <w:rFonts w:ascii="Arial" w:cs="Arial" w:eastAsia="Arial" w:hAnsi="Arial"/>
          <w:sz w:val="19"/>
          <w:szCs w:val="19"/>
          <w:color w:val="auto"/>
        </w:rPr>
      </w:pPr>
      <w:r>
        <w:rPr>
          <w:rFonts w:ascii="Arial" w:cs="Arial" w:eastAsia="Arial" w:hAnsi="Arial"/>
          <w:sz w:val="21"/>
          <w:szCs w:val="21"/>
          <w:u w:val="single" w:color="auto"/>
          <w:color w:val="auto"/>
        </w:rPr>
        <w:t>Intent to be Bound</w:t>
      </w:r>
      <w:r>
        <w:rPr>
          <w:rFonts w:ascii="Arial" w:cs="Arial" w:eastAsia="Arial" w:hAnsi="Arial"/>
          <w:sz w:val="21"/>
          <w:szCs w:val="21"/>
          <w:color w:val="auto"/>
        </w:rPr>
        <w:t>. The Parties have carefully read this Release in its entirety; fully understand and agree to its terms and provisions; and intend and agree that it is final and binding on all Parties.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60"/>
          </w:cols>
          <w:pgMar w:left="580" w:top="1440" w:right="359" w:bottom="1440" w:gutter="0" w:footer="0" w:header="0"/>
        </w:sectPr>
      </w:pPr>
    </w:p>
    <w:bookmarkStart w:id="198" w:name="page199"/>
    <w:bookmarkEnd w:id="198"/>
    <w:p>
      <w:pPr>
        <w:spacing w:after="0" w:line="353" w:lineRule="exact"/>
        <w:rPr>
          <w:sz w:val="20"/>
          <w:szCs w:val="20"/>
          <w:color w:val="auto"/>
        </w:rPr>
      </w:pPr>
    </w:p>
    <w:p>
      <w:pPr>
        <w:ind w:firstLine="864"/>
        <w:spacing w:after="0" w:line="232" w:lineRule="auto"/>
        <w:rPr>
          <w:sz w:val="20"/>
          <w:szCs w:val="20"/>
          <w:color w:val="auto"/>
        </w:rPr>
      </w:pPr>
      <w:r>
        <w:rPr>
          <w:rFonts w:ascii="Arial" w:cs="Arial" w:eastAsia="Arial" w:hAnsi="Arial"/>
          <w:sz w:val="22"/>
          <w:szCs w:val="22"/>
          <w:color w:val="auto"/>
        </w:rPr>
        <w:t>IN WITNESS WHEREOF, and intending to be legally bound, the Parties have executed the foregoing on the dates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AMERICAN AIRLINES GROUP, INC.</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By:</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13335</wp:posOffset>
            </wp:positionV>
            <wp:extent cx="30003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AMERICAN AIRLINES, INC.</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By:</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13335</wp:posOffset>
            </wp:positionV>
            <wp:extent cx="300037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-157480</wp:posOffset>
            </wp:positionV>
            <wp:extent cx="30003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294005</wp:posOffset>
            </wp:positionV>
            <wp:extent cx="34715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13335</wp:posOffset>
            </wp:positionV>
            <wp:extent cx="28200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80"/>
          </w:cols>
          <w:pgMar w:left="320" w:top="1440" w:right="799" w:bottom="1440" w:gutter="0" w:footer="0" w:header="0"/>
        </w:sectPr>
      </w:pPr>
    </w:p>
    <w:bookmarkStart w:id="199" w:name="page200"/>
    <w:bookmarkEnd w:id="199"/>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 AGREEMENT</w:t>
      </w:r>
    </w:p>
    <w:p>
      <w:pPr>
        <w:spacing w:after="0" w:line="253" w:lineRule="exact"/>
        <w:rPr>
          <w:sz w:val="20"/>
          <w:szCs w:val="20"/>
          <w:color w:val="auto"/>
        </w:rPr>
      </w:pPr>
    </w:p>
    <w:p>
      <w:pPr>
        <w:jc w:val="both"/>
        <w:ind w:firstLine="385"/>
        <w:spacing w:after="0" w:line="289" w:lineRule="auto"/>
        <w:rPr>
          <w:sz w:val="20"/>
          <w:szCs w:val="20"/>
          <w:color w:val="auto"/>
        </w:rPr>
      </w:pPr>
      <w:r>
        <w:rPr>
          <w:rFonts w:ascii="Arial" w:cs="Arial" w:eastAsia="Arial" w:hAnsi="Arial"/>
          <w:sz w:val="19"/>
          <w:szCs w:val="19"/>
          <w:color w:val="auto"/>
        </w:rPr>
        <w:t>This Restrictive Covenants Agreement (“</w:t>
      </w:r>
      <w:r>
        <w:rPr>
          <w:rFonts w:ascii="Arial" w:cs="Arial" w:eastAsia="Arial" w:hAnsi="Arial"/>
          <w:sz w:val="19"/>
          <w:szCs w:val="19"/>
          <w:b w:val="1"/>
          <w:bCs w:val="1"/>
          <w:i w:val="1"/>
          <w:iCs w:val="1"/>
          <w:color w:val="auto"/>
        </w:rPr>
        <w:t>Restrictive Covenants Agreement</w:t>
      </w:r>
      <w:r>
        <w:rPr>
          <w:rFonts w:ascii="Arial" w:cs="Arial" w:eastAsia="Arial" w:hAnsi="Arial"/>
          <w:sz w:val="19"/>
          <w:szCs w:val="19"/>
          <w:color w:val="auto"/>
        </w:rPr>
        <w:t>”) is entered into by and between American Airlines Group, Inc. on behalf of itself, its subsidiaries, and other affiliates (collectively referred to herein as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David G. Seymour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as of September 20, 2023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as consideration for and ancillary to the Company’s agreement to enter into the severance agreement to which this Restrictive Covenants Agreement is attached (the “</w:t>
      </w:r>
      <w:r>
        <w:rPr>
          <w:rFonts w:ascii="Arial" w:cs="Arial" w:eastAsia="Arial" w:hAnsi="Arial"/>
          <w:sz w:val="19"/>
          <w:szCs w:val="19"/>
          <w:b w:val="1"/>
          <w:bCs w:val="1"/>
          <w:i w:val="1"/>
          <w:iCs w:val="1"/>
          <w:color w:val="auto"/>
        </w:rPr>
        <w:t>Severance Agreement</w:t>
      </w:r>
      <w:r>
        <w:rPr>
          <w:rFonts w:ascii="Arial" w:cs="Arial" w:eastAsia="Arial" w:hAnsi="Arial"/>
          <w:sz w:val="19"/>
          <w:szCs w:val="19"/>
          <w:color w:val="auto"/>
        </w:rPr>
        <w:t>”), and to protect the goodwill and other legitimate business interests of the Company.</w:t>
      </w:r>
    </w:p>
    <w:p>
      <w:pPr>
        <w:spacing w:after="0" w:line="183" w:lineRule="exact"/>
        <w:rPr>
          <w:sz w:val="20"/>
          <w:szCs w:val="20"/>
          <w:color w:val="auto"/>
        </w:rPr>
      </w:pPr>
    </w:p>
    <w:p>
      <w:pPr>
        <w:jc w:val="both"/>
        <w:ind w:left="180" w:firstLine="638"/>
        <w:spacing w:after="0" w:line="263" w:lineRule="auto"/>
        <w:tabs>
          <w:tab w:leader="none" w:pos="1314"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In furtherance of Executive’s job duties, the Company agrees to provide Executive with access to and use of certain of the Company’s confidential or proprietary information that the Company deems necessary and reasonable for Executive to perform Executive’s job duties, Executive agrees to safeguard the confidentiality of such information, and to not use or disclose any of the Company’s confidential or proprietary information without the Company’s written approval, except as reasonably necessary to carry out Executive’s job duties. For the avoidance of doubt, the foregoing restrictions shall not apply to information that is or becomes generally known in the public through lawful means, and not through a breach of this Restrictive Covenants Agreement or other legal or contractual obligation. In addition, Executive acknowledges that Executive continues to be bound by the confidentiality provisions contained in the Company’s Standards of Business Conduct, the terms and conditions of which are incorporated herein by reference. Nothing herein shall be deemed to limit in any way Executive’s obligations under the Company’s Standards of Business Conduct. In the event of any conflict between the terms hereof and the terms of the Company’s Standards of Business Conduct, the more restrictive terms shall prevail. For the avoidance of doubt, nothing in this Restrictive Covenants Agreement or the Company’s Standards of Business Conduct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provided, however, that Executive may not disclose information of the Company or any of their affiliates that is protected by the attorney-client privilege, except as otherwise required by law. Executive does not need the prior authorization of the Company to make any such reports or disclosures, and Executive is not required to notify the Company that Executive has made such reports or disclosures. Executive acknowledges receipt of notice of immunity rights under the U.S. Defend Trade Secrets Act, which states: (1) an individual shall not be held criminally or civilly liable under any federal or state trade secret law for the disclosure of a trade secret that is made (A) in confidence to a federal, state, or local government official, either directly or indirectly, or to an attorney, solely for the purpose of reporting or investigating a suspected violation of law; or (B) in a complaint or other document filed in a lawsuit or other proceeding, if such filing is made under seal; and (2) an individual who files a lawsuit for retaliation by an employer for reporting a suspected violation of law may disclose the trade secret to the attorney of the individual and use the trade secret information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366" w:lineRule="exact"/>
        <w:rPr>
          <w:sz w:val="20"/>
          <w:szCs w:val="20"/>
          <w:color w:val="auto"/>
        </w:rPr>
      </w:pPr>
    </w:p>
    <w:p>
      <w:pPr>
        <w:ind w:left="180"/>
        <w:spacing w:after="0" w:line="250" w:lineRule="auto"/>
        <w:rPr>
          <w:sz w:val="20"/>
          <w:szCs w:val="20"/>
          <w:color w:val="auto"/>
        </w:rPr>
      </w:pPr>
      <w:r>
        <w:rPr>
          <w:rFonts w:ascii="Arial" w:cs="Arial" w:eastAsia="Arial" w:hAnsi="Arial"/>
          <w:sz w:val="22"/>
          <w:szCs w:val="22"/>
          <w:color w:val="auto"/>
        </w:rPr>
        <w:t>court proceeding, if the individual files any document containing the trade secret under seal and does not disclose the trade secret, except pursuant to court order.</w:t>
      </w:r>
    </w:p>
    <w:p>
      <w:pPr>
        <w:spacing w:after="0" w:line="161" w:lineRule="exact"/>
        <w:rPr>
          <w:sz w:val="20"/>
          <w:szCs w:val="20"/>
          <w:color w:val="auto"/>
        </w:rPr>
      </w:pPr>
    </w:p>
    <w:p>
      <w:pPr>
        <w:ind w:left="1300" w:hanging="482"/>
        <w:spacing w:after="0"/>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63" w:lineRule="auto"/>
        <w:tabs>
          <w:tab w:leader="none" w:pos="1941" w:val="left"/>
        </w:tabs>
        <w:numPr>
          <w:ilvl w:val="1"/>
          <w:numId w:val="160"/>
        </w:numPr>
        <w:rPr>
          <w:rFonts w:ascii="Arial" w:cs="Arial" w:eastAsia="Arial" w:hAnsi="Arial"/>
          <w:sz w:val="19"/>
          <w:szCs w:val="19"/>
          <w:color w:val="auto"/>
        </w:rPr>
      </w:pPr>
      <w:r>
        <w:rPr>
          <w:rFonts w:ascii="Arial" w:cs="Arial" w:eastAsia="Arial" w:hAnsi="Arial"/>
          <w:sz w:val="19"/>
          <w:szCs w:val="19"/>
          <w:color w:val="auto"/>
        </w:rPr>
        <w:t>Executive acknowledges that during the course of Executive’s employment (which as used in this Restrictive Covenants Agreement shall include engagement as an independent contractor or other non-employee role as well) with the Company, Executive has and shall become familiar with the Company’s corporate strategy, pricing and other market information, know-how, trade secrets, and valuable customer, supplier and employee relationships, and with other confidential or proprietary information concerning the Company, and that Executive’s services shall be of special, unique and extraordinary value to the Company. Executive also acknowledges that the Company’s business, through (A) the location of its customers and facilities and (B) the area in which its services are offered, is international in scope and extends worldwide. Accordingly, Executive agrees that, during Executive’s employment with the Company and for twelve (12) months thereafter (unless some longer period is specified in any other agreement between Executive and the Company) (the “</w:t>
      </w:r>
      <w:r>
        <w:rPr>
          <w:rFonts w:ascii="Arial" w:cs="Arial" w:eastAsia="Arial" w:hAnsi="Arial"/>
          <w:sz w:val="19"/>
          <w:szCs w:val="19"/>
          <w:b w:val="1"/>
          <w:bCs w:val="1"/>
          <w:i w:val="1"/>
          <w:iCs w:val="1"/>
          <w:color w:val="auto"/>
        </w:rPr>
        <w:t>Noncompete Period</w:t>
      </w:r>
      <w:r>
        <w:rPr>
          <w:rFonts w:ascii="Arial" w:cs="Arial" w:eastAsia="Arial" w:hAnsi="Arial"/>
          <w:sz w:val="19"/>
          <w:szCs w:val="19"/>
          <w:color w:val="auto"/>
        </w:rPr>
        <w:t>”), Executive shall not directly or indirectly: (i) own any interest in, manage, control, or in any other manner engage in, or take significant steps to engage in, any Competing Business (as defined on Annex 1 to this Agreement), provided nothing herein shall prohibit Executive from being a passive owner of not more than two percent (2%) of the outstanding stock of any class of the stock of a corporation which is publicly traded, so long as Executive has no active participation in the business of such corporation, or (ii) be employed by, consult with, or render services to any Competing Business, whether as an employee, consultant, contractor, advisor, member, director, or otherwise, in a role that is similar to any role Executive held at any time while employed by the Company, that is executive or managerial in nature, or in which Executive could reasonably be expected to use or disclose any of confidential or proprietary information of the Company, in either case (i) or (ii), in any state, country and area where the Company conducts business during Executive’s employment with the Company or has material plans to conduct business as of the termination of such employment (the “</w:t>
      </w:r>
      <w:r>
        <w:rPr>
          <w:rFonts w:ascii="Arial" w:cs="Arial" w:eastAsia="Arial" w:hAnsi="Arial"/>
          <w:sz w:val="19"/>
          <w:szCs w:val="19"/>
          <w:b w:val="1"/>
          <w:bCs w:val="1"/>
          <w:i w:val="1"/>
          <w:iCs w:val="1"/>
          <w:color w:val="auto"/>
        </w:rPr>
        <w:t>Geographic Area</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304"/>
        <w:spacing w:after="0" w:line="271" w:lineRule="auto"/>
        <w:tabs>
          <w:tab w:leader="none" w:pos="1939" w:val="left"/>
        </w:tabs>
        <w:numPr>
          <w:ilvl w:val="1"/>
          <w:numId w:val="160"/>
        </w:numPr>
        <w:rPr>
          <w:rFonts w:ascii="Arial" w:cs="Arial" w:eastAsia="Arial" w:hAnsi="Arial"/>
          <w:sz w:val="19"/>
          <w:szCs w:val="19"/>
          <w:color w:val="auto"/>
        </w:rPr>
      </w:pPr>
      <w:r>
        <w:rPr>
          <w:rFonts w:ascii="Arial" w:cs="Arial" w:eastAsia="Arial" w:hAnsi="Arial"/>
          <w:sz w:val="19"/>
          <w:szCs w:val="19"/>
          <w:color w:val="auto"/>
        </w:rPr>
        <w:t>During Executive’s employment with the Company and for twenty-four (24) months thereafter (the “</w:t>
      </w:r>
      <w:r>
        <w:rPr>
          <w:rFonts w:ascii="Arial" w:cs="Arial" w:eastAsia="Arial" w:hAnsi="Arial"/>
          <w:sz w:val="19"/>
          <w:szCs w:val="19"/>
          <w:b w:val="1"/>
          <w:bCs w:val="1"/>
          <w:i w:val="1"/>
          <w:iCs w:val="1"/>
          <w:color w:val="auto"/>
        </w:rPr>
        <w:t>Non-Solicit Period</w:t>
      </w:r>
      <w:r>
        <w:rPr>
          <w:rFonts w:ascii="Arial" w:cs="Arial" w:eastAsia="Arial" w:hAnsi="Arial"/>
          <w:sz w:val="19"/>
          <w:szCs w:val="19"/>
          <w:color w:val="auto"/>
        </w:rPr>
        <w:t>”), Executive shall not directly or indirectly through another individual, corporation, partnership, limited liability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joint venture, estate, trust, association, unincorporated organization or other entity or group (A) solicit for employment or hire, employ or hire, or otherwise induce or attempt to induce any employee, consultant or other service provider of the Company to leave the employ or engagement of the Company, or in any way interfere with the relationship between the Company and any employee, consultant, or other service provider thereof, (B) solicit the business of or offer or provide services that are similar to the Company’s services to any of the Company’s customers, or (C) induce or encourage any customer, supplier, licensee, licensor or other business relation of the Company to cease doing business with the Company, or in any way interfere with the relationship between any such customer, supplier, licensee, licensor or business relation and the Company (including, without limitation, making any negative or disparaging statements or communications regarding the Company) in the Geographic Area; provided, that the foregoing shall be limited to such employees, consultants, service providers, customers, suppliers, licensees, licensors or other business relations with which Executive had business dealings or about whom or which Executive acquired information or had access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36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Company’s confidential information about the customer, employee, consultant, service provider, suppliers, licensee or licensor during Executive’s employment with the Company.</w:t>
      </w:r>
    </w:p>
    <w:p>
      <w:pPr>
        <w:spacing w:after="0" w:line="175" w:lineRule="exact"/>
        <w:rPr>
          <w:sz w:val="20"/>
          <w:szCs w:val="20"/>
          <w:color w:val="auto"/>
        </w:rPr>
      </w:pPr>
    </w:p>
    <w:p>
      <w:pPr>
        <w:jc w:val="both"/>
        <w:ind w:firstLine="818"/>
        <w:spacing w:after="0" w:line="269" w:lineRule="auto"/>
        <w:tabs>
          <w:tab w:leader="none" w:pos="1296"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If, at the time of enforcement of Sections 1 or 2, a court or other governing body shall hold that the limitations as to time, geographic area or scope of activity stated herein are unreasonable under circumstances then existing, Executive agrees that the maximum limitations as to time, geographic area or scope of activity that are reasonable under such circumstances shall be substituted for the stated limitations and that the court or other governing body shall reform the restrictions contained herein to cover the maximum period, scope and area permitted by law. Executive acknowledges that the restrictions contained in Sections 1 and 2 are reasonable and necessary for the protection of the Company’s confidential information, goodwill and other legitimate business interests. Executive acknowledges that any breach or threatened breach of the provisions of Sections 1 or 2 would cause the Company irreparable harm. Accordingly, in addition to other rights and remedies existing in its favor, the Company shall be entitled to seek specific performance and/or injunctive or other equitable relief from a court of competent jurisdiction in order to enforce or prevent any violations of the provisions hereof (without posting a bond or other security). Further, in the event of an alleged breach or violation of Section 1 or 2 by Executive, the Noncompete Period or Non-Solicit Period, as applicable, shall be tolled until such breach or violation has been duly cured and the Noncompete Period or Non-Solicit Period, as applicable, shall be extended by the period of time during which Executive was in breach of the restrictive covenants. The parties agree that because the Company is based in Texas and this Restrictive Covenants Agreement was negotiated, entered into and is performable in whole or in part in Texas, the laws of the State of Texas shall govern this Restrictive Covenants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656"/>
        <w:spacing w:after="0" w:line="235" w:lineRule="auto"/>
        <w:tabs>
          <w:tab w:leader="none" w:pos="1296"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No Restriction on Earning a Living</w:t>
      </w:r>
      <w:r>
        <w:rPr>
          <w:rFonts w:ascii="Arial" w:cs="Arial" w:eastAsia="Arial" w:hAnsi="Arial"/>
          <w:sz w:val="22"/>
          <w:szCs w:val="22"/>
          <w:color w:val="auto"/>
        </w:rPr>
        <w:t>. By Executive’s entrance into the Severance Agreement and this Restrictive Covenants Agreement, Executive hereby acknowledges that the provisions of this Restrictive Covenants Agreement do not preclude Executive from earning a livelihood, nor do they unreasonably impose limitations on Executive’s ability to earn a living. In addition, Executive hereby acknowledges that the potential harm to the Company of non-enforcement of this Restrictive Covenants Agreement outweighs any harm to Executive of enforcement (by injunction or otherwise) of this Restrictive Covenants Agreement against Executive.</w:t>
      </w:r>
    </w:p>
    <w:p>
      <w:pPr>
        <w:spacing w:after="0" w:line="187" w:lineRule="exact"/>
        <w:rPr>
          <w:rFonts w:ascii="Arial" w:cs="Arial" w:eastAsia="Arial" w:hAnsi="Arial"/>
          <w:sz w:val="22"/>
          <w:szCs w:val="22"/>
          <w:color w:val="auto"/>
        </w:rPr>
      </w:pPr>
    </w:p>
    <w:p>
      <w:pPr>
        <w:jc w:val="both"/>
        <w:ind w:firstLine="656"/>
        <w:spacing w:after="0" w:line="272" w:lineRule="auto"/>
        <w:tabs>
          <w:tab w:leader="none" w:pos="1296"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Breach</w:t>
      </w:r>
      <w:r>
        <w:rPr>
          <w:rFonts w:ascii="Arial" w:cs="Arial" w:eastAsia="Arial" w:hAnsi="Arial"/>
          <w:sz w:val="19"/>
          <w:szCs w:val="19"/>
          <w:color w:val="auto"/>
        </w:rPr>
        <w:t>. If at any time before or after the date Executive’s employment or other service relationship with the Company is terminated, Executive breaches any of the obligations under this Restrictive Covenants Agreement, then, in addition to all other legal and equitable remedies available to the Company, the Company may, by delivery of written notice to Executive within ninety (90) days after its actual knowledge of such breach, terminate Executive’s right to receive any unpaid severance benefits and any unvested portion of any equity awards, require the repayment of any severance benefits previously paid and elect to purchase all or any portion of the Company common stock issued to Executive (to the extent not previously repurchased) upon vesting or exercise of an equity award at a price per share equal to the lower of fair market value as of the date of repurchase or the original purchase price paid by Executive. In the event Executive disposes of the shares of Company common stock acquired upon vesting or exercise of equity awards prior to the Company exercising its repurchase right pursuant to the preceding sentence, then Executive agrees to, within 10 days after receiving the Company’s written notice in accordance with this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36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Section 5, remit to the Company an amount equal to the fair market value of the shares of Company common stock so disposed, calculated as of the date Executive disposed of the shares of Company common stock. Each written notice in accordance with this Section 5 will identify the shares of Company common stock to be acquired from Executive, the repurchase price of such Company common stock and the time and place for the closing of the transaction. At the closing, the Company shall pay the repurchase price to Executive, and Executive shall transfer the shares of Company common stock being repurchased to the Company or the fair market value of such shares of Company common stock as of the date Executive disposed of them, as applicable. Executive hereby appoints the Company as Executive’s attorney-in-fact to facilitate and effect any such repurchase.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the Company and Executive have executed this Restrictive Covenants Agreement as of the Effective Date above.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American Airlines Group, Inc.</w:t>
      </w:r>
    </w:p>
    <w:p>
      <w:pPr>
        <w:spacing w:after="0" w:line="3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Grant McGee</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Name: Grant McGee</w:t>
      </w:r>
    </w:p>
    <w:p>
      <w:pPr>
        <w:ind w:left="4800"/>
        <w:spacing w:after="0"/>
        <w:rPr>
          <w:sz w:val="20"/>
          <w:szCs w:val="20"/>
          <w:color w:val="auto"/>
        </w:rPr>
      </w:pPr>
      <w:r>
        <w:rPr>
          <w:rFonts w:ascii="Arial" w:cs="Arial" w:eastAsia="Arial" w:hAnsi="Arial"/>
          <w:sz w:val="22"/>
          <w:szCs w:val="22"/>
          <w:color w:val="auto"/>
        </w:rPr>
        <w:t>Title: Vice President, Corporate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EXECUTIVE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u w:val="single" w:color="auto"/>
          <w:color w:val="auto"/>
        </w:rPr>
        <w:t>David Seymour</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Print Name: </w:t>
      </w:r>
      <w:r>
        <w:rPr>
          <w:rFonts w:ascii="Arial" w:cs="Arial" w:eastAsia="Arial" w:hAnsi="Arial"/>
          <w:sz w:val="22"/>
          <w:szCs w:val="22"/>
          <w:u w:val="single" w:color="auto"/>
          <w:color w:val="auto"/>
        </w:rPr>
        <w:t>David Seymour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Restrictive Covenants Agreement</w:t>
      </w:r>
      <w:r>
        <w:rPr>
          <w:rFonts w:ascii="Arial" w:cs="Arial" w:eastAsia="Arial" w:hAnsi="Arial"/>
          <w:sz w:val="22"/>
          <w:szCs w:val="22"/>
          <w:color w:val="auto"/>
        </w:rPr>
        <w:t>]</w:t>
      </w:r>
    </w:p>
    <w:p>
      <w:pPr>
        <w:sectPr>
          <w:pgSz w:w="11900" w:h="16838" w:orient="portrait"/>
          <w:cols w:equalWidth="0" w:num="1">
            <w:col w:w="10900"/>
          </w:cols>
          <w:pgMar w:left="320" w:top="1440" w:right="679"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Competing Business Definition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Intentionally omitted pursuant to Regulation S-K, Item 601(a)(5)</w:t>
      </w:r>
    </w:p>
    <w:p>
      <w:pPr>
        <w:sectPr>
          <w:pgSz w:w="11900" w:h="16838" w:orient="portrait"/>
          <w:cols w:equalWidth="0" w:num="1">
            <w:col w:w="9019"/>
          </w:cols>
          <w:pgMar w:left="1440" w:top="1440"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hanging="320"/>
        <w:spacing w:after="0" w:line="275" w:lineRule="auto"/>
        <w:tabs>
          <w:tab w:leader="none" w:pos="129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2023</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13970</wp:posOffset>
            </wp:positionV>
            <wp:extent cx="23831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86"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hanging="320"/>
        <w:spacing w:after="0" w:line="275" w:lineRule="auto"/>
        <w:tabs>
          <w:tab w:leader="none" w:pos="129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2023</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13970</wp:posOffset>
            </wp:positionV>
            <wp:extent cx="24599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23" w:lineRule="exact"/>
        <w:rPr>
          <w:sz w:val="20"/>
          <w:szCs w:val="20"/>
          <w:color w:val="auto"/>
        </w:rPr>
      </w:pPr>
    </w:p>
    <w:p>
      <w:pPr>
        <w:sectPr>
          <w:pgSz w:w="11900" w:h="16838" w:orient="portrait"/>
          <w:cols w:equalWidth="0" w:num="2">
            <w:col w:w="6920" w:space="160"/>
            <w:col w:w="4160"/>
          </w:cols>
          <w:pgMar w:left="320" w:top="886"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75"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86" w:right="339" w:bottom="144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410"/>
        <w:spacing w:after="0" w:line="263" w:lineRule="auto"/>
        <w:tabs>
          <w:tab w:leader="none" w:pos="13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450"/>
        <w:spacing w:after="0" w:line="263" w:lineRule="auto"/>
        <w:tabs>
          <w:tab w:leader="none" w:pos="13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hanging="490"/>
        <w:spacing w:after="0" w:line="263" w:lineRule="auto"/>
        <w:tabs>
          <w:tab w:leader="none" w:pos="13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300" w:hanging="500"/>
        <w:spacing w:after="0" w:line="263" w:lineRule="auto"/>
        <w:tabs>
          <w:tab w:leader="none" w:pos="1287"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hanging="410"/>
        <w:spacing w:after="0" w:line="263" w:lineRule="auto"/>
        <w:tabs>
          <w:tab w:leader="none" w:pos="13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hanging="450"/>
        <w:spacing w:after="0" w:line="275" w:lineRule="auto"/>
        <w:tabs>
          <w:tab w:leader="none" w:pos="13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2023</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13970</wp:posOffset>
            </wp:positionV>
            <wp:extent cx="23742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86"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2" w:lineRule="exact"/>
        <w:rPr>
          <w:sz w:val="20"/>
          <w:szCs w:val="20"/>
          <w:color w:val="auto"/>
        </w:rPr>
      </w:pPr>
    </w:p>
    <w:p>
      <w:pPr>
        <w:ind w:left="640" w:hanging="308"/>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hanging="320"/>
        <w:spacing w:after="0" w:line="275" w:lineRule="auto"/>
        <w:tabs>
          <w:tab w:leader="none" w:pos="129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2023</w:t>
      </w:r>
    </w:p>
    <w:p>
      <w:pPr>
        <w:spacing w:after="0" w:line="200" w:lineRule="exact"/>
        <w:rPr>
          <w:sz w:val="20"/>
          <w:szCs w:val="20"/>
          <w:color w:val="auto"/>
        </w:rPr>
      </w:pPr>
    </w:p>
    <w:p>
      <w:pPr>
        <w:spacing w:after="0" w:line="29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13970</wp:posOffset>
            </wp:positionV>
            <wp:extent cx="24599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23" w:lineRule="exact"/>
        <w:rPr>
          <w:sz w:val="20"/>
          <w:szCs w:val="20"/>
          <w:color w:val="auto"/>
        </w:rPr>
      </w:pPr>
    </w:p>
    <w:p>
      <w:pPr>
        <w:sectPr>
          <w:pgSz w:w="11900" w:h="16838" w:orient="portrait"/>
          <w:cols w:equalWidth="0" w:num="2">
            <w:col w:w="6920" w:space="160"/>
            <w:col w:w="4160"/>
          </w:cols>
          <w:pgMar w:left="320" w:top="886"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75"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86" w:right="339" w:bottom="1440" w:gutter="0" w:footer="0" w:header="0"/>
          <w:type w:val="continuous"/>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2023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17" w:lineRule="exact"/>
        <w:rPr>
          <w:sz w:val="20"/>
          <w:szCs w:val="20"/>
          <w:color w:val="auto"/>
        </w:rPr>
      </w:pPr>
    </w:p>
    <w:p>
      <w:pPr>
        <w:ind w:left="640" w:hanging="308"/>
        <w:spacing w:after="0"/>
        <w:tabs>
          <w:tab w:leader="none" w:pos="6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75" w:lineRule="auto"/>
        <w:tabs>
          <w:tab w:leader="none" w:pos="65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0600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19, 2023</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0600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19, 2023</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86"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2023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17" w:lineRule="exact"/>
        <w:rPr>
          <w:sz w:val="20"/>
          <w:szCs w:val="20"/>
          <w:color w:val="auto"/>
        </w:rPr>
      </w:pPr>
    </w:p>
    <w:p>
      <w:pPr>
        <w:ind w:left="640" w:hanging="308"/>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75" w:lineRule="auto"/>
        <w:tabs>
          <w:tab w:leader="none" w:pos="65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0600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19, 2023</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0600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19, 2023</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1)"/>
      <w:numFmt w:val="decimal"/>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1)"/>
      <w:numFmt w:val="decimal"/>
      <w:start w:val="1"/>
    </w:lvl>
  </w:abstractNum>
  <w:abstractNum w:abstractNumId="6">
    <w:nsid w:val="4C04A8AF"/>
    <w:multiLevelType w:val="hybridMultilevel"/>
    <w:lvl w:ilvl="0">
      <w:lvlJc w:val="left"/>
      <w:lvlText w:val="(%1)"/>
      <w:numFmt w:val="decimal"/>
      <w:start w:val="1"/>
    </w:lvl>
  </w:abstractNum>
  <w:abstractNum w:abstractNumId="7">
    <w:nsid w:val="1716703B"/>
    <w:multiLevelType w:val="hybridMultilevel"/>
    <w:lvl w:ilvl="0">
      <w:lvlJc w:val="left"/>
      <w:lvlText w:val="(%1)"/>
      <w:numFmt w:val="lowerRoman"/>
      <w:start w:val="3"/>
    </w:lvl>
  </w:abstractNum>
  <w:abstractNum w:abstractNumId="8">
    <w:nsid w:val="14E17E33"/>
    <w:multiLevelType w:val="hybridMultilevel"/>
    <w:lvl w:ilvl="0">
      <w:lvlJc w:val="left"/>
      <w:lvlText w:val="%1."/>
      <w:numFmt w:val="decimal"/>
      <w:start w:val="4"/>
    </w:lvl>
  </w:abstractNum>
  <w:abstractNum w:abstractNumId="9">
    <w:nsid w:val="3222E7CD"/>
    <w:multiLevelType w:val="hybridMultilevel"/>
    <w:lvl w:ilvl="0">
      <w:lvlJc w:val="left"/>
      <w:lvlText w:val="(%1)"/>
      <w:numFmt w:val="decimal"/>
      <w:start w:val="1"/>
    </w:lvl>
  </w:abstractNum>
  <w:abstractNum w:abstractNumId="10">
    <w:nsid w:val="74DE0EE3"/>
    <w:multiLevelType w:val="hybridMultilevel"/>
    <w:lvl w:ilvl="0">
      <w:lvlJc w:val="left"/>
      <w:lvlText w:val="(%1)"/>
      <w:numFmt w:val="decimal"/>
      <w:start w:val="1"/>
    </w:lvl>
  </w:abstractNum>
  <w:abstractNum w:abstractNumId="11">
    <w:nsid w:val="68EBC550"/>
    <w:multiLevelType w:val="hybridMultilevel"/>
    <w:lvl w:ilvl="0">
      <w:lvlJc w:val="left"/>
      <w:lvlText w:val="(%1)"/>
      <w:numFmt w:val="decimal"/>
      <w:start w:val="1"/>
    </w:lvl>
  </w:abstractNum>
  <w:abstractNum w:abstractNumId="12">
    <w:nsid w:val="2DF6D648"/>
    <w:multiLevelType w:val="hybridMultilevel"/>
    <w:lvl w:ilvl="0">
      <w:lvlJc w:val="left"/>
      <w:lvlText w:val="(%1)"/>
      <w:numFmt w:val="decimal"/>
      <w:start w:val="1"/>
    </w:lvl>
  </w:abstractNum>
  <w:abstractNum w:abstractNumId="13">
    <w:nsid w:val="46B7D447"/>
    <w:multiLevelType w:val="hybridMultilevel"/>
    <w:lvl w:ilvl="0">
      <w:lvlJc w:val="left"/>
      <w:lvlText w:val="(%1)"/>
      <w:numFmt w:val="decimal"/>
      <w:start w:val="1"/>
    </w:lvl>
  </w:abstractNum>
  <w:abstractNum w:abstractNumId="14">
    <w:nsid w:val="4A2AC315"/>
    <w:multiLevelType w:val="hybridMultilevel"/>
    <w:lvl w:ilvl="0">
      <w:lvlJc w:val="left"/>
      <w:lvlText w:val="(%1)"/>
      <w:numFmt w:val="decimal"/>
      <w:start w:val="1"/>
    </w:lvl>
  </w:abstractNum>
  <w:abstractNum w:abstractNumId="15">
    <w:nsid w:val="39EE015C"/>
    <w:multiLevelType w:val="hybridMultilevel"/>
    <w:lvl w:ilvl="0">
      <w:lvlJc w:val="left"/>
      <w:lvlText w:val="(%1)"/>
      <w:numFmt w:val="decimal"/>
      <w:start w:val="1"/>
    </w:lvl>
  </w:abstractNum>
  <w:abstractNum w:abstractNumId="16">
    <w:nsid w:val="57FC4FBB"/>
    <w:multiLevelType w:val="hybridMultilevel"/>
    <w:lvl w:ilvl="0">
      <w:lvlJc w:val="left"/>
      <w:lvlText w:val="%1."/>
      <w:numFmt w:val="decimal"/>
      <w:start w:val="1"/>
    </w:lvl>
    <w:lvl w:ilvl="1">
      <w:lvlJc w:val="left"/>
      <w:lvlText w:val="(%2)"/>
      <w:numFmt w:val="lowerLetter"/>
      <w:start w:val="1"/>
    </w:lvl>
  </w:abstractNum>
  <w:abstractNum w:abstractNumId="17">
    <w:nsid w:val="CC1016F"/>
    <w:multiLevelType w:val="hybridMultilevel"/>
    <w:lvl w:ilvl="0">
      <w:lvlJc w:val="left"/>
      <w:lvlText w:val="(%1)"/>
      <w:numFmt w:val="decimal"/>
      <w:start w:val="1"/>
    </w:lvl>
  </w:abstractNum>
  <w:abstractNum w:abstractNumId="18">
    <w:nsid w:val="43F18422"/>
    <w:multiLevelType w:val="hybridMultilevel"/>
    <w:lvl w:ilvl="0">
      <w:lvlJc w:val="left"/>
      <w:lvlText w:val="%1."/>
      <w:numFmt w:val="decimal"/>
      <w:start w:val="3"/>
    </w:lvl>
  </w:abstractNum>
  <w:abstractNum w:abstractNumId="19">
    <w:nsid w:val="60EF0119"/>
    <w:multiLevelType w:val="hybridMultilevel"/>
    <w:lvl w:ilvl="0">
      <w:lvlJc w:val="left"/>
      <w:lvlText w:val="(%1)"/>
      <w:numFmt w:val="decimal"/>
      <w:start w:val="1"/>
    </w:lvl>
  </w:abstractNum>
  <w:abstractNum w:abstractNumId="20">
    <w:nsid w:val="26F324BA"/>
    <w:multiLevelType w:val="hybridMultilevel"/>
    <w:lvl w:ilvl="0">
      <w:lvlJc w:val="left"/>
      <w:lvlText w:val="(%1)"/>
      <w:numFmt w:val="decimal"/>
      <w:start w:val="1"/>
    </w:lvl>
  </w:abstractNum>
  <w:abstractNum w:abstractNumId="21">
    <w:nsid w:val="7F01579B"/>
    <w:multiLevelType w:val="hybridMultilevel"/>
    <w:lvl w:ilvl="0">
      <w:lvlJc w:val="left"/>
      <w:lvlText w:val="(%1)"/>
      <w:numFmt w:val="decimal"/>
      <w:start w:val="1"/>
    </w:lvl>
  </w:abstractNum>
  <w:abstractNum w:abstractNumId="22">
    <w:nsid w:val="49DA307D"/>
    <w:multiLevelType w:val="hybridMultilevel"/>
    <w:lvl w:ilvl="0">
      <w:lvlJc w:val="left"/>
      <w:lvlText w:val="(%1)"/>
      <w:numFmt w:val="decimal"/>
      <w:start w:val="1"/>
    </w:lvl>
  </w:abstractNum>
  <w:abstractNum w:abstractNumId="23">
    <w:nsid w:val="7055A5F5"/>
    <w:multiLevelType w:val="hybridMultilevel"/>
    <w:lvl w:ilvl="0">
      <w:lvlJc w:val="left"/>
      <w:lvlText w:val="(%1)"/>
      <w:numFmt w:val="decimal"/>
      <w:start w:val="1"/>
    </w:lvl>
  </w:abstractNum>
  <w:abstractNum w:abstractNumId="24">
    <w:nsid w:val="5FB8370B"/>
    <w:multiLevelType w:val="hybridMultilevel"/>
    <w:lvl w:ilvl="0">
      <w:lvlJc w:val="left"/>
      <w:lvlText w:val="(%1)"/>
      <w:numFmt w:val="decimal"/>
      <w:start w:val="1"/>
    </w:lvl>
  </w:abstractNum>
  <w:abstractNum w:abstractNumId="25">
    <w:nsid w:val="50801EE1"/>
    <w:multiLevelType w:val="hybridMultilevel"/>
    <w:lvl w:ilvl="0">
      <w:lvlJc w:val="left"/>
      <w:lvlText w:val="(%1)"/>
      <w:numFmt w:val="decimal"/>
      <w:start w:val="1"/>
    </w:lvl>
  </w:abstractNum>
  <w:abstractNum w:abstractNumId="26">
    <w:nsid w:val="488AC1A"/>
    <w:multiLevelType w:val="hybridMultilevel"/>
    <w:lvl w:ilvl="0">
      <w:lvlJc w:val="left"/>
      <w:lvlText w:val="(%1)"/>
      <w:numFmt w:val="decimal"/>
      <w:start w:val="1"/>
    </w:lvl>
  </w:abstractNum>
  <w:abstractNum w:abstractNumId="27">
    <w:nsid w:val="5FB8011C"/>
    <w:multiLevelType w:val="hybridMultilevel"/>
    <w:lvl w:ilvl="0">
      <w:lvlJc w:val="left"/>
      <w:lvlText w:val="(%1)"/>
      <w:numFmt w:val="decimal"/>
      <w:start w:val="1"/>
    </w:lvl>
  </w:abstractNum>
  <w:abstractNum w:abstractNumId="28">
    <w:nsid w:val="6AA78F7F"/>
    <w:multiLevelType w:val="hybridMultilevel"/>
    <w:lvl w:ilvl="0">
      <w:lvlJc w:val="left"/>
      <w:lvlText w:val="(%1)"/>
      <w:numFmt w:val="decimal"/>
      <w:start w:val="1"/>
    </w:lvl>
  </w:abstractNum>
  <w:abstractNum w:abstractNumId="29">
    <w:nsid w:val="7672BD23"/>
    <w:multiLevelType w:val="hybridMultilevel"/>
    <w:lvl w:ilvl="0">
      <w:lvlJc w:val="left"/>
      <w:lvlText w:val="(%1)"/>
      <w:numFmt w:val="lowerLetter"/>
      <w:start w:val="1"/>
    </w:lvl>
  </w:abstractNum>
  <w:abstractNum w:abstractNumId="30">
    <w:nsid w:val="6FC75AF8"/>
    <w:multiLevelType w:val="hybridMultilevel"/>
    <w:lvl w:ilvl="0">
      <w:lvlJc w:val="left"/>
      <w:lvlText w:val="(%1)"/>
      <w:numFmt w:val="decimal"/>
      <w:start w:val="1"/>
    </w:lvl>
  </w:abstractNum>
  <w:abstractNum w:abstractNumId="31">
    <w:nsid w:val="6A5F7029"/>
    <w:multiLevelType w:val="hybridMultilevel"/>
    <w:lvl w:ilvl="0">
      <w:lvlJc w:val="left"/>
      <w:lvlText w:val="(%1)"/>
      <w:numFmt w:val="decimal"/>
      <w:start w:val="1"/>
    </w:lvl>
  </w:abstractNum>
  <w:abstractNum w:abstractNumId="32">
    <w:nsid w:val="7D5E18F8"/>
    <w:multiLevelType w:val="hybridMultilevel"/>
    <w:lvl w:ilvl="0">
      <w:lvlJc w:val="left"/>
      <w:lvlText w:val="(%1)"/>
      <w:numFmt w:val="decimal"/>
      <w:start w:val="1"/>
    </w:lvl>
  </w:abstractNum>
  <w:abstractNum w:abstractNumId="33">
    <w:nsid w:val="5F3534A4"/>
    <w:multiLevelType w:val="hybridMultilevel"/>
    <w:lvl w:ilvl="0">
      <w:lvlJc w:val="left"/>
      <w:lvlText w:val="(%1)"/>
      <w:numFmt w:val="decimal"/>
      <w:start w:val="1"/>
    </w:lvl>
  </w:abstractNum>
  <w:abstractNum w:abstractNumId="34">
    <w:nsid w:val="73A1821B"/>
    <w:multiLevelType w:val="hybridMultilevel"/>
    <w:lvl w:ilvl="0">
      <w:lvlJc w:val="left"/>
      <w:lvlText w:val="(%1)"/>
      <w:numFmt w:val="decimal"/>
      <w:start w:val="1"/>
    </w:lvl>
  </w:abstractNum>
  <w:abstractNum w:abstractNumId="35">
    <w:nsid w:val="7DE67713"/>
    <w:multiLevelType w:val="hybridMultilevel"/>
    <w:lvl w:ilvl="0">
      <w:lvlJc w:val="left"/>
      <w:lvlText w:val="(%1)"/>
      <w:numFmt w:val="decimal"/>
      <w:start w:val="3"/>
    </w:lvl>
  </w:abstractNum>
  <w:abstractNum w:abstractNumId="36">
    <w:nsid w:val="555C55B5"/>
    <w:multiLevelType w:val="hybridMultilevel"/>
    <w:lvl w:ilvl="0">
      <w:lvlJc w:val="left"/>
      <w:lvlText w:val="(%1)"/>
      <w:numFmt w:val="lowerLetter"/>
      <w:start w:val="1"/>
    </w:lvl>
  </w:abstractNum>
  <w:abstractNum w:abstractNumId="37">
    <w:nsid w:val="3FA62ACA"/>
    <w:multiLevelType w:val="hybridMultilevel"/>
    <w:lvl w:ilvl="0">
      <w:lvlJc w:val="left"/>
      <w:lvlText w:val="(%1)"/>
      <w:numFmt w:val="lowerLetter"/>
      <w:start w:val="5"/>
    </w:lvl>
  </w:abstractNum>
  <w:abstractNum w:abstractNumId="38">
    <w:nsid w:val="14FCE74E"/>
    <w:multiLevelType w:val="hybridMultilevel"/>
    <w:lvl w:ilvl="0">
      <w:lvlJc w:val="left"/>
      <w:lvlText w:val="•"/>
      <w:numFmt w:val="bullet"/>
      <w:start w:val="1"/>
    </w:lvl>
    <w:lvl w:ilvl="1">
      <w:lvlJc w:val="left"/>
      <w:lvlText w:val="◦"/>
      <w:numFmt w:val="bullet"/>
      <w:start w:val="1"/>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
      <w:numFmt w:val="bullet"/>
      <w:start w:val="1"/>
    </w:lvl>
  </w:abstractNum>
  <w:abstractNum w:abstractNumId="42">
    <w:nsid w:val="53299938"/>
    <w:multiLevelType w:val="hybridMultilevel"/>
    <w:lvl w:ilvl="0">
      <w:lvlJc w:val="left"/>
      <w:lvlText w:val="•"/>
      <w:numFmt w:val="bullet"/>
      <w:start w:val="1"/>
    </w:lvl>
  </w:abstractNum>
  <w:abstractNum w:abstractNumId="43">
    <w:nsid w:val="1FBFE8E0"/>
    <w:multiLevelType w:val="hybridMultilevel"/>
    <w:lvl w:ilvl="0">
      <w:lvlJc w:val="left"/>
      <w:lvlText w:val="*"/>
      <w:numFmt w:val="bullet"/>
      <w:start w:val="1"/>
    </w:lvl>
  </w:abstractNum>
  <w:abstractNum w:abstractNumId="44">
    <w:nsid w:val="5092CA79"/>
    <w:multiLevelType w:val="hybridMultilevel"/>
    <w:lvl w:ilvl="0">
      <w:lvlJc w:val="left"/>
      <w:lvlText w:val="%1."/>
      <w:numFmt w:val="decimal"/>
      <w:start w:val="1"/>
    </w:lvl>
  </w:abstractNum>
  <w:abstractNum w:abstractNumId="45">
    <w:nsid w:val="1D545C4D"/>
    <w:multiLevelType w:val="hybridMultilevel"/>
    <w:lvl w:ilvl="0">
      <w:lvlJc w:val="left"/>
      <w:lvlText w:val="%1."/>
      <w:numFmt w:val="decimal"/>
      <w:start w:val="2"/>
    </w:lvl>
  </w:abstractNum>
  <w:abstractNum w:abstractNumId="46">
    <w:nsid w:val="59ADEA3D"/>
    <w:multiLevelType w:val="hybridMultilevel"/>
    <w:lvl w:ilvl="0">
      <w:lvlJc w:val="left"/>
      <w:lvlText w:val="%1."/>
      <w:numFmt w:val="decimal"/>
      <w:start w:val="3"/>
    </w:lvl>
  </w:abstractNum>
  <w:abstractNum w:abstractNumId="47">
    <w:nsid w:val="288F1A34"/>
    <w:multiLevelType w:val="hybridMultilevel"/>
    <w:lvl w:ilvl="0">
      <w:lvlJc w:val="left"/>
      <w:lvlText w:val="%1."/>
      <w:numFmt w:val="decimal"/>
      <w:start w:val="5"/>
    </w:lvl>
  </w:abstractNum>
  <w:abstractNum w:abstractNumId="48">
    <w:nsid w:val="2A155DBC"/>
    <w:multiLevelType w:val="hybridMultilevel"/>
    <w:lvl w:ilvl="0">
      <w:lvlJc w:val="left"/>
      <w:lvlText w:val="%1."/>
      <w:numFmt w:val="decimal"/>
      <w:start w:val="6"/>
    </w:lvl>
  </w:abstractNum>
  <w:abstractNum w:abstractNumId="49">
    <w:nsid w:val="1D9F6E5F"/>
    <w:multiLevelType w:val="hybridMultilevel"/>
    <w:lvl w:ilvl="0">
      <w:lvlJc w:val="left"/>
      <w:lvlText w:val="•"/>
      <w:numFmt w:val="bullet"/>
      <w:start w:val="1"/>
    </w:lvl>
  </w:abstractNum>
  <w:abstractNum w:abstractNumId="50">
    <w:nsid w:val="97E1B4E"/>
    <w:multiLevelType w:val="hybridMultilevel"/>
    <w:lvl w:ilvl="0">
      <w:lvlJc w:val="left"/>
      <w:lvlText w:val="•"/>
      <w:numFmt w:val="bullet"/>
      <w:start w:val="1"/>
    </w:lvl>
  </w:abstractNum>
  <w:abstractNum w:abstractNumId="51">
    <w:nsid w:val="51088277"/>
    <w:multiLevelType w:val="hybridMultilevel"/>
    <w:lvl w:ilvl="0">
      <w:lvlJc w:val="left"/>
      <w:lvlText w:val="*"/>
      <w:numFmt w:val="bullet"/>
      <w:start w:val="1"/>
    </w:lvl>
  </w:abstractNum>
  <w:abstractNum w:abstractNumId="52">
    <w:nsid w:val="1CA0C5FA"/>
    <w:multiLevelType w:val="hybridMultilevel"/>
    <w:lvl w:ilvl="0">
      <w:lvlJc w:val="left"/>
      <w:lvlText w:val="%1."/>
      <w:numFmt w:val="decimal"/>
      <w:start w:val="1"/>
    </w:lvl>
  </w:abstractNum>
  <w:abstractNum w:abstractNumId="53">
    <w:nsid w:val="53584BCB"/>
    <w:multiLevelType w:val="hybridMultilevel"/>
    <w:lvl w:ilvl="0">
      <w:lvlJc w:val="left"/>
      <w:lvlText w:val="%1."/>
      <w:numFmt w:val="decimal"/>
      <w:start w:val="3"/>
    </w:lvl>
  </w:abstractNum>
  <w:abstractNum w:abstractNumId="54">
    <w:nsid w:val="415E286C"/>
    <w:multiLevelType w:val="hybridMultilevel"/>
    <w:lvl w:ilvl="0">
      <w:lvlJc w:val="left"/>
      <w:lvlText w:val="(%1)"/>
      <w:numFmt w:val="lowerRoman"/>
      <w:start w:val="1"/>
    </w:lvl>
  </w:abstractNum>
  <w:abstractNum w:abstractNumId="55">
    <w:nsid w:val="7C58FD05"/>
    <w:multiLevelType w:val="hybridMultilevel"/>
    <w:lvl w:ilvl="0">
      <w:lvlJc w:val="left"/>
      <w:lvlText w:val="(%1)"/>
      <w:numFmt w:val="lowerRoman"/>
      <w:start w:val="3"/>
    </w:lvl>
  </w:abstractNum>
  <w:abstractNum w:abstractNumId="56">
    <w:nsid w:val="23D86AAC"/>
    <w:multiLevelType w:val="hybridMultilevel"/>
    <w:lvl w:ilvl="0">
      <w:lvlJc w:val="left"/>
      <w:lvlText w:val="%1."/>
      <w:numFmt w:val="decimal"/>
      <w:start w:val="4"/>
    </w:lvl>
  </w:abstractNum>
  <w:abstractNum w:abstractNumId="57">
    <w:nsid w:val="45E6D486"/>
    <w:multiLevelType w:val="hybridMultilevel"/>
    <w:lvl w:ilvl="0">
      <w:lvlJc w:val="left"/>
      <w:lvlText w:val="%1."/>
      <w:numFmt w:val="decimal"/>
      <w:start w:val="5"/>
    </w:lvl>
  </w:abstractNum>
  <w:abstractNum w:abstractNumId="58">
    <w:nsid w:val="5C10FE21"/>
    <w:multiLevelType w:val="hybridMultilevel"/>
    <w:lvl w:ilvl="0">
      <w:lvlJc w:val="left"/>
      <w:lvlText w:val="%1."/>
      <w:numFmt w:val="decimal"/>
      <w:start w:val="6"/>
    </w:lvl>
  </w:abstractNum>
  <w:abstractNum w:abstractNumId="59">
    <w:nsid w:val="E7FFA2B"/>
    <w:multiLevelType w:val="hybridMultilevel"/>
    <w:lvl w:ilvl="0">
      <w:lvlJc w:val="left"/>
      <w:lvlText w:val="%1."/>
      <w:numFmt w:val="decimal"/>
      <w:start w:val="8"/>
    </w:lvl>
  </w:abstractNum>
  <w:abstractNum w:abstractNumId="60">
    <w:nsid w:val="3C5991AA"/>
    <w:multiLevelType w:val="hybridMultilevel"/>
    <w:lvl w:ilvl="0">
      <w:lvlJc w:val="left"/>
      <w:lvlText w:val="%1."/>
      <w:numFmt w:val="decimal"/>
      <w:start w:val="9"/>
    </w:lvl>
  </w:abstractNum>
  <w:abstractNum w:abstractNumId="61">
    <w:nsid w:val="4BD8591A"/>
    <w:multiLevelType w:val="hybridMultilevel"/>
    <w:lvl w:ilvl="0">
      <w:lvlJc w:val="left"/>
      <w:lvlText w:val="%1."/>
      <w:numFmt w:val="decimal"/>
      <w:start w:val="10"/>
    </w:lvl>
  </w:abstractNum>
  <w:abstractNum w:abstractNumId="62">
    <w:nsid w:val="78DF6A55"/>
    <w:multiLevelType w:val="hybridMultilevel"/>
    <w:lvl w:ilvl="0">
      <w:lvlJc w:val="left"/>
      <w:lvlText w:val="%1."/>
      <w:numFmt w:val="decimal"/>
      <w:start w:val="1"/>
    </w:lvl>
  </w:abstractNum>
  <w:abstractNum w:abstractNumId="63">
    <w:nsid w:val="39B7AAA2"/>
    <w:multiLevelType w:val="hybridMultilevel"/>
    <w:lvl w:ilvl="0">
      <w:lvlJc w:val="left"/>
      <w:lvlText w:val="%1."/>
      <w:numFmt w:val="decimal"/>
      <w:start w:val="2"/>
    </w:lvl>
  </w:abstractNum>
  <w:abstractNum w:abstractNumId="64">
    <w:nsid w:val="2B0D8DBE"/>
    <w:multiLevelType w:val="hybridMultilevel"/>
    <w:lvl w:ilvl="0">
      <w:lvlJc w:val="left"/>
      <w:lvlText w:val="%1."/>
      <w:numFmt w:val="decimal"/>
      <w:start w:val="3"/>
    </w:lvl>
  </w:abstractNum>
  <w:abstractNum w:abstractNumId="65">
    <w:nsid w:val="6C80EC70"/>
    <w:multiLevelType w:val="hybridMultilevel"/>
    <w:lvl w:ilvl="0">
      <w:lvlJc w:val="left"/>
      <w:lvlText w:val="%1."/>
      <w:numFmt w:val="decimal"/>
      <w:start w:val="4"/>
    </w:lvl>
  </w:abstractNum>
  <w:abstractNum w:abstractNumId="66">
    <w:nsid w:val="379E21B5"/>
    <w:multiLevelType w:val="hybridMultilevel"/>
    <w:lvl w:ilvl="0">
      <w:lvlJc w:val="left"/>
      <w:lvlText w:val="%1."/>
      <w:numFmt w:val="decimal"/>
      <w:start w:val="5"/>
    </w:lvl>
  </w:abstractNum>
  <w:abstractNum w:abstractNumId="67">
    <w:nsid w:val="69E373"/>
    <w:multiLevelType w:val="hybridMultilevel"/>
    <w:lvl w:ilvl="0">
      <w:lvlJc w:val="left"/>
      <w:lvlText w:val="%1."/>
      <w:numFmt w:val="decimal"/>
      <w:start w:val="2"/>
    </w:lvl>
  </w:abstractNum>
  <w:abstractNum w:abstractNumId="68">
    <w:nsid w:val="2C27173B"/>
    <w:multiLevelType w:val="hybridMultilevel"/>
    <w:lvl w:ilvl="0">
      <w:lvlJc w:val="left"/>
      <w:lvlText w:val="%1."/>
      <w:numFmt w:val="decimal"/>
      <w:start w:val="6"/>
    </w:lvl>
  </w:abstractNum>
  <w:abstractNum w:abstractNumId="69">
    <w:nsid w:val="4C9B0904"/>
    <w:multiLevelType w:val="hybridMultilevel"/>
    <w:lvl w:ilvl="0">
      <w:lvlJc w:val="left"/>
      <w:lvlText w:val="%1."/>
      <w:numFmt w:val="decimal"/>
      <w:start w:val="7"/>
    </w:lvl>
  </w:abstractNum>
  <w:abstractNum w:abstractNumId="70">
    <w:nsid w:val="6AA7B75C"/>
    <w:multiLevelType w:val="hybridMultilevel"/>
    <w:lvl w:ilvl="0">
      <w:lvlJc w:val="left"/>
      <w:lvlText w:val="%1."/>
      <w:numFmt w:val="decimal"/>
      <w:start w:val="1"/>
    </w:lvl>
  </w:abstractNum>
  <w:abstractNum w:abstractNumId="71">
    <w:nsid w:val="1DF029D3"/>
    <w:multiLevelType w:val="hybridMultilevel"/>
    <w:lvl w:ilvl="0">
      <w:lvlJc w:val="left"/>
      <w:lvlText w:val="%1."/>
      <w:numFmt w:val="decimal"/>
      <w:start w:val="2"/>
    </w:lvl>
  </w:abstractNum>
  <w:abstractNum w:abstractNumId="72">
    <w:nsid w:val="5675FF36"/>
    <w:multiLevelType w:val="hybridMultilevel"/>
    <w:lvl w:ilvl="0">
      <w:lvlJc w:val="left"/>
      <w:lvlText w:val="%1."/>
      <w:numFmt w:val="decimal"/>
      <w:start w:val="3"/>
    </w:lvl>
  </w:abstractNum>
  <w:abstractNum w:abstractNumId="73">
    <w:nsid w:val="3DD15094"/>
    <w:multiLevelType w:val="hybridMultilevel"/>
    <w:lvl w:ilvl="0">
      <w:lvlJc w:val="left"/>
      <w:lvlText w:val="%1."/>
      <w:numFmt w:val="decimal"/>
      <w:start w:val="4"/>
    </w:lvl>
  </w:abstractNum>
  <w:abstractNum w:abstractNumId="74">
    <w:nsid w:val="3DB012B3"/>
    <w:multiLevelType w:val="hybridMultilevel"/>
    <w:lvl w:ilvl="0">
      <w:lvlJc w:val="left"/>
      <w:lvlText w:val="%1."/>
      <w:numFmt w:val="decimal"/>
      <w:start w:val="5"/>
    </w:lvl>
  </w:abstractNum>
  <w:abstractNum w:abstractNumId="75">
    <w:nsid w:val="2708C9AF"/>
    <w:multiLevelType w:val="hybridMultilevel"/>
    <w:lvl w:ilvl="0">
      <w:lvlJc w:val="left"/>
      <w:lvlText w:val="%1."/>
      <w:numFmt w:val="decimal"/>
      <w:start w:val="6"/>
    </w:lvl>
  </w:abstractNum>
  <w:abstractNum w:abstractNumId="76">
    <w:nsid w:val="5B25ACE2"/>
    <w:multiLevelType w:val="hybridMultilevel"/>
    <w:lvl w:ilvl="0">
      <w:lvlJc w:val="left"/>
      <w:lvlText w:val="(%1)"/>
      <w:numFmt w:val="lowerRoman"/>
      <w:start w:val="1"/>
    </w:lvl>
  </w:abstractNum>
  <w:abstractNum w:abstractNumId="77">
    <w:nsid w:val="175DFCF0"/>
    <w:multiLevelType w:val="hybridMultilevel"/>
    <w:lvl w:ilvl="0">
      <w:lvlJc w:val="left"/>
      <w:lvlText w:val="%1."/>
      <w:numFmt w:val="decimal"/>
      <w:start w:val="7"/>
    </w:lvl>
  </w:abstractNum>
  <w:abstractNum w:abstractNumId="78">
    <w:nsid w:val="4F97E3E4"/>
    <w:multiLevelType w:val="hybridMultilevel"/>
    <w:lvl w:ilvl="0">
      <w:lvlJc w:val="left"/>
      <w:lvlText w:val="%1."/>
      <w:numFmt w:val="decimal"/>
      <w:start w:val="8"/>
    </w:lvl>
  </w:abstractNum>
  <w:abstractNum w:abstractNumId="79">
    <w:nsid w:val="53B0A9E"/>
    <w:multiLevelType w:val="hybridMultilevel"/>
    <w:lvl w:ilvl="0">
      <w:lvlJc w:val="left"/>
      <w:lvlText w:val="%1."/>
      <w:numFmt w:val="decimal"/>
      <w:start w:val="9"/>
    </w:lvl>
  </w:abstractNum>
  <w:abstractNum w:abstractNumId="80">
    <w:nsid w:val="34FD6B4F"/>
    <w:multiLevelType w:val="hybridMultilevel"/>
    <w:lvl w:ilvl="0">
      <w:lvlJc w:val="left"/>
      <w:lvlText w:val="%1."/>
      <w:numFmt w:val="decimal"/>
      <w:start w:val="10"/>
    </w:lvl>
  </w:abstractNum>
  <w:abstractNum w:abstractNumId="81">
    <w:nsid w:val="5915FF32"/>
    <w:multiLevelType w:val="hybridMultilevel"/>
    <w:lvl w:ilvl="0">
      <w:lvlJc w:val="left"/>
      <w:lvlText w:val="(%1)"/>
      <w:numFmt w:val="lowerLetter"/>
      <w:start w:val="2"/>
    </w:lvl>
  </w:abstractNum>
  <w:abstractNum w:abstractNumId="82">
    <w:nsid w:val="56438D15"/>
    <w:multiLevelType w:val="hybridMultilevel"/>
    <w:lvl w:ilvl="0">
      <w:lvlJc w:val="left"/>
      <w:lvlText w:val="%1."/>
      <w:numFmt w:val="decimal"/>
      <w:start w:val="1"/>
    </w:lvl>
  </w:abstractNum>
  <w:abstractNum w:abstractNumId="83">
    <w:nsid w:val="519E3149"/>
    <w:multiLevelType w:val="hybridMultilevel"/>
    <w:lvl w:ilvl="0">
      <w:lvlJc w:val="left"/>
      <w:lvlText w:val="%1."/>
      <w:numFmt w:val="decimal"/>
      <w:start w:val="2"/>
    </w:lvl>
  </w:abstractNum>
  <w:abstractNum w:abstractNumId="84">
    <w:nsid w:val="2C6E4AFD"/>
    <w:multiLevelType w:val="hybridMultilevel"/>
    <w:lvl w:ilvl="0">
      <w:lvlJc w:val="left"/>
      <w:lvlText w:val="%1."/>
      <w:numFmt w:val="decimal"/>
      <w:start w:val="3"/>
    </w:lvl>
  </w:abstractNum>
  <w:abstractNum w:abstractNumId="85">
    <w:nsid w:val="17A1B582"/>
    <w:multiLevelType w:val="hybridMultilevel"/>
    <w:lvl w:ilvl="0">
      <w:lvlJc w:val="left"/>
      <w:lvlText w:val="%1."/>
      <w:numFmt w:val="decimal"/>
      <w:start w:val="4"/>
    </w:lvl>
  </w:abstractNum>
  <w:abstractNum w:abstractNumId="86">
    <w:nsid w:val="4DF72E4E"/>
    <w:multiLevelType w:val="hybridMultilevel"/>
    <w:lvl w:ilvl="0">
      <w:lvlJc w:val="left"/>
      <w:lvlText w:val="%1."/>
      <w:numFmt w:val="decimal"/>
      <w:start w:val="5"/>
    </w:lvl>
  </w:abstractNum>
  <w:abstractNum w:abstractNumId="87">
    <w:nsid w:val="5046B5A9"/>
    <w:multiLevelType w:val="hybridMultilevel"/>
    <w:lvl w:ilvl="0">
      <w:lvlJc w:val="left"/>
      <w:lvlText w:val="%1."/>
      <w:numFmt w:val="decimal"/>
      <w:start w:val="6"/>
    </w:lvl>
  </w:abstractNum>
  <w:abstractNum w:abstractNumId="88">
    <w:nsid w:val="5D888A08"/>
    <w:multiLevelType w:val="hybridMultilevel"/>
    <w:lvl w:ilvl="0">
      <w:lvlJc w:val="left"/>
      <w:lvlText w:val="%1."/>
      <w:numFmt w:val="decimal"/>
      <w:start w:val="7"/>
    </w:lvl>
  </w:abstractNum>
  <w:abstractNum w:abstractNumId="89">
    <w:nsid w:val="2A082C70"/>
    <w:multiLevelType w:val="hybridMultilevel"/>
    <w:lvl w:ilvl="0">
      <w:lvlJc w:val="left"/>
      <w:lvlText w:val="**"/>
      <w:numFmt w:val="bullet"/>
      <w:start w:val="1"/>
    </w:lvl>
  </w:abstractNum>
  <w:abstractNum w:abstractNumId="90">
    <w:nsid w:val="5EC6AFD4"/>
    <w:multiLevelType w:val="hybridMultilevel"/>
    <w:lvl w:ilvl="0">
      <w:lvlJc w:val="left"/>
      <w:lvlText w:val="%1."/>
      <w:numFmt w:val="decimal"/>
      <w:start w:val="1"/>
    </w:lvl>
  </w:abstractNum>
  <w:abstractNum w:abstractNumId="91">
    <w:nsid w:val="19E21BB2"/>
    <w:multiLevelType w:val="hybridMultilevel"/>
    <w:lvl w:ilvl="0">
      <w:lvlJc w:val="left"/>
      <w:lvlText w:val="%1."/>
      <w:numFmt w:val="decimal"/>
      <w:start w:val="2"/>
    </w:lvl>
  </w:abstractNum>
  <w:abstractNum w:abstractNumId="92">
    <w:nsid w:val="75E0858A"/>
    <w:multiLevelType w:val="hybridMultilevel"/>
    <w:lvl w:ilvl="0">
      <w:lvlJc w:val="left"/>
      <w:lvlText w:val="%1."/>
      <w:numFmt w:val="decimal"/>
      <w:start w:val="4"/>
    </w:lvl>
  </w:abstractNum>
  <w:abstractNum w:abstractNumId="93">
    <w:nsid w:val="57A61A29"/>
    <w:multiLevelType w:val="hybridMultilevel"/>
    <w:lvl w:ilvl="0">
      <w:lvlJc w:val="left"/>
      <w:lvlText w:val="%1."/>
      <w:numFmt w:val="decimal"/>
      <w:start w:val="5"/>
    </w:lvl>
  </w:abstractNum>
  <w:abstractNum w:abstractNumId="94">
    <w:nsid w:val="5399C654"/>
    <w:multiLevelType w:val="hybridMultilevel"/>
    <w:lvl w:ilvl="0">
      <w:lvlJc w:val="left"/>
      <w:lvlText w:val="%1."/>
      <w:numFmt w:val="decimal"/>
      <w:start w:val="7"/>
    </w:lvl>
  </w:abstractNum>
  <w:abstractNum w:abstractNumId="95">
    <w:nsid w:val="20EE1348"/>
    <w:multiLevelType w:val="hybridMultilevel"/>
    <w:lvl w:ilvl="0">
      <w:lvlJc w:val="left"/>
      <w:lvlText w:val="(%1)"/>
      <w:numFmt w:val="lowerLetter"/>
      <w:start w:val="1"/>
    </w:lvl>
  </w:abstractNum>
  <w:abstractNum w:abstractNumId="96">
    <w:nsid w:val="4427069A"/>
    <w:multiLevelType w:val="hybridMultilevel"/>
    <w:lvl w:ilvl="0">
      <w:lvlJc w:val="left"/>
      <w:lvlText w:val="%1."/>
      <w:numFmt w:val="decimal"/>
      <w:start w:val="8"/>
    </w:lvl>
  </w:abstractNum>
  <w:abstractNum w:abstractNumId="97">
    <w:nsid w:val="B37E80A"/>
    <w:multiLevelType w:val="hybridMultilevel"/>
    <w:lvl w:ilvl="0">
      <w:lvlJc w:val="left"/>
      <w:lvlText w:val="%1."/>
      <w:numFmt w:val="decimal"/>
      <w:start w:val="9"/>
    </w:lvl>
  </w:abstractNum>
  <w:abstractNum w:abstractNumId="98">
    <w:nsid w:val="2157F6BC"/>
    <w:multiLevelType w:val="hybridMultilevel"/>
    <w:lvl w:ilvl="0">
      <w:lvlJc w:val="left"/>
      <w:lvlText w:val="%1."/>
      <w:numFmt w:val="decimal"/>
      <w:start w:val="10"/>
    </w:lvl>
  </w:abstractNum>
  <w:abstractNum w:abstractNumId="99">
    <w:nsid w:val="704E1DD5"/>
    <w:multiLevelType w:val="hybridMultilevel"/>
    <w:lvl w:ilvl="0">
      <w:lvlJc w:val="left"/>
      <w:lvlText w:val="%1."/>
      <w:numFmt w:val="decimal"/>
      <w:start w:val="11"/>
    </w:lvl>
  </w:abstractNum>
  <w:abstractNum w:abstractNumId="100">
    <w:nsid w:val="57D2F10E"/>
    <w:multiLevelType w:val="hybridMultilevel"/>
    <w:lvl w:ilvl="0">
      <w:lvlJc w:val="left"/>
      <w:lvlText w:val="%1."/>
      <w:numFmt w:val="upperLetter"/>
      <w:start w:val="1"/>
    </w:lvl>
  </w:abstractNum>
  <w:abstractNum w:abstractNumId="101">
    <w:nsid w:val="BFFAE18"/>
    <w:multiLevelType w:val="hybridMultilevel"/>
    <w:lvl w:ilvl="0">
      <w:lvlJc w:val="left"/>
      <w:lvlText w:val="%1."/>
      <w:numFmt w:val="decimal"/>
      <w:start w:val="1"/>
    </w:lvl>
    <w:lvl w:ilvl="1">
      <w:lvlJc w:val="left"/>
      <w:lvlText w:val="(%2)"/>
      <w:numFmt w:val="lowerLetter"/>
      <w:start w:val="1"/>
    </w:lvl>
  </w:abstractNum>
  <w:abstractNum w:abstractNumId="102">
    <w:nsid w:val="E3E47A8"/>
    <w:multiLevelType w:val="hybridMultilevel"/>
    <w:lvl w:ilvl="0">
      <w:lvlJc w:val="left"/>
      <w:lvlText w:val="%1"/>
      <w:numFmt w:val="decimal"/>
      <w:start w:val="1"/>
    </w:lvl>
    <w:lvl w:ilvl="1">
      <w:lvlJc w:val="left"/>
      <w:lvlText w:val="(%2)"/>
      <w:numFmt w:val="lowerLetter"/>
      <w:start w:val="2"/>
    </w:lvl>
  </w:abstractNum>
  <w:abstractNum w:abstractNumId="103">
    <w:nsid w:val="2E48F044"/>
    <w:multiLevelType w:val="hybridMultilevel"/>
    <w:lvl w:ilvl="0">
      <w:lvlJc w:val="left"/>
      <w:lvlText w:val="%1."/>
      <w:numFmt w:val="decimal"/>
      <w:start w:val="4"/>
    </w:lvl>
    <w:lvl w:ilvl="1">
      <w:lvlJc w:val="left"/>
      <w:lvlText w:val="%2"/>
      <w:numFmt w:val="lowerLetter"/>
      <w:start w:val="1"/>
    </w:lvl>
  </w:abstractNum>
  <w:abstractNum w:abstractNumId="104">
    <w:nsid w:val="49D0FEAC"/>
    <w:multiLevelType w:val="hybridMultilevel"/>
    <w:lvl w:ilvl="0">
      <w:lvlJc w:val="left"/>
      <w:lvlText w:val="%1."/>
      <w:numFmt w:val="decimal"/>
      <w:start w:val="5"/>
    </w:lvl>
  </w:abstractNum>
  <w:abstractNum w:abstractNumId="105">
    <w:nsid w:val="4BEE5A5B"/>
    <w:multiLevelType w:val="hybridMultilevel"/>
    <w:lvl w:ilvl="0">
      <w:lvlJc w:val="left"/>
      <w:lvlText w:val="%1."/>
      <w:numFmt w:val="decimal"/>
      <w:start w:val="9"/>
    </w:lvl>
    <w:lvl w:ilvl="1">
      <w:lvlJc w:val="left"/>
      <w:lvlText w:val="(%2)"/>
      <w:numFmt w:val="lowerLetter"/>
      <w:start w:val="1"/>
    </w:lvl>
  </w:abstractNum>
  <w:abstractNum w:abstractNumId="106">
    <w:nsid w:val="5551B9F3"/>
    <w:multiLevelType w:val="hybridMultilevel"/>
    <w:lvl w:ilvl="0">
      <w:lvlJc w:val="left"/>
      <w:lvlText w:val="%1"/>
      <w:numFmt w:val="decimal"/>
      <w:start w:val="1"/>
    </w:lvl>
    <w:lvl w:ilvl="1">
      <w:lvlJc w:val="left"/>
      <w:lvlText w:val="(%2)"/>
      <w:numFmt w:val="lowerLetter"/>
      <w:start w:val="5"/>
    </w:lvl>
  </w:abstractNum>
  <w:abstractNum w:abstractNumId="107">
    <w:nsid w:val="24F6AB8E"/>
    <w:multiLevelType w:val="hybridMultilevel"/>
    <w:lvl w:ilvl="0">
      <w:lvlJc w:val="left"/>
      <w:lvlText w:val="%1."/>
      <w:numFmt w:val="decimal"/>
      <w:start w:val="10"/>
    </w:lvl>
    <w:lvl w:ilvl="1">
      <w:lvlJc w:val="left"/>
      <w:lvlText w:val="(%2)"/>
      <w:numFmt w:val="lowerLetter"/>
      <w:start w:val="1"/>
    </w:lvl>
  </w:abstractNum>
  <w:abstractNum w:abstractNumId="108">
    <w:nsid w:val="634C574C"/>
    <w:multiLevelType w:val="hybridMultilevel"/>
    <w:lvl w:ilvl="0">
      <w:lvlJc w:val="left"/>
      <w:lvlText w:val="%1"/>
      <w:numFmt w:val="decimal"/>
      <w:start w:val="1"/>
    </w:lvl>
    <w:lvl w:ilvl="1">
      <w:lvlJc w:val="left"/>
      <w:lvlText w:val="(%2)"/>
      <w:numFmt w:val="lowerLetter"/>
      <w:start w:val="2"/>
    </w:lvl>
  </w:abstractNum>
  <w:abstractNum w:abstractNumId="109">
    <w:nsid w:val="24E99DD7"/>
    <w:multiLevelType w:val="hybridMultilevel"/>
    <w:lvl w:ilvl="0">
      <w:lvlJc w:val="left"/>
      <w:lvlText w:val="%1."/>
      <w:numFmt w:val="decimal"/>
      <w:start w:val="13"/>
    </w:lvl>
    <w:lvl w:ilvl="1">
      <w:lvlJc w:val="left"/>
      <w:lvlText w:val="%2"/>
      <w:numFmt w:val="lowerLetter"/>
      <w:start w:val="1"/>
    </w:lvl>
  </w:abstractNum>
  <w:abstractNum w:abstractNumId="110">
    <w:nsid w:val="2A31B62D"/>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11">
    <w:nsid w:val="1849C29B"/>
    <w:multiLevelType w:val="hybridMultilevel"/>
    <w:lvl w:ilvl="0">
      <w:lvlJc w:val="left"/>
      <w:lvlText w:val="%1"/>
      <w:numFmt w:val="lowerLetter"/>
      <w:start w:val="1"/>
    </w:lvl>
    <w:lvl w:ilvl="1">
      <w:lvlJc w:val="left"/>
      <w:lvlText w:val="(%2)"/>
      <w:numFmt w:val="lowerRoman"/>
      <w:start w:val="3"/>
    </w:lvl>
  </w:abstractNum>
  <w:abstractNum w:abstractNumId="112">
    <w:nsid w:val="7DFF9D09"/>
    <w:multiLevelType w:val="hybridMultilevel"/>
    <w:lvl w:ilvl="0">
      <w:lvlJc w:val="left"/>
      <w:lvlText w:val="(%1)"/>
      <w:numFmt w:val="lowerLetter"/>
      <w:start w:val="2"/>
    </w:lvl>
    <w:lvl w:ilvl="1">
      <w:lvlJc w:val="left"/>
      <w:lvlText w:val="%2"/>
      <w:numFmt w:val="lowerRoman"/>
      <w:start w:val="1"/>
    </w:lvl>
  </w:abstractNum>
  <w:abstractNum w:abstractNumId="113">
    <w:nsid w:val="75434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14">
    <w:nsid w:val="69E7F3E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5">
    <w:nsid w:val="2A6DE80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6">
    <w:nsid w:val="1816F8C4"/>
    <w:multiLevelType w:val="hybridMultilevel"/>
    <w:lvl w:ilvl="0">
      <w:lvlJc w:val="left"/>
      <w:lvlText w:val="%1"/>
      <w:numFmt w:val="decimal"/>
      <w:start w:val="1"/>
    </w:lvl>
    <w:lvl w:ilvl="1">
      <w:lvlJc w:val="left"/>
      <w:lvlText w:val="(%2)"/>
      <w:numFmt w:val="lowerLetter"/>
      <w:start w:val="1"/>
    </w:lvl>
  </w:abstractNum>
  <w:abstractNum w:abstractNumId="117">
    <w:nsid w:val="37DF2233"/>
    <w:multiLevelType w:val="hybridMultilevel"/>
    <w:lvl w:ilvl="0">
      <w:lvlJc w:val="left"/>
      <w:lvlText w:val="%1."/>
      <w:numFmt w:val="decimal"/>
      <w:start w:val="3"/>
    </w:lvl>
    <w:lvl w:ilvl="1">
      <w:lvlJc w:val="left"/>
      <w:lvlText w:val="%2"/>
      <w:numFmt w:val="lowerLetter"/>
      <w:start w:val="1"/>
    </w:lvl>
  </w:abstractNum>
  <w:abstractNum w:abstractNumId="118">
    <w:nsid w:val="7AB49DAF"/>
    <w:multiLevelType w:val="hybridMultilevel"/>
    <w:lvl w:ilvl="0">
      <w:lvlJc w:val="left"/>
      <w:lvlText w:val="%1."/>
      <w:numFmt w:val="decimal"/>
      <w:start w:val="1"/>
    </w:lvl>
  </w:abstractNum>
  <w:abstractNum w:abstractNumId="119">
    <w:nsid w:val="759F82CD"/>
    <w:multiLevelType w:val="hybridMultilevel"/>
    <w:lvl w:ilvl="0">
      <w:lvlJc w:val="left"/>
      <w:lvlText w:val="%1."/>
      <w:numFmt w:val="decimal"/>
      <w:start w:val="2"/>
    </w:lvl>
    <w:lvl w:ilvl="1">
      <w:lvlJc w:val="left"/>
      <w:lvlText w:val="(%2)"/>
      <w:numFmt w:val="lowerLetter"/>
      <w:start w:val="1"/>
    </w:lvl>
  </w:abstractNum>
  <w:abstractNum w:abstractNumId="120">
    <w:nsid w:val="61E74EA3"/>
    <w:multiLevelType w:val="hybridMultilevel"/>
    <w:lvl w:ilvl="0">
      <w:lvlJc w:val="left"/>
      <w:lvlText w:val="%1"/>
      <w:numFmt w:val="decimal"/>
      <w:start w:val="1"/>
    </w:lvl>
    <w:lvl w:ilvl="1">
      <w:lvlJc w:val="left"/>
      <w:lvlText w:val="%2."/>
      <w:numFmt w:val="decimal"/>
      <w:start w:val="3"/>
    </w:lvl>
  </w:abstractNum>
  <w:abstractNum w:abstractNumId="121">
    <w:nsid w:val="597B4D84"/>
    <w:multiLevelType w:val="hybridMultilevel"/>
    <w:lvl w:ilvl="0">
      <w:lvlJc w:val="left"/>
      <w:lvlText w:val="%1."/>
      <w:numFmt w:val="decimal"/>
      <w:start w:val="4"/>
    </w:lvl>
    <w:lvl w:ilvl="1">
      <w:lvlJc w:val="left"/>
      <w:lvlText w:val="%2"/>
      <w:numFmt w:val="decimal"/>
      <w:start w:val="1"/>
    </w:lvl>
  </w:abstractNum>
  <w:abstractNum w:abstractNumId="122">
    <w:nsid w:val="F819E7F"/>
    <w:multiLevelType w:val="hybridMultilevel"/>
    <w:lvl w:ilvl="0">
      <w:lvlJc w:val="left"/>
      <w:lvlText w:val="%1."/>
      <w:numFmt w:val="upperLetter"/>
      <w:start w:val="1"/>
    </w:lvl>
  </w:abstractNum>
  <w:abstractNum w:abstractNumId="123">
    <w:nsid w:val="57C7D42D"/>
    <w:multiLevelType w:val="hybridMultilevel"/>
    <w:lvl w:ilvl="0">
      <w:lvlJc w:val="left"/>
      <w:lvlText w:val="%1."/>
      <w:numFmt w:val="decimal"/>
      <w:start w:val="1"/>
    </w:lvl>
    <w:lvl w:ilvl="1">
      <w:lvlJc w:val="left"/>
      <w:lvlText w:val="(%2)"/>
      <w:numFmt w:val="lowerLetter"/>
      <w:start w:val="1"/>
    </w:lvl>
  </w:abstractNum>
  <w:abstractNum w:abstractNumId="124">
    <w:nsid w:val="312167AD"/>
    <w:multiLevelType w:val="hybridMultilevel"/>
    <w:lvl w:ilvl="0">
      <w:lvlJc w:val="left"/>
      <w:lvlText w:val="%1"/>
      <w:numFmt w:val="decimal"/>
      <w:start w:val="1"/>
    </w:lvl>
    <w:lvl w:ilvl="1">
      <w:lvlJc w:val="left"/>
      <w:lvlText w:val="(%2)"/>
      <w:numFmt w:val="lowerLetter"/>
      <w:start w:val="2"/>
    </w:lvl>
  </w:abstractNum>
  <w:abstractNum w:abstractNumId="125">
    <w:nsid w:val="631B64D4"/>
    <w:multiLevelType w:val="hybridMultilevel"/>
    <w:lvl w:ilvl="0">
      <w:lvlJc w:val="left"/>
      <w:lvlText w:val="%1."/>
      <w:numFmt w:val="decimal"/>
      <w:start w:val="4"/>
    </w:lvl>
    <w:lvl w:ilvl="1">
      <w:lvlJc w:val="left"/>
      <w:lvlText w:val="%2"/>
      <w:numFmt w:val="lowerLetter"/>
      <w:start w:val="1"/>
    </w:lvl>
  </w:abstractNum>
  <w:abstractNum w:abstractNumId="126">
    <w:nsid w:val="78B5E776"/>
    <w:multiLevelType w:val="hybridMultilevel"/>
    <w:lvl w:ilvl="0">
      <w:lvlJc w:val="left"/>
      <w:lvlText w:val="%1."/>
      <w:numFmt w:val="decimal"/>
      <w:start w:val="5"/>
    </w:lvl>
  </w:abstractNum>
  <w:abstractNum w:abstractNumId="127">
    <w:nsid w:val="75486E47"/>
    <w:multiLevelType w:val="hybridMultilevel"/>
    <w:lvl w:ilvl="0">
      <w:lvlJc w:val="left"/>
      <w:lvlText w:val="%1."/>
      <w:numFmt w:val="decimal"/>
      <w:start w:val="9"/>
    </w:lvl>
    <w:lvl w:ilvl="1">
      <w:lvlJc w:val="left"/>
      <w:lvlText w:val="(%2)"/>
      <w:numFmt w:val="lowerLetter"/>
      <w:start w:val="1"/>
    </w:lvl>
  </w:abstractNum>
  <w:abstractNum w:abstractNumId="128">
    <w:nsid w:val="6E534CDE"/>
    <w:multiLevelType w:val="hybridMultilevel"/>
    <w:lvl w:ilvl="0">
      <w:lvlJc w:val="left"/>
      <w:lvlText w:val="%1"/>
      <w:numFmt w:val="decimal"/>
      <w:start w:val="1"/>
    </w:lvl>
    <w:lvl w:ilvl="1">
      <w:lvlJc w:val="left"/>
      <w:lvlText w:val="(%2)"/>
      <w:numFmt w:val="lowerLetter"/>
      <w:start w:val="5"/>
    </w:lvl>
  </w:abstractNum>
  <w:abstractNum w:abstractNumId="129">
    <w:nsid w:val="1A0DDE32"/>
    <w:multiLevelType w:val="hybridMultilevel"/>
    <w:lvl w:ilvl="0">
      <w:lvlJc w:val="left"/>
      <w:lvlText w:val="%1."/>
      <w:numFmt w:val="decimal"/>
      <w:start w:val="10"/>
    </w:lvl>
    <w:lvl w:ilvl="1">
      <w:lvlJc w:val="left"/>
      <w:lvlText w:val="(%2)"/>
      <w:numFmt w:val="lowerLetter"/>
      <w:start w:val="1"/>
    </w:lvl>
  </w:abstractNum>
  <w:abstractNum w:abstractNumId="130">
    <w:nsid w:val="65968C1C"/>
    <w:multiLevelType w:val="hybridMultilevel"/>
    <w:lvl w:ilvl="0">
      <w:lvlJc w:val="left"/>
      <w:lvlText w:val="%1"/>
      <w:numFmt w:val="decimal"/>
      <w:start w:val="1"/>
    </w:lvl>
    <w:lvl w:ilvl="1">
      <w:lvlJc w:val="left"/>
      <w:lvlText w:val="(%2)"/>
      <w:numFmt w:val="lowerLetter"/>
      <w:start w:val="2"/>
    </w:lvl>
  </w:abstractNum>
  <w:abstractNum w:abstractNumId="131">
    <w:nsid w:val="46263DEC"/>
    <w:multiLevelType w:val="hybridMultilevel"/>
    <w:lvl w:ilvl="0">
      <w:lvlJc w:val="left"/>
      <w:lvlText w:val="%1."/>
      <w:numFmt w:val="decimal"/>
      <w:start w:val="13"/>
    </w:lvl>
    <w:lvl w:ilvl="1">
      <w:lvlJc w:val="left"/>
      <w:lvlText w:val="%2"/>
      <w:numFmt w:val="lowerLetter"/>
      <w:start w:val="1"/>
    </w:lvl>
  </w:abstractNum>
  <w:abstractNum w:abstractNumId="132">
    <w:nsid w:val="260D8C4A"/>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33">
    <w:nsid w:val="73D4D3C4"/>
    <w:multiLevelType w:val="hybridMultilevel"/>
    <w:lvl w:ilvl="0">
      <w:lvlJc w:val="left"/>
      <w:lvlText w:val="%1"/>
      <w:numFmt w:val="lowerLetter"/>
      <w:start w:val="1"/>
    </w:lvl>
    <w:lvl w:ilvl="1">
      <w:lvlJc w:val="left"/>
      <w:lvlText w:val="(%2)"/>
      <w:numFmt w:val="lowerRoman"/>
      <w:start w:val="3"/>
    </w:lvl>
  </w:abstractNum>
  <w:abstractNum w:abstractNumId="134">
    <w:nsid w:val="746F2E30"/>
    <w:multiLevelType w:val="hybridMultilevel"/>
    <w:lvl w:ilvl="0">
      <w:lvlJc w:val="left"/>
      <w:lvlText w:val="(%1)"/>
      <w:numFmt w:val="lowerLetter"/>
      <w:start w:val="2"/>
    </w:lvl>
    <w:lvl w:ilvl="1">
      <w:lvlJc w:val="left"/>
      <w:lvlText w:val="%2"/>
      <w:numFmt w:val="lowerRoman"/>
      <w:start w:val="1"/>
    </w:lvl>
  </w:abstractNum>
  <w:abstractNum w:abstractNumId="135">
    <w:nsid w:val="6FDE8AF6"/>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36">
    <w:nsid w:val="3FC32E20"/>
    <w:multiLevelType w:val="hybridMultilevel"/>
    <w:lvl w:ilvl="0">
      <w:lvlJc w:val="left"/>
      <w:lvlText w:val="(%1)"/>
      <w:numFmt w:val="lowerLetter"/>
      <w:start w:val="2"/>
    </w:lvl>
    <w:lvl w:ilvl="1">
      <w:lvlJc w:val="left"/>
      <w:lvlText w:val="(%2)"/>
      <w:numFmt w:val="lowerRoman"/>
      <w:start w:val="1"/>
    </w:lvl>
  </w:abstractNum>
  <w:abstractNum w:abstractNumId="137">
    <w:nsid w:val="49C0E823"/>
    <w:multiLevelType w:val="hybridMultilevel"/>
    <w:lvl w:ilvl="0">
      <w:lvlJc w:val="left"/>
      <w:lvlText w:val="%1."/>
      <w:numFmt w:val="decimal"/>
      <w:start w:val="2"/>
    </w:lvl>
    <w:lvl w:ilvl="1">
      <w:lvlJc w:val="left"/>
      <w:lvlText w:val="(%2)"/>
      <w:numFmt w:val="lowerLetter"/>
      <w:start w:val="1"/>
    </w:lvl>
  </w:abstractNum>
  <w:abstractNum w:abstractNumId="138">
    <w:nsid w:val="14D53685"/>
    <w:multiLevelType w:val="hybridMultilevel"/>
    <w:lvl w:ilvl="0">
      <w:lvlJc w:val="left"/>
      <w:lvlText w:val="%1."/>
      <w:numFmt w:val="decimal"/>
      <w:start w:val="1"/>
    </w:lvl>
  </w:abstractNum>
  <w:abstractNum w:abstractNumId="139">
    <w:nsid w:val="230F856C"/>
    <w:multiLevelType w:val="hybridMultilevel"/>
    <w:lvl w:ilvl="0">
      <w:lvlJc w:val="left"/>
      <w:lvlText w:val="%1."/>
      <w:numFmt w:val="decimal"/>
      <w:start w:val="2"/>
    </w:lvl>
    <w:lvl w:ilvl="1">
      <w:lvlJc w:val="left"/>
      <w:lvlText w:val="(%2)"/>
      <w:numFmt w:val="lowerLetter"/>
      <w:start w:val="1"/>
    </w:lvl>
  </w:abstractNum>
  <w:abstractNum w:abstractNumId="140">
    <w:nsid w:val="6EAA85FB"/>
    <w:multiLevelType w:val="hybridMultilevel"/>
    <w:lvl w:ilvl="0">
      <w:lvlJc w:val="left"/>
      <w:lvlText w:val="%1"/>
      <w:numFmt w:val="decimal"/>
      <w:start w:val="1"/>
    </w:lvl>
    <w:lvl w:ilvl="1">
      <w:lvlJc w:val="left"/>
      <w:lvlText w:val="%2."/>
      <w:numFmt w:val="decimal"/>
      <w:start w:val="3"/>
    </w:lvl>
  </w:abstractNum>
  <w:abstractNum w:abstractNumId="141">
    <w:nsid w:val="3F06ECB2"/>
    <w:multiLevelType w:val="hybridMultilevel"/>
    <w:lvl w:ilvl="0">
      <w:lvlJc w:val="left"/>
      <w:lvlText w:val="%1."/>
      <w:numFmt w:val="decimal"/>
      <w:start w:val="4"/>
    </w:lvl>
    <w:lvl w:ilvl="1">
      <w:lvlJc w:val="left"/>
      <w:lvlText w:val="%2"/>
      <w:numFmt w:val="decimal"/>
      <w:start w:val="1"/>
    </w:lvl>
  </w:abstractNum>
  <w:abstractNum w:abstractNumId="142">
    <w:nsid w:val="3B594807"/>
    <w:multiLevelType w:val="hybridMultilevel"/>
    <w:lvl w:ilvl="0">
      <w:lvlJc w:val="left"/>
      <w:lvlText w:val="%1."/>
      <w:numFmt w:val="upperLetter"/>
      <w:start w:val="1"/>
    </w:lvl>
  </w:abstractNum>
  <w:abstractNum w:abstractNumId="143">
    <w:nsid w:val="6CAA2304"/>
    <w:multiLevelType w:val="hybridMultilevel"/>
    <w:lvl w:ilvl="0">
      <w:lvlJc w:val="left"/>
      <w:lvlText w:val="%1."/>
      <w:numFmt w:val="decimal"/>
      <w:start w:val="1"/>
    </w:lvl>
    <w:lvl w:ilvl="1">
      <w:lvlJc w:val="left"/>
      <w:lvlText w:val="(%2)"/>
      <w:numFmt w:val="lowerLetter"/>
      <w:start w:val="1"/>
    </w:lvl>
  </w:abstractNum>
  <w:abstractNum w:abstractNumId="144">
    <w:nsid w:val="3F7C2FF4"/>
    <w:multiLevelType w:val="hybridMultilevel"/>
    <w:lvl w:ilvl="0">
      <w:lvlJc w:val="left"/>
      <w:lvlText w:val="%1"/>
      <w:numFmt w:val="decimal"/>
      <w:start w:val="1"/>
    </w:lvl>
    <w:lvl w:ilvl="1">
      <w:lvlJc w:val="left"/>
      <w:lvlText w:val="(%2)"/>
      <w:numFmt w:val="lowerLetter"/>
      <w:start w:val="2"/>
    </w:lvl>
  </w:abstractNum>
  <w:abstractNum w:abstractNumId="145">
    <w:nsid w:val="25413BEC"/>
    <w:multiLevelType w:val="hybridMultilevel"/>
    <w:lvl w:ilvl="0">
      <w:lvlJc w:val="left"/>
      <w:lvlText w:val="%1."/>
      <w:numFmt w:val="decimal"/>
      <w:start w:val="4"/>
    </w:lvl>
    <w:lvl w:ilvl="1">
      <w:lvlJc w:val="left"/>
      <w:lvlText w:val="%2"/>
      <w:numFmt w:val="lowerLetter"/>
      <w:start w:val="1"/>
    </w:lvl>
  </w:abstractNum>
  <w:abstractNum w:abstractNumId="146">
    <w:nsid w:val="17180B0B"/>
    <w:multiLevelType w:val="hybridMultilevel"/>
    <w:lvl w:ilvl="0">
      <w:lvlJc w:val="left"/>
      <w:lvlText w:val="%1."/>
      <w:numFmt w:val="decimal"/>
      <w:start w:val="5"/>
    </w:lvl>
  </w:abstractNum>
  <w:abstractNum w:abstractNumId="147">
    <w:nsid w:val="579328B9"/>
    <w:multiLevelType w:val="hybridMultilevel"/>
    <w:lvl w:ilvl="0">
      <w:lvlJc w:val="left"/>
      <w:lvlText w:val="%1."/>
      <w:numFmt w:val="decimal"/>
      <w:start w:val="9"/>
    </w:lvl>
    <w:lvl w:ilvl="1">
      <w:lvlJc w:val="left"/>
      <w:lvlText w:val="(%2)"/>
      <w:numFmt w:val="lowerLetter"/>
      <w:start w:val="1"/>
    </w:lvl>
  </w:abstractNum>
  <w:abstractNum w:abstractNumId="148">
    <w:nsid w:val="5D205E20"/>
    <w:multiLevelType w:val="hybridMultilevel"/>
    <w:lvl w:ilvl="0">
      <w:lvlJc w:val="left"/>
      <w:lvlText w:val="%1"/>
      <w:numFmt w:val="decimal"/>
      <w:start w:val="1"/>
    </w:lvl>
    <w:lvl w:ilvl="1">
      <w:lvlJc w:val="left"/>
      <w:lvlText w:val="(%2)"/>
      <w:numFmt w:val="lowerLetter"/>
      <w:start w:val="5"/>
    </w:lvl>
  </w:abstractNum>
  <w:abstractNum w:abstractNumId="149">
    <w:nsid w:val="11CCA8BA"/>
    <w:multiLevelType w:val="hybridMultilevel"/>
    <w:lvl w:ilvl="0">
      <w:lvlJc w:val="left"/>
      <w:lvlText w:val="%1."/>
      <w:numFmt w:val="decimal"/>
      <w:start w:val="10"/>
    </w:lvl>
    <w:lvl w:ilvl="1">
      <w:lvlJc w:val="left"/>
      <w:lvlText w:val="(%2)"/>
      <w:numFmt w:val="lowerLetter"/>
      <w:start w:val="1"/>
    </w:lvl>
  </w:abstractNum>
  <w:abstractNum w:abstractNumId="150">
    <w:nsid w:val="4D32AB86"/>
    <w:multiLevelType w:val="hybridMultilevel"/>
    <w:lvl w:ilvl="0">
      <w:lvlJc w:val="left"/>
      <w:lvlText w:val="%1"/>
      <w:numFmt w:val="decimal"/>
      <w:start w:val="1"/>
    </w:lvl>
    <w:lvl w:ilvl="1">
      <w:lvlJc w:val="left"/>
      <w:lvlText w:val="(%2)"/>
      <w:numFmt w:val="lowerLetter"/>
      <w:start w:val="2"/>
    </w:lvl>
  </w:abstractNum>
  <w:abstractNum w:abstractNumId="151">
    <w:nsid w:val="3F07ACC3"/>
    <w:multiLevelType w:val="hybridMultilevel"/>
    <w:lvl w:ilvl="0">
      <w:lvlJc w:val="left"/>
      <w:lvlText w:val="%1."/>
      <w:numFmt w:val="decimal"/>
      <w:start w:val="13"/>
    </w:lvl>
    <w:lvl w:ilvl="1">
      <w:lvlJc w:val="left"/>
      <w:lvlText w:val="%2"/>
      <w:numFmt w:val="lowerLetter"/>
      <w:start w:val="1"/>
    </w:lvl>
  </w:abstractNum>
  <w:abstractNum w:abstractNumId="152">
    <w:nsid w:val="6B47F63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53">
    <w:nsid w:val="5CB44A05"/>
    <w:multiLevelType w:val="hybridMultilevel"/>
    <w:lvl w:ilvl="0">
      <w:lvlJc w:val="left"/>
      <w:lvlText w:val="%1"/>
      <w:numFmt w:val="lowerLetter"/>
      <w:start w:val="1"/>
    </w:lvl>
    <w:lvl w:ilvl="1">
      <w:lvlJc w:val="left"/>
      <w:lvlText w:val="(%2)"/>
      <w:numFmt w:val="lowerRoman"/>
      <w:start w:val="3"/>
    </w:lvl>
  </w:abstractNum>
  <w:abstractNum w:abstractNumId="154">
    <w:nsid w:val="16CF80F1"/>
    <w:multiLevelType w:val="hybridMultilevel"/>
    <w:lvl w:ilvl="0">
      <w:lvlJc w:val="left"/>
      <w:lvlText w:val="(%1)"/>
      <w:numFmt w:val="lowerLetter"/>
      <w:start w:val="2"/>
    </w:lvl>
    <w:lvl w:ilvl="1">
      <w:lvlJc w:val="left"/>
      <w:lvlText w:val="%2"/>
      <w:numFmt w:val="lowerRoman"/>
      <w:start w:val="1"/>
    </w:lvl>
  </w:abstractNum>
  <w:abstractNum w:abstractNumId="155">
    <w:nsid w:val="1C695DEC"/>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56">
    <w:nsid w:val="3FCFAED9"/>
    <w:multiLevelType w:val="hybridMultilevel"/>
    <w:lvl w:ilvl="0">
      <w:lvlJc w:val="left"/>
      <w:lvlText w:val="(%1)"/>
      <w:numFmt w:val="lowerLetter"/>
      <w:start w:val="2"/>
    </w:lvl>
    <w:lvl w:ilvl="1">
      <w:lvlJc w:val="left"/>
      <w:lvlText w:val="(%2)"/>
      <w:numFmt w:val="lowerRoman"/>
      <w:start w:val="1"/>
    </w:lvl>
  </w:abstractNum>
  <w:abstractNum w:abstractNumId="157">
    <w:nsid w:val="F856867"/>
    <w:multiLevelType w:val="hybridMultilevel"/>
    <w:lvl w:ilvl="0">
      <w:lvlJc w:val="left"/>
      <w:lvlText w:val="%1."/>
      <w:numFmt w:val="decimal"/>
      <w:start w:val="2"/>
    </w:lvl>
    <w:lvl w:ilvl="1">
      <w:lvlJc w:val="left"/>
      <w:lvlText w:val="(%2)"/>
      <w:numFmt w:val="lowerLetter"/>
      <w:start w:val="1"/>
    </w:lvl>
  </w:abstractNum>
  <w:abstractNum w:abstractNumId="158">
    <w:nsid w:val="11B1CC33"/>
    <w:multiLevelType w:val="hybridMultilevel"/>
    <w:lvl w:ilvl="0">
      <w:lvlJc w:val="left"/>
      <w:lvlText w:val="%1."/>
      <w:numFmt w:val="decimal"/>
      <w:start w:val="1"/>
    </w:lvl>
  </w:abstractNum>
  <w:abstractNum w:abstractNumId="159">
    <w:nsid w:val="2E22FBB7"/>
    <w:multiLevelType w:val="hybridMultilevel"/>
    <w:lvl w:ilvl="0">
      <w:lvlJc w:val="left"/>
      <w:lvlText w:val="%1."/>
      <w:numFmt w:val="decimal"/>
      <w:start w:val="2"/>
    </w:lvl>
    <w:lvl w:ilvl="1">
      <w:lvlJc w:val="left"/>
      <w:lvlText w:val="(%2)"/>
      <w:numFmt w:val="lowerLetter"/>
      <w:start w:val="1"/>
    </w:lvl>
  </w:abstractNum>
  <w:abstractNum w:abstractNumId="160">
    <w:nsid w:val="29934699"/>
    <w:multiLevelType w:val="hybridMultilevel"/>
    <w:lvl w:ilvl="0">
      <w:lvlJc w:val="left"/>
      <w:lvlText w:val="%1"/>
      <w:numFmt w:val="decimal"/>
      <w:start w:val="1"/>
    </w:lvl>
    <w:lvl w:ilvl="1">
      <w:lvlJc w:val="left"/>
      <w:lvlText w:val="%2."/>
      <w:numFmt w:val="decimal"/>
      <w:start w:val="3"/>
    </w:lvl>
  </w:abstractNum>
  <w:abstractNum w:abstractNumId="161">
    <w:nsid w:val="77485850"/>
    <w:multiLevelType w:val="hybridMultilevel"/>
    <w:lvl w:ilvl="0">
      <w:lvlJc w:val="left"/>
      <w:lvlText w:val="%1."/>
      <w:numFmt w:val="decimal"/>
      <w:start w:val="4"/>
    </w:lvl>
    <w:lvl w:ilvl="1">
      <w:lvlJc w:val="left"/>
      <w:lvlText w:val="%2"/>
      <w:numFmt w:val="decimal"/>
      <w:start w:val="1"/>
    </w:lvl>
  </w:abstractNum>
  <w:abstractNum w:abstractNumId="162">
    <w:nsid w:val="744939A3"/>
    <w:multiLevelType w:val="hybridMultilevel"/>
    <w:lvl w:ilvl="0">
      <w:lvlJc w:val="left"/>
      <w:lvlText w:val="%1."/>
      <w:numFmt w:val="decimal"/>
      <w:start w:val="1"/>
    </w:lvl>
    <w:lvl w:ilvl="1">
      <w:lvlJc w:val="left"/>
      <w:lvlText w:val="(%2)"/>
      <w:numFmt w:val="lowerLetter"/>
      <w:start w:val="1"/>
    </w:lvl>
  </w:abstractNum>
  <w:abstractNum w:abstractNumId="163">
    <w:nsid w:val="4FA0D2E3"/>
    <w:multiLevelType w:val="hybridMultilevel"/>
    <w:lvl w:ilvl="0">
      <w:lvlJc w:val="left"/>
      <w:lvlText w:val="%1."/>
      <w:numFmt w:val="decimal"/>
      <w:start w:val="1"/>
    </w:lvl>
    <w:lvl w:ilvl="1">
      <w:lvlJc w:val="left"/>
      <w:lvlText w:val="(%2)"/>
      <w:numFmt w:val="lowerLetter"/>
      <w:start w:val="1"/>
    </w:lvl>
  </w:abstractNum>
  <w:abstractNum w:abstractNumId="164">
    <w:nsid w:val="6B1D2C14"/>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65">
    <w:nsid w:val="68B867D3"/>
    <w:multiLevelType w:val="hybridMultilevel"/>
    <w:lvl w:ilvl="0">
      <w:lvlJc w:val="left"/>
      <w:lvlText w:val="%1."/>
      <w:numFmt w:val="decimal"/>
      <w:start w:val="1"/>
    </w:lvl>
    <w:lvl w:ilvl="1">
      <w:lvlJc w:val="left"/>
      <w:lvlText w:val="(%2)"/>
      <w:numFmt w:val="lowerLetter"/>
      <w:start w:val="1"/>
    </w:lvl>
  </w:abstractNum>
  <w:abstractNum w:abstractNumId="166">
    <w:nsid w:val="3F7F5DD9"/>
    <w:multiLevelType w:val="hybridMultilevel"/>
    <w:lvl w:ilvl="0">
      <w:lvlJc w:val="left"/>
      <w:lvlText w:val="(%1)"/>
      <w:numFmt w:val="decimal"/>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2023-10-19T06:10:30Z</dcterms:created>
  <dcterms:modified xsi:type="dcterms:W3CDTF">2023-10-19T06:10:30Z</dcterms:modified>
</cp:coreProperties>
</file>