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12,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16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left="156"/>
              <w:spacing w:after="0"/>
              <w:rPr>
                <w:sz w:val="20"/>
                <w:szCs w:val="20"/>
                <w:color w:val="auto"/>
              </w:rPr>
            </w:pPr>
            <w:r>
              <w:rPr>
                <w:rFonts w:ascii="Arial" w:cs="Arial" w:eastAsia="Arial" w:hAnsi="Arial"/>
                <w:sz w:val="18"/>
                <w:szCs w:val="18"/>
                <w:b w:val="1"/>
                <w:bCs w:val="1"/>
                <w:color w:val="auto"/>
                <w:w w:val="99"/>
              </w:rPr>
              <w:t>75-1825172</w:t>
            </w:r>
          </w:p>
        </w:tc>
        <w:tc>
          <w:tcPr>
            <w:tcW w:w="240" w:type="dxa"/>
            <w:vAlign w:val="bottom"/>
          </w:tcPr>
          <w:p>
            <w:pPr>
              <w:spacing w:after="0"/>
              <w:rPr>
                <w:sz w:val="20"/>
                <w:szCs w:val="20"/>
                <w:color w:val="auto"/>
              </w:rPr>
            </w:pPr>
          </w:p>
        </w:tc>
      </w:tr>
      <w:tr>
        <w:trPr>
          <w:trHeight w:val="263"/>
        </w:trPr>
        <w:tc>
          <w:tcPr>
            <w:tcW w:w="2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Borders>
              <w:bottom w:val="single" w:sz="8" w:color="auto"/>
            </w:tcBorders>
          </w:tcPr>
          <w:p>
            <w:pPr>
              <w:jc w:val="center"/>
              <w:ind w:left="156"/>
              <w:spacing w:after="0"/>
              <w:rPr>
                <w:sz w:val="20"/>
                <w:szCs w:val="20"/>
                <w:color w:val="auto"/>
              </w:rPr>
            </w:pPr>
            <w:r>
              <w:rPr>
                <w:rFonts w:ascii="Arial" w:cs="Arial" w:eastAsia="Arial" w:hAnsi="Arial"/>
                <w:sz w:val="18"/>
                <w:szCs w:val="18"/>
                <w:b w:val="1"/>
                <w:bCs w:val="1"/>
                <w:color w:val="auto"/>
                <w:w w:val="99"/>
              </w:rPr>
              <w:t>13-1502798</w:t>
            </w:r>
          </w:p>
        </w:tc>
        <w:tc>
          <w:tcPr>
            <w:tcW w:w="240" w:type="dxa"/>
            <w:vAlign w:val="bottom"/>
            <w:tcBorders>
              <w:bottom w:val="single" w:sz="8" w:color="auto"/>
            </w:tcBorders>
          </w:tcPr>
          <w:p>
            <w:pPr>
              <w:spacing w:after="0"/>
              <w:rPr>
                <w:sz w:val="22"/>
                <w:szCs w:val="22"/>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282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60"/>
        </w:trPr>
        <w:tc>
          <w:tcPr>
            <w:tcW w:w="260" w:type="dxa"/>
            <w:vAlign w:val="bottom"/>
          </w:tcPr>
          <w:p>
            <w:pPr>
              <w:spacing w:after="0"/>
              <w:rPr>
                <w:sz w:val="24"/>
                <w:szCs w:val="24"/>
                <w:color w:val="auto"/>
              </w:rPr>
            </w:pPr>
          </w:p>
        </w:tc>
        <w:tc>
          <w:tcPr>
            <w:tcW w:w="4800" w:type="dxa"/>
            <w:vAlign w:val="bottom"/>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2580" w:type="dxa"/>
            <w:vAlign w:val="bottom"/>
            <w:gridSpan w:val="4"/>
          </w:tcPr>
          <w:p>
            <w:pPr>
              <w:ind w:left="180"/>
              <w:spacing w:after="0"/>
              <w:rPr>
                <w:sz w:val="20"/>
                <w:szCs w:val="20"/>
                <w:color w:val="auto"/>
              </w:rPr>
            </w:pPr>
            <w:r>
              <w:rPr>
                <w:rFonts w:ascii="Arial" w:cs="Arial" w:eastAsia="Arial" w:hAnsi="Arial"/>
                <w:sz w:val="18"/>
                <w:szCs w:val="18"/>
                <w:b w:val="1"/>
                <w:bCs w:val="1"/>
                <w:color w:val="auto"/>
              </w:rPr>
              <w:t>Texas</w:t>
            </w:r>
          </w:p>
        </w:tc>
        <w:tc>
          <w:tcPr>
            <w:tcW w:w="3360" w:type="dxa"/>
            <w:vAlign w:val="bottom"/>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77"/>
        </w:trPr>
        <w:tc>
          <w:tcPr>
            <w:tcW w:w="260" w:type="dxa"/>
            <w:vAlign w:val="bottom"/>
          </w:tcPr>
          <w:p>
            <w:pPr>
              <w:spacing w:after="0"/>
              <w:rPr>
                <w:sz w:val="24"/>
                <w:szCs w:val="24"/>
                <w:color w:val="auto"/>
              </w:rPr>
            </w:pPr>
          </w:p>
        </w:tc>
        <w:tc>
          <w:tcPr>
            <w:tcW w:w="4800" w:type="dxa"/>
            <w:vAlign w:val="bottom"/>
            <w:tcBorders>
              <w:bottom w:val="single" w:sz="8" w:color="auto"/>
            </w:tcBorders>
            <w:gridSpan w:val="4"/>
          </w:tcPr>
          <w:p>
            <w:pPr>
              <w:ind w:left="2220"/>
              <w:spacing w:after="0"/>
              <w:rPr>
                <w:sz w:val="20"/>
                <w:szCs w:val="20"/>
                <w:color w:val="auto"/>
              </w:rPr>
            </w:pPr>
            <w:r>
              <w:rPr>
                <w:rFonts w:ascii="Arial" w:cs="Arial" w:eastAsia="Arial" w:hAnsi="Arial"/>
                <w:sz w:val="18"/>
                <w:szCs w:val="18"/>
                <w:b w:val="1"/>
                <w:bCs w:val="1"/>
                <w:color w:val="auto"/>
              </w:rPr>
              <w:t>1 Skyview Drive, Fort Worth,</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Texas</w:t>
            </w:r>
          </w:p>
        </w:tc>
        <w:tc>
          <w:tcPr>
            <w:tcW w:w="42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jc w:val="center"/>
              <w:ind w:right="416"/>
              <w:spacing w:after="0"/>
              <w:rPr>
                <w:sz w:val="20"/>
                <w:szCs w:val="20"/>
                <w:color w:val="auto"/>
              </w:rPr>
            </w:pPr>
            <w:r>
              <w:rPr>
                <w:rFonts w:ascii="Arial" w:cs="Arial" w:eastAsia="Arial" w:hAnsi="Arial"/>
                <w:sz w:val="18"/>
                <w:szCs w:val="18"/>
                <w:b w:val="1"/>
                <w:bCs w:val="1"/>
                <w:color w:val="auto"/>
                <w:w w:val="99"/>
              </w:rPr>
              <w:t>76155</w:t>
            </w:r>
          </w:p>
        </w:tc>
        <w:tc>
          <w:tcPr>
            <w:tcW w:w="240" w:type="dxa"/>
            <w:vAlign w:val="bottom"/>
          </w:tcPr>
          <w:p>
            <w:pPr>
              <w:spacing w:after="0"/>
              <w:rPr>
                <w:sz w:val="24"/>
                <w:szCs w:val="24"/>
                <w:color w:val="auto"/>
              </w:rPr>
            </w:pPr>
          </w:p>
        </w:tc>
      </w:tr>
      <w:tr>
        <w:trPr>
          <w:trHeight w:val="204"/>
        </w:trPr>
        <w:tc>
          <w:tcPr>
            <w:tcW w:w="260" w:type="dxa"/>
            <w:vAlign w:val="bottom"/>
          </w:tcPr>
          <w:p>
            <w:pPr>
              <w:spacing w:after="0"/>
              <w:rPr>
                <w:sz w:val="17"/>
                <w:szCs w:val="17"/>
                <w:color w:val="auto"/>
              </w:rPr>
            </w:pPr>
          </w:p>
        </w:tc>
        <w:tc>
          <w:tcPr>
            <w:tcW w:w="4560" w:type="dxa"/>
            <w:vAlign w:val="bottom"/>
            <w:gridSpan w:val="3"/>
          </w:tcPr>
          <w:p>
            <w:pPr>
              <w:ind w:left="1880"/>
              <w:spacing w:after="0"/>
              <w:rPr>
                <w:sz w:val="20"/>
                <w:szCs w:val="20"/>
                <w:color w:val="auto"/>
              </w:rPr>
            </w:pPr>
            <w:r>
              <w:rPr>
                <w:rFonts w:ascii="Arial" w:cs="Arial" w:eastAsia="Arial" w:hAnsi="Arial"/>
                <w:sz w:val="14"/>
                <w:szCs w:val="14"/>
                <w:b w:val="1"/>
                <w:bCs w:val="1"/>
                <w:color w:val="auto"/>
              </w:rPr>
              <w:t>(Address of principal executive offices)</w:t>
            </w: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(Zip Code)</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963-1234</w:t>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28575</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1" w:lineRule="exact"/>
        <w:rPr>
          <w:sz w:val="24"/>
          <w:szCs w:val="24"/>
          <w:color w:val="auto"/>
        </w:rPr>
      </w:pPr>
    </w:p>
    <w:p>
      <w:pPr>
        <w:ind w:right="400"/>
        <w:spacing w:after="0" w:line="25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74" w:lineRule="exact"/>
        <w:rPr>
          <w:rFonts w:ascii="MS PGothic" w:cs="MS PGothic" w:eastAsia="MS PGothic" w:hAnsi="MS PGothic"/>
          <w:sz w:val="18"/>
          <w:szCs w:val="18"/>
          <w:color w:val="auto"/>
        </w:rPr>
      </w:pPr>
    </w:p>
    <w:p>
      <w:pPr>
        <w:ind w:left="600" w:hanging="565"/>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9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7"/>
                <w:szCs w:val="17"/>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03"/>
        </w:trPr>
        <w:tc>
          <w:tcPr>
            <w:tcW w:w="4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119"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98" w:lineRule="exact"/>
        <w:rPr>
          <w:sz w:val="24"/>
          <w:szCs w:val="24"/>
          <w:color w:val="auto"/>
        </w:rPr>
      </w:pPr>
    </w:p>
    <w:p>
      <w:pPr>
        <w:ind w:left="874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 current operational environment during the COVID-19 pandemic (the “pandemic”), American Airlines Group Inc. (“AAG”) and American Airlines, Inc., a wholly owned subsidiary of AAG (“AAI” and, together with AAG and its other consolidated subsidiaries, the “Company”), are providing an update on recent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Performance Update</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recent decline in demand caused by the COVID-19 pandemic, the Company expects its second quarter 2020 revenue to be down approximately 90% versus the second quarter of 2019, with total system capacity down approximately 75% versus the second quarter of 2019.</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preserve its liquidity position, the Company has taken significant cost reduction actions that have removed more than $13.5 billion from its operating and capital budgets for 2020. These savings are achieved through reductions in maintenance expense, marketing expense, event and training expenses, airport facilities expense, salaries and benefits expense, and other volume-related expense reductions, including fuel. Along with these cost-saving actions, the Company has recently experienced improving demand conditions and has passed the peak in cash refund activity. As a result, the Company’s cash burn rate has decelerated from a peak of over $100 million per day in April to approximately $40 million per day forecasted for the month of June. This marks a $10 million per day improvement for the month of June when compared to the Company’s previous forecast of $50 million per day. The Company seeks to reduce its cash burn rate to approximately zero by the end of 2020 as expected demand conditions continue to improve and its cost initiatives continue to gain traction. The Company defines cash burn as the sum of all net cash receipts less all cash disbursements but excluding the effect of new financings and new aircraft purchases.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continues to expect that its liquidity, assuming the secured CARES Act loan of $4.75 billion is funded in June, will amount to approximately $11 billion as of June 30, 2020 without giving effect to any additional financing transactions that may be completed.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Demand and Capacity Update</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mid-March, the Company first observed negative net bookings, where cancellations exceeded new bookings. To better align its capacity with lower expected demand, the Company reduced its capacity through a combination of schedule reductions and close-in flight cancellations. This negative net booking trend persisted until late April.</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flown system capacity was down approximately 75% year-over-year in April, and down approximately 80% year-over-year in May. The Company’s June system capacity is expected to be down approximately 75% year-over-year.</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state and local shelter in place restrictions were relaxed, the Company observed improved passenger demand, particularly in its domestic network. Since the first week of May, the Company’s net bookings have been consistently positive and have shown continued signs of improvement. Since the middle of May, the Company has observed positive net bookings in each of the seven advanced purchase windows that it regularly monitors. These windows include tickets purchased between 1 to 6 days, 7 to 13 days, 14 to 30 days, 31 to 60 days, 61 to 90 days, 91 to 150 days, and 151 to 331 days prior to departure. The Company believes these trends are an indication of improving passenger demand although at levels significantly below those experienced in the same period in 2019.</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response to the improving trends in demand, the Company announced on June 4, 2020 that it is planning to fly 55% of its domestic schedule and nearly 20% of its international schedule in July 2020 compared to the same period last year. The Company's July system-wide capacity amounts to approximately 40% of July 2019 flying.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recent domestic capacity, load factor and customer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98030"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3121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460" w:type="dxa"/>
            <w:vAlign w:val="bottom"/>
            <w:tcBorders>
              <w:bottom w:val="single" w:sz="8" w:color="666666"/>
            </w:tcBorders>
          </w:tcPr>
          <w:p>
            <w:pPr>
              <w:jc w:val="center"/>
              <w:ind w:right="90"/>
              <w:spacing w:after="0"/>
              <w:rPr>
                <w:sz w:val="20"/>
                <w:szCs w:val="20"/>
                <w:color w:val="auto"/>
              </w:rPr>
            </w:pPr>
            <w:r>
              <w:rPr>
                <w:rFonts w:ascii="Arial" w:cs="Arial" w:eastAsia="Arial" w:hAnsi="Arial"/>
                <w:sz w:val="18"/>
                <w:szCs w:val="18"/>
                <w:b w:val="1"/>
                <w:bCs w:val="1"/>
                <w:color w:val="auto"/>
                <w:w w:val="98"/>
              </w:rPr>
              <w:t>Domestic</w:t>
            </w:r>
          </w:p>
        </w:tc>
        <w:tc>
          <w:tcPr>
            <w:tcW w:w="2040" w:type="dxa"/>
            <w:vAlign w:val="bottom"/>
            <w:tcBorders>
              <w:bottom w:val="single" w:sz="8" w:color="666666"/>
            </w:tcBorders>
          </w:tcPr>
          <w:p>
            <w:pPr>
              <w:jc w:val="center"/>
              <w:ind w:right="110"/>
              <w:spacing w:after="0"/>
              <w:rPr>
                <w:sz w:val="20"/>
                <w:szCs w:val="20"/>
                <w:color w:val="auto"/>
              </w:rPr>
            </w:pPr>
            <w:r>
              <w:rPr>
                <w:rFonts w:ascii="Arial" w:cs="Arial" w:eastAsia="Arial" w:hAnsi="Arial"/>
                <w:sz w:val="18"/>
                <w:szCs w:val="18"/>
                <w:b w:val="1"/>
                <w:bCs w:val="1"/>
                <w:color w:val="auto"/>
                <w:w w:val="97"/>
              </w:rPr>
              <w:t>April</w:t>
            </w:r>
          </w:p>
        </w:tc>
        <w:tc>
          <w:tcPr>
            <w:tcW w:w="22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6"/>
              </w:rPr>
              <w:t>May</w:t>
            </w:r>
          </w:p>
        </w:tc>
        <w:tc>
          <w:tcPr>
            <w:tcW w:w="224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7"/>
              </w:rPr>
              <w:t>June*</w:t>
            </w:r>
          </w:p>
        </w:tc>
        <w:tc>
          <w:tcPr>
            <w:tcW w:w="22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July</w:t>
            </w:r>
          </w:p>
        </w:tc>
      </w:tr>
      <w:tr>
        <w:trPr>
          <w:trHeight w:val="207"/>
        </w:trPr>
        <w:tc>
          <w:tcPr>
            <w:tcW w:w="2460" w:type="dxa"/>
            <w:vAlign w:val="bottom"/>
            <w:shd w:val="clear" w:color="auto" w:fill="CCCCCC"/>
          </w:tcPr>
          <w:p>
            <w:pPr>
              <w:jc w:val="center"/>
              <w:ind w:right="90"/>
              <w:spacing w:after="0"/>
              <w:rPr>
                <w:sz w:val="20"/>
                <w:szCs w:val="20"/>
                <w:color w:val="auto"/>
              </w:rPr>
            </w:pPr>
            <w:r>
              <w:rPr>
                <w:rFonts w:ascii="Arial" w:cs="Arial" w:eastAsia="Arial" w:hAnsi="Arial"/>
                <w:sz w:val="18"/>
                <w:szCs w:val="18"/>
                <w:b w:val="1"/>
                <w:bCs w:val="1"/>
                <w:color w:val="auto"/>
              </w:rPr>
              <w:t>Capacity</w:t>
            </w:r>
          </w:p>
        </w:tc>
        <w:tc>
          <w:tcPr>
            <w:tcW w:w="2040" w:type="dxa"/>
            <w:vAlign w:val="bottom"/>
            <w:shd w:val="clear" w:color="auto" w:fill="CCCCCC"/>
          </w:tcPr>
          <w:p>
            <w:pPr>
              <w:spacing w:after="0"/>
              <w:rPr>
                <w:sz w:val="17"/>
                <w:szCs w:val="17"/>
                <w:color w:val="auto"/>
              </w:rPr>
            </w:pPr>
          </w:p>
        </w:tc>
        <w:tc>
          <w:tcPr>
            <w:tcW w:w="2220" w:type="dxa"/>
            <w:vAlign w:val="bottom"/>
            <w:shd w:val="clear" w:color="auto" w:fill="CCCCCC"/>
          </w:tcPr>
          <w:p>
            <w:pPr>
              <w:spacing w:after="0"/>
              <w:rPr>
                <w:sz w:val="17"/>
                <w:szCs w:val="17"/>
                <w:color w:val="auto"/>
              </w:rPr>
            </w:pPr>
          </w:p>
        </w:tc>
        <w:tc>
          <w:tcPr>
            <w:tcW w:w="2240" w:type="dxa"/>
            <w:vAlign w:val="bottom"/>
            <w:shd w:val="clear" w:color="auto" w:fill="CCCCCC"/>
          </w:tcPr>
          <w:p>
            <w:pPr>
              <w:spacing w:after="0"/>
              <w:rPr>
                <w:sz w:val="17"/>
                <w:szCs w:val="17"/>
                <w:color w:val="auto"/>
              </w:rPr>
            </w:pPr>
          </w:p>
        </w:tc>
        <w:tc>
          <w:tcPr>
            <w:tcW w:w="2220" w:type="dxa"/>
            <w:vAlign w:val="bottom"/>
            <w:shd w:val="clear" w:color="auto" w:fill="CCCCCC"/>
          </w:tcPr>
          <w:p>
            <w:pPr>
              <w:spacing w:after="0"/>
              <w:rPr>
                <w:sz w:val="17"/>
                <w:szCs w:val="17"/>
                <w:color w:val="auto"/>
              </w:rPr>
            </w:pPr>
          </w:p>
        </w:tc>
      </w:tr>
      <w:tr>
        <w:trPr>
          <w:trHeight w:val="246"/>
        </w:trPr>
        <w:tc>
          <w:tcPr>
            <w:tcW w:w="2460" w:type="dxa"/>
            <w:vAlign w:val="bottom"/>
            <w:tcBorders>
              <w:bottom w:val="single" w:sz="8" w:color="666666"/>
            </w:tcBorders>
            <w:shd w:val="clear" w:color="auto" w:fill="CCCCCC"/>
          </w:tcPr>
          <w:p>
            <w:pPr>
              <w:jc w:val="center"/>
              <w:ind w:right="90"/>
              <w:spacing w:after="0"/>
              <w:rPr>
                <w:sz w:val="20"/>
                <w:szCs w:val="20"/>
                <w:color w:val="auto"/>
              </w:rPr>
            </w:pPr>
            <w:r>
              <w:rPr>
                <w:rFonts w:ascii="Arial" w:cs="Arial" w:eastAsia="Arial" w:hAnsi="Arial"/>
                <w:sz w:val="18"/>
                <w:szCs w:val="18"/>
                <w:b w:val="1"/>
                <w:bCs w:val="1"/>
                <w:color w:val="auto"/>
                <w:w w:val="98"/>
              </w:rPr>
              <w:t>(Year over Year)</w:t>
            </w:r>
          </w:p>
        </w:tc>
        <w:tc>
          <w:tcPr>
            <w:tcW w:w="2040" w:type="dxa"/>
            <w:vAlign w:val="bottom"/>
            <w:tcBorders>
              <w:bottom w:val="single" w:sz="8" w:color="666666"/>
            </w:tcBorders>
            <w:shd w:val="clear" w:color="auto" w:fill="CCCCCC"/>
          </w:tcPr>
          <w:p>
            <w:pPr>
              <w:jc w:val="center"/>
              <w:ind w:right="110"/>
              <w:spacing w:after="0"/>
              <w:rPr>
                <w:sz w:val="20"/>
                <w:szCs w:val="20"/>
                <w:color w:val="auto"/>
              </w:rPr>
            </w:pPr>
            <w:r>
              <w:rPr>
                <w:rFonts w:ascii="Arial" w:cs="Arial" w:eastAsia="Arial" w:hAnsi="Arial"/>
                <w:sz w:val="18"/>
                <w:szCs w:val="18"/>
                <w:color w:val="auto"/>
              </w:rPr>
              <w:t>Down 70%</w:t>
            </w:r>
          </w:p>
        </w:tc>
        <w:tc>
          <w:tcPr>
            <w:tcW w:w="22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8"/>
              </w:rPr>
              <w:t>Down 75%</w:t>
            </w:r>
          </w:p>
        </w:tc>
        <w:tc>
          <w:tcPr>
            <w:tcW w:w="224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rPr>
              <w:t>Down 70%</w:t>
            </w:r>
          </w:p>
        </w:tc>
        <w:tc>
          <w:tcPr>
            <w:tcW w:w="2220" w:type="dxa"/>
            <w:vAlign w:val="bottom"/>
            <w:tcBorders>
              <w:bottom w:val="single" w:sz="8" w:color="666666"/>
            </w:tcBorders>
            <w:shd w:val="clear" w:color="auto" w:fill="CCCCCC"/>
          </w:tcPr>
          <w:p>
            <w:pPr>
              <w:jc w:val="center"/>
              <w:spacing w:after="0"/>
              <w:rPr>
                <w:sz w:val="20"/>
                <w:szCs w:val="20"/>
                <w:color w:val="auto"/>
              </w:rPr>
            </w:pPr>
            <w:r>
              <w:rPr>
                <w:rFonts w:ascii="Arial" w:cs="Arial" w:eastAsia="Arial" w:hAnsi="Arial"/>
                <w:sz w:val="18"/>
                <w:szCs w:val="18"/>
                <w:color w:val="auto"/>
                <w:w w:val="98"/>
              </w:rPr>
              <w:t>Down 45%</w:t>
            </w:r>
          </w:p>
        </w:tc>
      </w:tr>
      <w:tr>
        <w:trPr>
          <w:trHeight w:val="250"/>
        </w:trPr>
        <w:tc>
          <w:tcPr>
            <w:tcW w:w="2460" w:type="dxa"/>
            <w:vAlign w:val="bottom"/>
            <w:tcBorders>
              <w:bottom w:val="single" w:sz="8" w:color="666666"/>
            </w:tcBorders>
          </w:tcPr>
          <w:p>
            <w:pPr>
              <w:jc w:val="center"/>
              <w:ind w:right="90"/>
              <w:spacing w:after="0"/>
              <w:rPr>
                <w:sz w:val="20"/>
                <w:szCs w:val="20"/>
                <w:color w:val="auto"/>
              </w:rPr>
            </w:pPr>
            <w:r>
              <w:rPr>
                <w:rFonts w:ascii="Arial" w:cs="Arial" w:eastAsia="Arial" w:hAnsi="Arial"/>
                <w:sz w:val="18"/>
                <w:szCs w:val="18"/>
                <w:b w:val="1"/>
                <w:bCs w:val="1"/>
                <w:color w:val="auto"/>
              </w:rPr>
              <w:t>Load Factor</w:t>
            </w:r>
          </w:p>
        </w:tc>
        <w:tc>
          <w:tcPr>
            <w:tcW w:w="2040" w:type="dxa"/>
            <w:vAlign w:val="bottom"/>
            <w:tcBorders>
              <w:bottom w:val="single" w:sz="8" w:color="666666"/>
            </w:tcBorders>
          </w:tcPr>
          <w:p>
            <w:pPr>
              <w:jc w:val="right"/>
              <w:ind w:right="850"/>
              <w:spacing w:after="0"/>
              <w:rPr>
                <w:sz w:val="20"/>
                <w:szCs w:val="20"/>
                <w:color w:val="auto"/>
              </w:rPr>
            </w:pPr>
            <w:r>
              <w:rPr>
                <w:rFonts w:ascii="Arial" w:cs="Arial" w:eastAsia="Arial" w:hAnsi="Arial"/>
                <w:sz w:val="18"/>
                <w:szCs w:val="18"/>
                <w:color w:val="auto"/>
              </w:rPr>
              <w:t>15%</w:t>
            </w:r>
          </w:p>
        </w:tc>
        <w:tc>
          <w:tcPr>
            <w:tcW w:w="2220" w:type="dxa"/>
            <w:vAlign w:val="bottom"/>
            <w:tcBorders>
              <w:bottom w:val="single" w:sz="8" w:color="666666"/>
            </w:tcBorders>
          </w:tcPr>
          <w:p>
            <w:pPr>
              <w:jc w:val="right"/>
              <w:ind w:right="830"/>
              <w:spacing w:after="0"/>
              <w:rPr>
                <w:sz w:val="20"/>
                <w:szCs w:val="20"/>
                <w:color w:val="auto"/>
              </w:rPr>
            </w:pPr>
            <w:r>
              <w:rPr>
                <w:rFonts w:ascii="Arial" w:cs="Arial" w:eastAsia="Arial" w:hAnsi="Arial"/>
                <w:sz w:val="18"/>
                <w:szCs w:val="18"/>
                <w:color w:val="auto"/>
              </w:rPr>
              <w:t>47%</w:t>
            </w:r>
          </w:p>
        </w:tc>
        <w:tc>
          <w:tcPr>
            <w:tcW w:w="2240" w:type="dxa"/>
            <w:vAlign w:val="bottom"/>
            <w:tcBorders>
              <w:bottom w:val="single" w:sz="8" w:color="666666"/>
            </w:tcBorders>
          </w:tcPr>
          <w:p>
            <w:pPr>
              <w:jc w:val="right"/>
              <w:ind w:right="850"/>
              <w:spacing w:after="0"/>
              <w:rPr>
                <w:sz w:val="20"/>
                <w:szCs w:val="20"/>
                <w:color w:val="auto"/>
              </w:rPr>
            </w:pPr>
            <w:r>
              <w:rPr>
                <w:rFonts w:ascii="Arial" w:cs="Arial" w:eastAsia="Arial" w:hAnsi="Arial"/>
                <w:sz w:val="18"/>
                <w:szCs w:val="18"/>
                <w:color w:val="auto"/>
              </w:rPr>
              <w:t>62%</w:t>
            </w:r>
          </w:p>
        </w:tc>
        <w:tc>
          <w:tcPr>
            <w:tcW w:w="22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460" w:type="dxa"/>
            <w:vAlign w:val="bottom"/>
            <w:shd w:val="clear" w:color="auto" w:fill="CCCCCC"/>
          </w:tcPr>
          <w:p>
            <w:pPr>
              <w:jc w:val="center"/>
              <w:ind w:right="90"/>
              <w:spacing w:after="0"/>
              <w:rPr>
                <w:sz w:val="20"/>
                <w:szCs w:val="20"/>
                <w:color w:val="auto"/>
              </w:rPr>
            </w:pPr>
            <w:r>
              <w:rPr>
                <w:rFonts w:ascii="Arial" w:cs="Arial" w:eastAsia="Arial" w:hAnsi="Arial"/>
                <w:sz w:val="18"/>
                <w:szCs w:val="18"/>
                <w:b w:val="1"/>
                <w:bCs w:val="1"/>
                <w:color w:val="auto"/>
                <w:w w:val="99"/>
              </w:rPr>
              <w:t>Passengers per Day</w:t>
            </w:r>
          </w:p>
        </w:tc>
        <w:tc>
          <w:tcPr>
            <w:tcW w:w="2040" w:type="dxa"/>
            <w:vAlign w:val="bottom"/>
            <w:shd w:val="clear" w:color="auto" w:fill="CCCCCC"/>
          </w:tcPr>
          <w:p>
            <w:pPr>
              <w:jc w:val="right"/>
              <w:ind w:right="750"/>
              <w:spacing w:after="0"/>
              <w:rPr>
                <w:sz w:val="20"/>
                <w:szCs w:val="20"/>
                <w:color w:val="auto"/>
              </w:rPr>
            </w:pPr>
            <w:r>
              <w:rPr>
                <w:rFonts w:ascii="Arial" w:cs="Arial" w:eastAsia="Arial" w:hAnsi="Arial"/>
                <w:sz w:val="18"/>
                <w:szCs w:val="18"/>
                <w:color w:val="auto"/>
              </w:rPr>
              <w:t>31,000</w:t>
            </w:r>
          </w:p>
        </w:tc>
        <w:tc>
          <w:tcPr>
            <w:tcW w:w="2220" w:type="dxa"/>
            <w:vAlign w:val="bottom"/>
            <w:shd w:val="clear" w:color="auto" w:fill="CCCCCC"/>
          </w:tcPr>
          <w:p>
            <w:pPr>
              <w:jc w:val="right"/>
              <w:ind w:right="750"/>
              <w:spacing w:after="0"/>
              <w:rPr>
                <w:sz w:val="20"/>
                <w:szCs w:val="20"/>
                <w:color w:val="auto"/>
              </w:rPr>
            </w:pPr>
            <w:r>
              <w:rPr>
                <w:rFonts w:ascii="Arial" w:cs="Arial" w:eastAsia="Arial" w:hAnsi="Arial"/>
                <w:sz w:val="18"/>
                <w:szCs w:val="18"/>
                <w:color w:val="auto"/>
              </w:rPr>
              <w:t>85,000</w:t>
            </w:r>
          </w:p>
        </w:tc>
        <w:tc>
          <w:tcPr>
            <w:tcW w:w="224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129,000</w:t>
            </w:r>
          </w:p>
        </w:tc>
        <w:tc>
          <w:tcPr>
            <w:tcW w:w="22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bl>
    <w:p>
      <w:pPr>
        <w:spacing w:after="0"/>
        <w:rPr>
          <w:sz w:val="20"/>
          <w:szCs w:val="20"/>
          <w:color w:val="auto"/>
        </w:rPr>
      </w:pPr>
      <w:r>
        <w:rPr>
          <w:rFonts w:ascii="Arial" w:cs="Arial" w:eastAsia="Arial" w:hAnsi="Arial"/>
          <w:sz w:val="18"/>
          <w:szCs w:val="18"/>
          <w:i w:val="1"/>
          <w:iCs w:val="1"/>
          <w:color w:val="auto"/>
        </w:rPr>
        <w:t>* June Load Factor and Passenger data MTD as of June 8, 2020</w:t>
      </w:r>
    </w:p>
    <w:p>
      <w:pPr>
        <w:sectPr>
          <w:pgSz w:w="11900" w:h="16838" w:orient="portrait"/>
          <w:cols w:equalWidth="0" w:num="1">
            <w:col w:w="11240"/>
          </w:cols>
          <w:pgMar w:left="320" w:top="71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u w:val="single" w:color="auto"/>
          <w:color w:val="auto"/>
        </w:rPr>
        <w:t>CARES Act Loan Update and Unencumbered Assets Available for Financing</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applied for a secured loan in the amount of approximately $4.75 billion through the loan program under the CARES Act. Pursuant to this program, the loan is expected to be a five-year, senior secured obligation at a variable interest rate of LIBOR plus 3.50% and prepayable at any time without premium. It is the Company’s current intention to pledge its domestic AAdvantage Program assets as security for this loan. The most recent third-party appraisal has estimated the value of the AAdvantage program to be between $19.5 billion and $31.5 billion, a significant portion of which will be pledged as collateral to support the CARES Act loan. Based on this appraisal, the Company believes there is sufficient collateral to support the CARES Act loan and potentially additional financings, subject to compliance with the ultimate terms and conditions of the CARES Act loan.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Also in connection with this loan, AAG would issue to the U.S. Department of the Treasury additional warrants to purchase approximately 38.0 million shares of AAG common stock of the Company (assuming a loan of $4.75 billion) at an exercise price of $12.51 per share. The loan program warrants will be issued in addition to, and have the same terms and conditions as, the approximately 13.7 million warrants expected to be issued under the Payroll Support Program upon receipt by the Company of the full $5.8 billion of payroll assistance to be provided by the U.S. Treasury thereunder. Because these warrants provide for exercise on a “net exercise” basis, the ultimate dilutive impact of these warrants will be dependent on the market price of the Company’s common stock at the time the warrants are exercised. As of April 24, 2020, AAG had 422.9 million shares of common stock outstanding.</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Treasury loan program continues to progress, and the Company presently expects to close the loan in June 2020. However, the Company has not yet entered into a definitive agreement related to this loan, and thus final terms and conditions and closing remain subject to ongoing negotiation, entry by the parties into definitive documentation and satisfaction of closing conditions.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Beyond the value of the AAdvantage program, the Company retains assets that could be used as collateral for additional secured debt as detailed below. Except as otherwise noted by footnote, the values expressed below are based on the most recent third party appraisals received by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Unencumbered Assets Available for Financing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Asset Type</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Value ($mil)</w:t>
            </w:r>
          </w:p>
        </w:tc>
        <w:tc>
          <w:tcPr>
            <w:tcW w:w="6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Notes</w:t>
            </w:r>
          </w:p>
        </w:tc>
      </w:tr>
      <w:tr>
        <w:trPr>
          <w:trHeight w:val="404"/>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Aircraft, Parts, and Equipment</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$ 2,100</w:t>
            </w:r>
          </w:p>
        </w:tc>
        <w:tc>
          <w:tcPr>
            <w:tcW w:w="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Includes aircraft, ground service equipment, flight simulators, spare engines,</w:t>
            </w: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regional spare parts</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Slots, Gates, and Routes</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Caribbean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2,520</w:t>
            </w: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Asia and Australia</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Canada and Non EU</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263"/>
        </w:trPr>
        <w:tc>
          <w:tcPr>
            <w:tcW w:w="3400" w:type="dxa"/>
            <w:vAlign w:val="bottom"/>
          </w:tcPr>
          <w:p>
            <w:pPr>
              <w:ind w:left="40"/>
              <w:spacing w:after="0"/>
              <w:rPr>
                <w:sz w:val="20"/>
                <w:szCs w:val="20"/>
                <w:color w:val="auto"/>
              </w:rPr>
            </w:pPr>
            <w:r>
              <w:rPr>
                <w:rFonts w:ascii="Arial" w:cs="Arial" w:eastAsia="Arial" w:hAnsi="Arial"/>
                <w:sz w:val="18"/>
                <w:szCs w:val="18"/>
                <w:color w:val="auto"/>
              </w:rPr>
              <w:t>Central America and Mexico</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0" w:type="dxa"/>
            <w:vAlign w:val="bottom"/>
            <w:tcBorders>
              <w:bottom w:val="single" w:sz="8" w:color="auto"/>
            </w:tcBorders>
          </w:tcPr>
          <w:p>
            <w:pPr>
              <w:spacing w:after="0"/>
              <w:rPr>
                <w:sz w:val="22"/>
                <w:szCs w:val="22"/>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Currently encumbered by 364-day Delayed-draw Term Loan</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Total Slots, Gates, and Routes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$ 7,450</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60" w:type="dxa"/>
            <w:vAlign w:val="bottom"/>
          </w:tcPr>
          <w:p>
            <w:pPr>
              <w:spacing w:after="0"/>
              <w:rPr>
                <w:sz w:val="21"/>
                <w:szCs w:val="21"/>
                <w:color w:val="auto"/>
              </w:rPr>
            </w:pPr>
          </w:p>
        </w:tc>
      </w:tr>
      <w:tr>
        <w:trPr>
          <w:trHeight w:val="513"/>
        </w:trPr>
        <w:tc>
          <w:tcPr>
            <w:tcW w:w="3400" w:type="dxa"/>
            <w:vAlign w:val="bottom"/>
          </w:tcPr>
          <w:p>
            <w:pPr>
              <w:ind w:left="40"/>
              <w:spacing w:after="0"/>
              <w:rPr>
                <w:sz w:val="20"/>
                <w:szCs w:val="20"/>
                <w:color w:val="auto"/>
              </w:rPr>
            </w:pPr>
            <w:r>
              <w:rPr>
                <w:rFonts w:ascii="Arial" w:cs="Arial" w:eastAsia="Arial" w:hAnsi="Arial"/>
                <w:sz w:val="18"/>
                <w:szCs w:val="18"/>
                <w:color w:val="auto"/>
              </w:rPr>
              <w:t>Corporate Real Estate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314"/>
        </w:trPr>
        <w:tc>
          <w:tcPr>
            <w:tcW w:w="3400" w:type="dxa"/>
            <w:vAlign w:val="bottom"/>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Other corporate investments and assets</w:t>
            </w:r>
            <w:r>
              <w:rPr>
                <w:rFonts w:ascii="Arial" w:cs="Arial" w:eastAsia="Arial" w:hAnsi="Arial"/>
                <w:sz w:val="21"/>
                <w:szCs w:val="21"/>
                <w:color w:val="auto"/>
                <w:vertAlign w:val="superscript"/>
              </w:rPr>
              <w:t>1</w:t>
            </w:r>
          </w:p>
        </w:tc>
      </w:tr>
      <w:tr>
        <w:trPr>
          <w:trHeight w:val="199"/>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5660" w:type="dxa"/>
            <w:vAlign w:val="bottom"/>
          </w:tcPr>
          <w:p>
            <w:pPr>
              <w:spacing w:after="0"/>
              <w:rPr>
                <w:sz w:val="17"/>
                <w:szCs w:val="17"/>
                <w:color w:val="auto"/>
              </w:rPr>
            </w:pPr>
          </w:p>
        </w:tc>
      </w:tr>
      <w:tr>
        <w:trPr>
          <w:trHeight w:val="250"/>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Total Unencumbered Assets</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$ 11,130</w:t>
            </w:r>
          </w:p>
        </w:tc>
        <w:tc>
          <w:tcPr>
            <w:tcW w:w="2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5660" w:type="dxa"/>
            <w:vAlign w:val="bottom"/>
          </w:tcPr>
          <w:p>
            <w:pPr>
              <w:spacing w:after="0"/>
              <w:rPr>
                <w:sz w:val="21"/>
                <w:szCs w:val="21"/>
                <w:color w:val="auto"/>
              </w:rPr>
            </w:pPr>
          </w:p>
        </w:tc>
      </w:tr>
      <w:tr>
        <w:trPr>
          <w:trHeight w:val="20"/>
        </w:trPr>
        <w:tc>
          <w:tcPr>
            <w:tcW w:w="350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372"/>
        </w:trPr>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First Lien Available Capacity under Current Credit Facilities</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19"/>
        </w:trPr>
        <w:tc>
          <w:tcPr>
            <w:tcW w:w="3400" w:type="dxa"/>
            <w:vAlign w:val="bottom"/>
          </w:tcPr>
          <w:p>
            <w:pPr>
              <w:spacing w:after="0"/>
              <w:rPr>
                <w:sz w:val="24"/>
                <w:szCs w:val="24"/>
                <w:color w:val="auto"/>
              </w:rPr>
            </w:pPr>
          </w:p>
        </w:tc>
        <w:tc>
          <w:tcPr>
            <w:tcW w:w="7840" w:type="dxa"/>
            <w:vAlign w:val="bottom"/>
            <w:gridSpan w:val="5"/>
          </w:tcPr>
          <w:p>
            <w:pPr>
              <w:ind w:left="40"/>
              <w:spacing w:after="0"/>
              <w:rPr>
                <w:sz w:val="20"/>
                <w:szCs w:val="20"/>
                <w:color w:val="auto"/>
              </w:rPr>
            </w:pPr>
            <w:r>
              <w:rPr>
                <w:rFonts w:ascii="Arial" w:cs="Arial" w:eastAsia="Arial" w:hAnsi="Arial"/>
                <w:sz w:val="18"/>
                <w:szCs w:val="18"/>
                <w:b w:val="1"/>
                <w:bCs w:val="1"/>
                <w:color w:val="auto"/>
              </w:rPr>
              <w:t>Available Capacity ($mil)</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2014 Atlantic SGR</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$ 1,180</w:t>
            </w:r>
          </w:p>
        </w:tc>
        <w:tc>
          <w:tcPr>
            <w:tcW w:w="5660" w:type="dxa"/>
            <w:vAlign w:val="bottom"/>
          </w:tcPr>
          <w:p>
            <w:pPr>
              <w:spacing w:after="0"/>
              <w:rPr>
                <w:sz w:val="21"/>
                <w:szCs w:val="21"/>
                <w:color w:val="auto"/>
              </w:rPr>
            </w:pPr>
          </w:p>
        </w:tc>
      </w:tr>
      <w:tr>
        <w:trPr>
          <w:trHeight w:val="257"/>
        </w:trPr>
        <w:tc>
          <w:tcPr>
            <w:tcW w:w="3400" w:type="dxa"/>
            <w:vAlign w:val="bottom"/>
          </w:tcPr>
          <w:p>
            <w:pPr>
              <w:ind w:left="40"/>
              <w:spacing w:after="0"/>
              <w:rPr>
                <w:sz w:val="20"/>
                <w:szCs w:val="20"/>
                <w:color w:val="auto"/>
              </w:rPr>
            </w:pPr>
            <w:r>
              <w:rPr>
                <w:rFonts w:ascii="Arial" w:cs="Arial" w:eastAsia="Arial" w:hAnsi="Arial"/>
                <w:sz w:val="18"/>
                <w:szCs w:val="18"/>
                <w:color w:val="auto"/>
              </w:rPr>
              <w:t>2013 South America SGR</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5660" w:type="dxa"/>
            <w:vAlign w:val="bottom"/>
          </w:tcPr>
          <w:p>
            <w:pPr>
              <w:spacing w:after="0"/>
              <w:rPr>
                <w:sz w:val="22"/>
                <w:szCs w:val="22"/>
                <w:color w:val="auto"/>
              </w:rPr>
            </w:pPr>
          </w:p>
        </w:tc>
      </w:tr>
      <w:tr>
        <w:trPr>
          <w:trHeight w:val="296"/>
        </w:trPr>
        <w:tc>
          <w:tcPr>
            <w:tcW w:w="3400" w:type="dxa"/>
            <w:vAlign w:val="bottom"/>
          </w:tcPr>
          <w:p>
            <w:pPr>
              <w:ind w:left="40"/>
              <w:spacing w:after="0"/>
              <w:rPr>
                <w:sz w:val="20"/>
                <w:szCs w:val="20"/>
                <w:color w:val="auto"/>
              </w:rPr>
            </w:pPr>
            <w:r>
              <w:rPr>
                <w:rFonts w:ascii="Arial" w:cs="Arial" w:eastAsia="Arial" w:hAnsi="Arial"/>
                <w:sz w:val="18"/>
                <w:szCs w:val="18"/>
                <w:color w:val="auto"/>
              </w:rPr>
              <w:t>Apr 2016 Mainline Spare Parts</w:t>
            </w:r>
            <w:r>
              <w:rPr>
                <w:rFonts w:ascii="Arial" w:cs="Arial" w:eastAsia="Arial" w:hAnsi="Arial"/>
                <w:sz w:val="21"/>
                <w:szCs w:val="21"/>
                <w:color w:val="auto"/>
                <w:vertAlign w:val="superscript"/>
              </w:rPr>
              <w:t>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w:t>
            </w:r>
          </w:p>
        </w:tc>
        <w:tc>
          <w:tcPr>
            <w:tcW w:w="5660" w:type="dxa"/>
            <w:vAlign w:val="bottom"/>
          </w:tcPr>
          <w:p>
            <w:pPr>
              <w:spacing w:after="0"/>
              <w:rPr>
                <w:sz w:val="24"/>
                <w:szCs w:val="24"/>
                <w:color w:val="auto"/>
              </w:rPr>
            </w:pPr>
          </w:p>
        </w:tc>
      </w:tr>
      <w:tr>
        <w:trPr>
          <w:trHeight w:val="217"/>
        </w:trPr>
        <w:tc>
          <w:tcPr>
            <w:tcW w:w="3400" w:type="dxa"/>
            <w:vAlign w:val="bottom"/>
          </w:tcPr>
          <w:p>
            <w:pPr>
              <w:ind w:left="40"/>
              <w:spacing w:after="0"/>
              <w:rPr>
                <w:sz w:val="20"/>
                <w:szCs w:val="20"/>
                <w:color w:val="auto"/>
              </w:rPr>
            </w:pPr>
            <w:r>
              <w:rPr>
                <w:rFonts w:ascii="Arial" w:cs="Arial" w:eastAsia="Arial" w:hAnsi="Arial"/>
                <w:sz w:val="18"/>
                <w:szCs w:val="18"/>
                <w:color w:val="auto"/>
              </w:rPr>
              <w:t>Dec 2016 LGA/DCA Slots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5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15"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Based on Company estimates</w:t>
      </w:r>
    </w:p>
    <w:p>
      <w:pPr>
        <w:spacing w:after="0" w:line="36"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Preliminary 2020 appraised value</w:t>
      </w:r>
    </w:p>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EETC C Tranche Availability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Capacity for incremental debt is available on 2019-1, 2016-1, 2016-2, 2016-3, 2014-1, and 2015-2 existing EETCs.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risks and uncertainties faced by the Company include, but are not limited to, those set forth herein as well as in American Airlines Group Inc.’s Quarterly Report on Form 10-Q for the three months ended March 31, 2020 (especially in Part I, Item 2. Management’s Discussion and Analysis of Financial Condition and Results of Operations and Part II, Item 1A. Risk Factors), and other risks and uncertainties listed from time to time in the company’s other filings with the Securities and Exchange Commission.</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outbreak and global spread of COVID-19 has resulted in a severe decline in demand for air travel which has adversely impacted the Company’s business, operating results, financial condition and liquidity. The duration and severity of the COVID-19 pandemic, and similar public health threats that the Company may face in the future, could result in additional adverse effects on the Company’s business, operating results, financial condition and liquidity.</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the Company’s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the Company has taken a number of aggressive actions to ameliorate its business, operations and financial condition. The Company has focused on reducing its capacity, making structural changes to its fleet, implementing cost reductions, preserving cash and improving its overall liquidity position. The Company has reduced its system-wide capacity and will continue to monitor conditions and to proactively evaluate and adjust its schedule to match demand. Additionally, the Company has determined to retire certain mainline aircraft earlier than planned including Boeing 757, Boeing 767, Airbus A330-300 and Embraer 190 aircraft as well as regional aircraft, including certain Embraer 140 and Bombardier CRJ200 aircraft, which the Company expects will allow it to be more efficient by reducing the number of sub-fleets it operates. The Company has moved quickly to attempt to better align its costs with its reduced schedule and made other cost-saving initiatives (including reductions in heavy maintenance expense, the deferral of marketing expenditures and reductions in contractor, event and training expenses and management compensation). Nonetheless, the Company incurred significant negative cash flow in the first quarter of 2020, it continues to do so, and it expects to continue to do so until there is a significant recovery in demand for air travel. The duration and severity of the COVID-19 pandemic remain uncertain, and there can be no assurance that these actions will suffice to sustain the Company’s business and operations through this pandemic. The Company expects its results of operations for fiscal 2020 to be materially impacted.</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has taken and will take additional actions to improve its financial position, including measures to improve liquidity, such as obtaining financial assistance under the Coronavirus Aid, Relief, and Economic Security Act (CARES Act). The Company has been approved to receive approximately $5.8 billion from the U.S. Treasury Department through the Payroll Support Program under the CARES Act. In connection with the financial assistance the Company has received and expects to receive under the Payroll Support Program, it will be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the Company and certain of its subsidiaries are subject to substantial and continuing reporting obligations. The Company also applied for a secured loan in the amount of approximately $4.75 billion through the Loan Program under the CARES Act and is in the process of obtaining such secured loan, the timing and terms of which remain subject to ongoing negotiation, entry by the parties into definitive documentation and certain closing conditions. If the Company receives a secured loan from the U.S. Treasury Department under the Loan Program, the stock repurchase, dividend and executive compensation restrictions will remain in place through the date that is one year after such secured loan is fully repaid. The substance and duration of these restrictions may materially affect the Company’s operations, and it may not be successful in managing these impacts.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may also pursue the issuance of additional unsecured and secured debt securities, equity securities and equity-linked securities, the sale of assets and/or the entry into additional bilateral and syndicated secured and/</w:t>
      </w:r>
    </w:p>
    <w:p>
      <w:pPr>
        <w:sectPr>
          <w:pgSz w:w="11900" w:h="16838" w:orient="portrait"/>
          <w:cols w:equalWidth="0" w:num="1">
            <w:col w:w="11240"/>
          </w:cols>
          <w:pgMar w:left="320" w:top="814" w:right="339" w:bottom="1440" w:gutter="0" w:footer="0" w:header="0"/>
        </w:sectPr>
      </w:pPr>
    </w:p>
    <w:bookmarkStart w:id="4" w:name="page5"/>
    <w:bookmarkEnd w:id="4"/>
    <w:p>
      <w:pPr>
        <w:jc w:val="both"/>
        <w:spacing w:after="0" w:line="252" w:lineRule="auto"/>
        <w:rPr>
          <w:sz w:val="20"/>
          <w:szCs w:val="20"/>
          <w:color w:val="auto"/>
        </w:rPr>
      </w:pPr>
      <w:r>
        <w:rPr>
          <w:rFonts w:ascii="Arial" w:cs="Arial" w:eastAsia="Arial" w:hAnsi="Arial"/>
          <w:sz w:val="18"/>
          <w:szCs w:val="18"/>
          <w:color w:val="auto"/>
        </w:rPr>
        <w:t>or unsecured credit facilities. There can be no assurance as to the timing of any such financing transactions, which may be in the near term, or that the Company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the Company is not currently subject. The measures the Company has taken to reduce its expenditures and to improve its liquidity, and any other strategic actions that the Company may take in the future in response to COVID-19 may not be effective in offsetting decreased demand, and the Company will not be permitted to take certain strategic actions, such as prescribed levels of furloughs and lay-offs or reductions in capacity as a result of the restrictions imposed by the CARES Act, which could result in a material adverse effect on the Company’s business, operating results and financial condition.</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full extent of the ongoing impact of COVID-19 on the Company’s longer-term operational and financial performance will depend on future developments, many of which are outside the Company’s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any requirement for passengers to wear face coverings while traveling or have their temperature checked or have administered other tests or examinations prior to entering an airport or boarding an airplane, or which would limit the number of seats that can be occupied on an aircraft to allow for social distancing, the impact of COVID-19 on the financial health and operations of the Company’s business partners and future governmental actions, all of which are highly uncertain and cannot be predicted. At this time, we are also not able to predict whether the COVID-19 pandemic will result in permanent changes to our customers’ behavior, with such changes potentially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the Company’s business, financial condition and operating results. Outbreaks of other diseases could also result in increased government restrictions and regulation, such as those actions described above or otherwise, which could adversely affect the Company’s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the statements contained in this filing should be considered forward-looking statements within the meaning of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American Airlines Group Inc.’s Quarterly Report on Form 10-Q for the three months ended March 31, 2020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240"/>
          </w:cols>
          <w:pgMar w:left="320" w:top="733" w:right="3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June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96" w:lineRule="exact"/>
        <w:rPr>
          <w:sz w:val="20"/>
          <w:szCs w:val="20"/>
          <w:color w:val="auto"/>
        </w:rPr>
      </w:pPr>
    </w:p>
    <w:p>
      <w:pPr>
        <w:ind w:left="40"/>
        <w:spacing w:after="0"/>
        <w:tabs>
          <w:tab w:leader="none" w:pos="6300" w:val="left"/>
          <w:tab w:leader="none" w:pos="6880" w:val="left"/>
        </w:tabs>
        <w:rPr>
          <w:sz w:val="20"/>
          <w:szCs w:val="20"/>
          <w:color w:val="auto"/>
        </w:rPr>
      </w:pPr>
      <w:r>
        <w:rPr>
          <w:rFonts w:ascii="Arial" w:cs="Arial" w:eastAsia="Arial" w:hAnsi="Arial"/>
          <w:sz w:val="18"/>
          <w:szCs w:val="18"/>
          <w:color w:val="auto"/>
        </w:rPr>
        <w:t>Date: June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Derek J. Kerr</w:t>
      </w:r>
    </w:p>
    <w:p>
      <w:pPr>
        <w:spacing w:after="0" w:line="4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 and</w:t>
      </w:r>
    </w:p>
    <w:p>
      <w:pPr>
        <w:ind w:left="6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00"/>
      </w:cols>
      <w:pgMar w:left="320" w:top="54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17"/>
    </w:lvl>
  </w:abstractNum>
  <w:abstractNum w:abstractNumId="1">
    <w:nsid w:val="2AE8944A"/>
    <w:multiLevelType w:val="hybridMultilevel"/>
    <w:lvl w:ilvl="0">
      <w:lvlJc w:val="left"/>
      <w:lvlText w:val="(%1)"/>
      <w:numFmt w:val="decimal"/>
      <w:start w:val="817"/>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2020-06-12T07:02:25Z</dcterms:created>
  <dcterms:modified xsi:type="dcterms:W3CDTF">2020-06-12T07:02:25Z</dcterms:modified>
</cp:coreProperties>
</file>