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38100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 the Quarterly Period Ended September 30, 2014</w:t>
      </w:r>
    </w:p>
    <w:p>
      <w:pPr>
        <w:spacing w:after="0" w:line="26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ind w:left="35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34290</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Group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999"/>
              <w:spacing w:after="0"/>
              <w:rPr>
                <w:sz w:val="20"/>
                <w:szCs w:val="20"/>
                <w:color w:val="auto"/>
              </w:rPr>
            </w:pPr>
            <w:r>
              <w:rPr>
                <w:rFonts w:ascii="Arial" w:cs="Arial" w:eastAsia="Arial" w:hAnsi="Arial"/>
                <w:sz w:val="18"/>
                <w:szCs w:val="18"/>
                <w:b w:val="1"/>
                <w:bCs w:val="1"/>
                <w:color w:val="auto"/>
              </w:rPr>
              <w:t>75-1825172</w:t>
            </w:r>
          </w:p>
        </w:tc>
      </w:tr>
      <w:tr>
        <w:trPr>
          <w:trHeight w:val="218"/>
        </w:trPr>
        <w:tc>
          <w:tcPr>
            <w:tcW w:w="4680" w:type="dxa"/>
            <w:vAlign w:val="bottom"/>
          </w:tcPr>
          <w:p>
            <w:pPr>
              <w:jc w:val="center"/>
              <w:ind w:right="7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40" w:type="dxa"/>
            <w:vAlign w:val="bottom"/>
          </w:tcPr>
          <w:p>
            <w:pPr>
              <w:jc w:val="center"/>
              <w:ind w:left="73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840" w:type="dxa"/>
            <w:vAlign w:val="bottom"/>
          </w:tcPr>
          <w:p>
            <w:pPr>
              <w:jc w:val="right"/>
              <w:ind w:right="87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680" w:type="dxa"/>
            <w:vAlign w:val="bottom"/>
          </w:tcPr>
          <w:p>
            <w:pPr>
              <w:jc w:val="center"/>
              <w:ind w:right="73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840" w:type="dxa"/>
            <w:vAlign w:val="bottom"/>
          </w:tcPr>
          <w:p>
            <w:pPr>
              <w:jc w:val="center"/>
              <w:ind w:left="71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999"/>
              <w:spacing w:after="0"/>
              <w:rPr>
                <w:sz w:val="20"/>
                <w:szCs w:val="20"/>
                <w:color w:val="auto"/>
              </w:rPr>
            </w:pPr>
            <w:r>
              <w:rPr>
                <w:rFonts w:ascii="Arial" w:cs="Arial" w:eastAsia="Arial" w:hAnsi="Arial"/>
                <w:sz w:val="18"/>
                <w:szCs w:val="18"/>
                <w:b w:val="1"/>
                <w:bCs w:val="1"/>
                <w:color w:val="auto"/>
              </w:rPr>
              <w:t>13-1502798</w:t>
            </w:r>
          </w:p>
        </w:tc>
      </w:tr>
      <w:tr>
        <w:trPr>
          <w:trHeight w:val="218"/>
        </w:trPr>
        <w:tc>
          <w:tcPr>
            <w:tcW w:w="4680" w:type="dxa"/>
            <w:vAlign w:val="bottom"/>
          </w:tcPr>
          <w:p>
            <w:pPr>
              <w:jc w:val="center"/>
              <w:ind w:right="7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40" w:type="dxa"/>
            <w:vAlign w:val="bottom"/>
          </w:tcPr>
          <w:p>
            <w:pPr>
              <w:jc w:val="center"/>
              <w:ind w:left="73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840" w:type="dxa"/>
            <w:vAlign w:val="bottom"/>
          </w:tcPr>
          <w:p>
            <w:pPr>
              <w:jc w:val="right"/>
              <w:ind w:right="87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680" w:type="dxa"/>
            <w:vAlign w:val="bottom"/>
          </w:tcPr>
          <w:p>
            <w:pPr>
              <w:jc w:val="center"/>
              <w:ind w:right="73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840" w:type="dxa"/>
            <w:vAlign w:val="bottom"/>
          </w:tcPr>
          <w:p>
            <w:pPr>
              <w:jc w:val="center"/>
              <w:ind w:left="71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83" w:lineRule="exact"/>
        <w:rPr>
          <w:sz w:val="24"/>
          <w:szCs w:val="24"/>
          <w:color w:val="auto"/>
        </w:rPr>
      </w:pPr>
    </w:p>
    <w:p>
      <w:pPr>
        <w:ind w:right="140"/>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ind w:right="54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ind w:right="1900"/>
        <w:spacing w:after="0" w:line="222" w:lineRule="exact"/>
        <w:rPr>
          <w:sz w:val="20"/>
          <w:szCs w:val="20"/>
          <w:color w:val="auto"/>
        </w:rPr>
      </w:pPr>
      <w:r>
        <w:rPr>
          <w:rFonts w:ascii="Arial" w:cs="Arial" w:eastAsia="Arial" w:hAnsi="Arial"/>
          <w:sz w:val="16"/>
          <w:szCs w:val="16"/>
          <w:color w:val="auto"/>
        </w:rPr>
        <w:t xml:space="preserve">American Airlines Group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American Airlines,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9"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2"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62"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3"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As of October 17, 2014, there were 717,263,563 shares of American Airlines Group Inc. common stock outstanding.</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October 17, 2014, there were 1,000 shares of American Airlines, Inc. common stock outstanding, all of which were held by American Airlines Group Inc.</w:t>
      </w:r>
    </w:p>
    <w:p>
      <w:pPr>
        <w:sectPr>
          <w:pgSz w:w="11900" w:h="16838" w:orient="portrait"/>
          <w:cols w:equalWidth="0" w:num="1">
            <w:col w:w="11380"/>
          </w:cols>
          <w:pgMar w:left="240" w:top="522"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Period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3"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ind w:left="40"/>
              <w:spacing w:after="0"/>
              <w:rPr>
                <w:sz w:val="20"/>
                <w:szCs w:val="20"/>
                <w:color w:val="auto"/>
              </w:rPr>
            </w:pPr>
            <w:r>
              <w:rPr>
                <w:rFonts w:ascii="Arial" w:cs="Arial" w:eastAsia="Arial" w:hAnsi="Arial"/>
                <w:sz w:val="18"/>
                <w:szCs w:val="18"/>
                <w:color w:val="auto"/>
              </w:rPr>
              <w:t>Item 1A.</w:t>
            </w:r>
          </w:p>
        </w:tc>
        <w:tc>
          <w:tcPr>
            <w:tcW w:w="9920" w:type="dxa"/>
            <w:vAlign w:val="bottom"/>
          </w:tcPr>
          <w:p>
            <w:pPr>
              <w:ind w:left="200"/>
              <w:spacing w:after="0"/>
              <w:rPr>
                <w:sz w:val="20"/>
                <w:szCs w:val="20"/>
                <w:color w:val="auto"/>
              </w:rPr>
            </w:pPr>
            <w:r>
              <w:rPr>
                <w:rFonts w:ascii="Arial" w:cs="Arial" w:eastAsia="Arial" w:hAnsi="Arial"/>
                <w:sz w:val="18"/>
                <w:szCs w:val="18"/>
                <w:color w:val="auto"/>
              </w:rPr>
              <w:t>Condensed Consolidated Financial Statements of American Airlines Group Inc.</w:t>
            </w:r>
          </w:p>
        </w:tc>
        <w:tc>
          <w:tcPr>
            <w:tcW w:w="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860" w:type="dxa"/>
            <w:vAlign w:val="bottom"/>
            <w:shd w:val="clear" w:color="auto" w:fill="CCEEFF"/>
          </w:tcPr>
          <w:p>
            <w:pPr>
              <w:spacing w:after="0"/>
              <w:rPr>
                <w:sz w:val="17"/>
                <w:szCs w:val="17"/>
                <w:color w:val="auto"/>
              </w:rPr>
            </w:pPr>
          </w:p>
        </w:tc>
        <w:tc>
          <w:tcPr>
            <w:tcW w:w="9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86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860" w:type="dxa"/>
            <w:vAlign w:val="bottom"/>
          </w:tcPr>
          <w:p>
            <w:pPr>
              <w:spacing w:after="0"/>
              <w:rPr>
                <w:sz w:val="17"/>
                <w:szCs w:val="17"/>
                <w:color w:val="auto"/>
              </w:rPr>
            </w:pP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180" w:type="dxa"/>
            <w:vAlign w:val="bottom"/>
            <w:gridSpan w:val="2"/>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860" w:type="dxa"/>
            <w:vAlign w:val="bottom"/>
            <w:shd w:val="clear" w:color="auto" w:fill="CCEEFF"/>
          </w:tcPr>
          <w:p>
            <w:pPr>
              <w:spacing w:after="0"/>
              <w:rPr>
                <w:sz w:val="17"/>
                <w:szCs w:val="17"/>
                <w:color w:val="auto"/>
              </w:rPr>
            </w:pPr>
          </w:p>
        </w:tc>
        <w:tc>
          <w:tcPr>
            <w:tcW w:w="9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860" w:type="dxa"/>
            <w:vAlign w:val="bottom"/>
            <w:tcBorders>
              <w:top w:val="single" w:sz="8" w:color="CCEEFF"/>
            </w:tcBorders>
            <w:shd w:val="clear" w:color="auto" w:fill="CCEEFF"/>
          </w:tcPr>
          <w:p>
            <w:pPr>
              <w:spacing w:after="0"/>
              <w:rPr>
                <w:sz w:val="4"/>
                <w:szCs w:val="4"/>
                <w:color w:val="auto"/>
              </w:rPr>
            </w:pPr>
          </w:p>
        </w:tc>
        <w:tc>
          <w:tcPr>
            <w:tcW w:w="9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860" w:type="dxa"/>
            <w:vAlign w:val="bottom"/>
          </w:tcPr>
          <w:p>
            <w:pPr>
              <w:spacing w:after="0"/>
              <w:rPr>
                <w:sz w:val="17"/>
                <w:szCs w:val="17"/>
                <w:color w:val="auto"/>
              </w:rPr>
            </w:pP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gridSpan w:val="2"/>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Financial Statements of American Airlines, Inc.</w:t>
            </w:r>
          </w:p>
        </w:tc>
        <w:tc>
          <w:tcPr>
            <w:tcW w:w="260" w:type="dxa"/>
            <w:vAlign w:val="bottom"/>
            <w:gridSpan w:val="3"/>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38</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spacing w:after="0"/>
              <w:rPr>
                <w:sz w:val="17"/>
                <w:szCs w:val="17"/>
                <w:color w:val="auto"/>
              </w:rPr>
            </w:pP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260" w:type="dxa"/>
            <w:vAlign w:val="bottom"/>
            <w:gridSpan w:val="3"/>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39</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40</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spacing w:after="0"/>
              <w:rPr>
                <w:sz w:val="17"/>
                <w:szCs w:val="17"/>
                <w:color w:val="auto"/>
              </w:rPr>
            </w:pP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260" w:type="dxa"/>
            <w:vAlign w:val="bottom"/>
            <w:gridSpan w:val="3"/>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41</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 w:type="dxa"/>
            <w:vAlign w:val="bottom"/>
            <w:gridSpan w:val="3"/>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59</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92</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260" w:type="dxa"/>
            <w:vAlign w:val="bottom"/>
            <w:gridSpan w:val="3"/>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94</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spacing w:after="0"/>
              <w:rPr>
                <w:sz w:val="21"/>
                <w:szCs w:val="21"/>
                <w:color w:val="auto"/>
              </w:rPr>
            </w:pPr>
          </w:p>
        </w:tc>
        <w:tc>
          <w:tcPr>
            <w:tcW w:w="9920" w:type="dxa"/>
            <w:vAlign w:val="bottom"/>
            <w:tcBorders>
              <w:bottom w:val="single" w:sz="8" w:color="CCEEFF"/>
            </w:tcBorders>
            <w:shd w:val="clear" w:color="auto" w:fill="CCEEFF"/>
          </w:tcPr>
          <w:p>
            <w:pPr>
              <w:ind w:left="3560"/>
              <w:spacing w:after="0"/>
              <w:rPr>
                <w:sz w:val="20"/>
                <w:szCs w:val="20"/>
                <w:color w:val="auto"/>
              </w:rPr>
            </w:pPr>
            <w:r>
              <w:rPr>
                <w:rFonts w:ascii="Arial" w:cs="Arial" w:eastAsia="Arial" w:hAnsi="Arial"/>
                <w:sz w:val="18"/>
                <w:szCs w:val="18"/>
                <w:color w:val="auto"/>
              </w:rPr>
              <w:t>PART II: OTHER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260" w:type="dxa"/>
            <w:vAlign w:val="bottom"/>
            <w:gridSpan w:val="3"/>
          </w:tcPr>
          <w:p>
            <w:pPr>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95</w:t>
              </w:r>
            </w:hyperlink>
          </w:p>
        </w:tc>
        <w:tc>
          <w:tcPr>
            <w:tcW w:w="380" w:type="dxa"/>
            <w:vAlign w:val="bottom"/>
          </w:tcPr>
          <w:p>
            <w:pPr>
              <w:spacing w:after="0"/>
              <w:rPr>
                <w:sz w:val="17"/>
                <w:szCs w:val="17"/>
                <w:color w:val="auto"/>
              </w:rPr>
            </w:pPr>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96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6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20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640" w:type="dxa"/>
            <w:vAlign w:val="bottom"/>
            <w:gridSpan w:val="4"/>
          </w:tcPr>
          <w:p>
            <w:pPr>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113</w:t>
              </w:r>
            </w:hyperlink>
          </w:p>
        </w:tc>
      </w:tr>
      <w:tr>
        <w:trPr>
          <w:trHeight w:val="48"/>
        </w:trPr>
        <w:tc>
          <w:tcPr>
            <w:tcW w:w="860" w:type="dxa"/>
            <w:vAlign w:val="bottom"/>
          </w:tcPr>
          <w:p>
            <w:pPr>
              <w:spacing w:after="0"/>
              <w:rPr>
                <w:sz w:val="4"/>
                <w:szCs w:val="4"/>
                <w:color w:val="auto"/>
              </w:rPr>
            </w:pPr>
          </w:p>
        </w:tc>
        <w:tc>
          <w:tcPr>
            <w:tcW w:w="9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260" w:type="dxa"/>
            <w:vAlign w:val="bottom"/>
            <w:tcBorders>
              <w:bottom w:val="single" w:sz="8" w:color="0000EE"/>
            </w:tcBorders>
            <w:gridSpan w:val="3"/>
            <w:shd w:val="clear" w:color="auto" w:fill="CCEEFF"/>
          </w:tcPr>
          <w:p>
            <w:pPr>
              <w:spacing w:after="0" w:line="202" w:lineRule="exact"/>
              <w:rPr>
                <w:rFonts w:ascii="Arial" w:cs="Arial" w:eastAsia="Arial" w:hAnsi="Arial"/>
                <w:sz w:val="18"/>
                <w:szCs w:val="18"/>
                <w:color w:val="0000EE"/>
                <w:w w:val="79"/>
              </w:rPr>
            </w:pPr>
            <w:hyperlink w:anchor="page113">
              <w:r>
                <w:rPr>
                  <w:rFonts w:ascii="Arial" w:cs="Arial" w:eastAsia="Arial" w:hAnsi="Arial"/>
                  <w:sz w:val="18"/>
                  <w:szCs w:val="18"/>
                  <w:color w:val="0000EE"/>
                  <w:w w:val="79"/>
                </w:rPr>
                <w:t>114</w:t>
              </w:r>
            </w:hyperlink>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1078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SIGNATURES</w:t>
            </w:r>
          </w:p>
        </w:tc>
        <w:tc>
          <w:tcPr>
            <w:tcW w:w="640" w:type="dxa"/>
            <w:vAlign w:val="bottom"/>
            <w:gridSpan w:val="4"/>
          </w:tcPr>
          <w:p>
            <w:pPr>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115</w:t>
              </w:r>
            </w:hyperlink>
          </w:p>
        </w:tc>
      </w:tr>
      <w:tr>
        <w:trPr>
          <w:trHeight w:val="507"/>
        </w:trPr>
        <w:tc>
          <w:tcPr>
            <w:tcW w:w="860" w:type="dxa"/>
            <w:vAlign w:val="bottom"/>
          </w:tcPr>
          <w:p>
            <w:pPr>
              <w:spacing w:after="0"/>
              <w:rPr>
                <w:sz w:val="24"/>
                <w:szCs w:val="24"/>
                <w:color w:val="auto"/>
              </w:rPr>
            </w:pPr>
          </w:p>
        </w:tc>
        <w:tc>
          <w:tcPr>
            <w:tcW w:w="9920" w:type="dxa"/>
            <w:vAlign w:val="bottom"/>
          </w:tcPr>
          <w:p>
            <w:pPr>
              <w:ind w:left="480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jc w:val="both"/>
        <w:ind w:firstLine="648"/>
        <w:spacing w:after="0" w:line="271" w:lineRule="auto"/>
        <w:rPr>
          <w:sz w:val="20"/>
          <w:szCs w:val="20"/>
          <w:color w:val="auto"/>
        </w:rPr>
      </w:pPr>
      <w:r>
        <w:rPr>
          <w:rFonts w:ascii="Arial" w:cs="Arial" w:eastAsia="Arial" w:hAnsi="Arial"/>
          <w:sz w:val="17"/>
          <w:szCs w:val="17"/>
          <w:color w:val="auto"/>
        </w:rPr>
        <w:t>This combined Quarterly Report on Form 10-Q is filed by American Airlines Group Inc. (formerly named AMR Corporation) (AAG) and its wholly-owned subsidiary American Airlines, Inc. (American). References in this Quarterly Report on Form 10-Q to "we," "us," "our" and the "Company" refer to AAG and its consolidated subsidiaries. As more fully described below, on December 9, 2013, a subsidiary of AMR Corporation merged with and into US Airways Group, Inc. (US Airways Group), which survived as a wholly-owned subsidiary of AAG (the Merger). Accordingly, unless otherwise indicated, information in this Quarterly Report on Form 10-Q regarding the Company's condensed consolidated results of operations includes the results of American, US Airways Group and US Airways, Inc. (US Airways) for the quarter and nine months ended September 30, 2014. "AMR" refers to the Company during the period of time prior to its emergence from Chapter 11 and its acquisition of US Airways Group. References in this Quarterly Report on Form 10-Q to "mainline" refer to the operations of American and US Airways, as applicable, and exclude regional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limitations of our historical consolidated financial information, which is not directly comparable to our financial information for prior or future periods;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to which the airline industry is subject;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costs of ongoing data security compliance requirements and the impact of any significant data security breach;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3" w:name="page4"/>
    <w:bookmarkEnd w:id="3"/>
    <w:p>
      <w:pPr>
        <w:jc w:val="both"/>
        <w:spacing w:after="0" w:line="269" w:lineRule="auto"/>
        <w:rPr>
          <w:sz w:val="20"/>
          <w:szCs w:val="20"/>
          <w:color w:val="auto"/>
        </w:rPr>
      </w:pPr>
      <w:r>
        <w:rPr>
          <w:rFonts w:ascii="Arial" w:cs="Arial" w:eastAsia="Arial" w:hAnsi="Arial"/>
          <w:sz w:val="17"/>
          <w:szCs w:val="17"/>
          <w:color w:val="auto"/>
        </w:rPr>
        <w:t>possible future increases in insurance costs or reductions in available insurance coverage; the effect of several lawsuits that were filed in connection with the Merger and remain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Quarterly Report on Form 10-Q (especially in Part II, Item 1A -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64" w:right="319" w:bottom="1440" w:gutter="0" w:footer="0" w:header="0"/>
        </w:sectPr>
      </w:pPr>
    </w:p>
    <w:bookmarkStart w:id="5" w:name="page6"/>
    <w:bookmarkEnd w:id="5"/>
    <w:p>
      <w:pPr>
        <w:ind w:left="1340"/>
        <w:spacing w:after="0"/>
        <w:tabs>
          <w:tab w:leader="none" w:pos="3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AMERICAN AIRLINES GROUP INC. CONDENSED CONSOLIDATED FINANCIAL</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880" w:type="dxa"/>
            <w:vAlign w:val="bottom"/>
            <w:gridSpan w:val="4"/>
          </w:tcPr>
          <w:p>
            <w:pPr>
              <w:jc w:val="right"/>
              <w:ind w:right="210"/>
              <w:spacing w:after="0"/>
              <w:rPr>
                <w:sz w:val="20"/>
                <w:szCs w:val="20"/>
                <w:color w:val="auto"/>
              </w:rPr>
            </w:pPr>
            <w:r>
              <w:rPr>
                <w:rFonts w:ascii="Arial" w:cs="Arial" w:eastAsia="Arial" w:hAnsi="Arial"/>
                <w:sz w:val="18"/>
                <w:szCs w:val="18"/>
                <w:color w:val="auto"/>
                <w:w w:val="98"/>
              </w:rPr>
              <w:t>Nine Months Ended</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1880" w:type="dxa"/>
            <w:vAlign w:val="bottom"/>
            <w:gridSpan w:val="4"/>
          </w:tcPr>
          <w:p>
            <w:pPr>
              <w:jc w:val="right"/>
              <w:ind w:right="4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23,564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Cargo</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1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11,139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6,828</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32,490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19,375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4,919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nonoperating expense, net</w:t>
            </w:r>
          </w:p>
        </w:tc>
        <w:tc>
          <w:tcPr>
            <w:tcW w:w="1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reorganization items, net</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Income tax provision (benefit)</w:t>
            </w:r>
          </w:p>
        </w:tc>
        <w:tc>
          <w:tcPr>
            <w:tcW w:w="1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2,285</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Basic</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546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1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719,067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249,719</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721,213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249,599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1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735,196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289,036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737,100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288,339</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580" w:type="dxa"/>
            <w:vAlign w:val="bottom"/>
            <w:vMerge w:val="restart"/>
          </w:tcPr>
          <w:p>
            <w:pPr>
              <w:jc w:val="right"/>
              <w:ind w:right="119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4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GROUP INC.</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8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5"/>
          </w:tcPr>
          <w:p>
            <w:pPr>
              <w:ind w:left="20"/>
              <w:spacing w:after="0"/>
              <w:rPr>
                <w:sz w:val="20"/>
                <w:szCs w:val="20"/>
                <w:color w:val="auto"/>
              </w:rPr>
            </w:pPr>
            <w:r>
              <w:rPr>
                <w:rFonts w:ascii="Arial" w:cs="Arial" w:eastAsia="Arial" w:hAnsi="Arial"/>
                <w:sz w:val="18"/>
                <w:szCs w:val="18"/>
                <w:color w:val="auto"/>
                <w:w w:val="97"/>
              </w:rPr>
              <w:t>Three Months Ended September 30,</w:t>
            </w:r>
          </w:p>
        </w:tc>
        <w:tc>
          <w:tcPr>
            <w:tcW w:w="160" w:type="dxa"/>
            <w:vAlign w:val="bottom"/>
          </w:tcPr>
          <w:p>
            <w:pPr>
              <w:spacing w:after="0"/>
              <w:rPr>
                <w:sz w:val="24"/>
                <w:szCs w:val="24"/>
                <w:color w:val="auto"/>
              </w:rPr>
            </w:pPr>
          </w:p>
        </w:tc>
        <w:tc>
          <w:tcPr>
            <w:tcW w:w="276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Change in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Reclassification into earnings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 (loss) on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Net change in value</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Reversal of non-cash tax provision</w:t>
            </w:r>
          </w:p>
        </w:tc>
        <w:tc>
          <w:tcPr>
            <w:tcW w:w="1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restart"/>
          </w:tcPr>
          <w:p>
            <w:pPr>
              <w:jc w:val="right"/>
              <w:ind w:right="10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September 30, 2014</w:t>
            </w:r>
          </w:p>
        </w:tc>
        <w:tc>
          <w:tcPr>
            <w:tcW w:w="200" w:type="dxa"/>
            <w:vAlign w:val="bottom"/>
          </w:tcPr>
          <w:p>
            <w:pPr>
              <w:spacing w:after="0"/>
              <w:rPr>
                <w:sz w:val="15"/>
                <w:szCs w:val="15"/>
                <w:color w:val="auto"/>
              </w:rPr>
            </w:pPr>
          </w:p>
        </w:tc>
        <w:tc>
          <w:tcPr>
            <w:tcW w:w="1520" w:type="dxa"/>
            <w:vAlign w:val="bottom"/>
          </w:tcPr>
          <w:p>
            <w:pPr>
              <w:jc w:val="right"/>
              <w:ind w:right="250"/>
              <w:spacing w:after="0"/>
              <w:rPr>
                <w:sz w:val="20"/>
                <w:szCs w:val="20"/>
                <w:color w:val="auto"/>
              </w:rPr>
            </w:pPr>
            <w:r>
              <w:rPr>
                <w:rFonts w:ascii="Arial" w:cs="Arial" w:eastAsia="Arial" w:hAnsi="Arial"/>
                <w:sz w:val="14"/>
                <w:szCs w:val="14"/>
                <w:color w:val="auto"/>
                <w:w w:val="95"/>
              </w:rPr>
              <w:t>December 31, 2013</w:t>
            </w:r>
          </w:p>
        </w:tc>
        <w:tc>
          <w:tcPr>
            <w:tcW w:w="0" w:type="dxa"/>
            <w:vAlign w:val="bottom"/>
          </w:tcPr>
          <w:p>
            <w:pPr>
              <w:spacing w:after="0"/>
              <w:rPr>
                <w:sz w:val="1"/>
                <w:szCs w:val="1"/>
                <w:color w:val="auto"/>
              </w:rPr>
            </w:pPr>
          </w:p>
        </w:tc>
      </w:tr>
      <w:tr>
        <w:trPr>
          <w:trHeight w:val="177"/>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Cash</w:t>
            </w: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16"/>
                <w:szCs w:val="16"/>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8,111</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Restricted cash and short-term investments</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875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1,961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Aircraft fuel, spare parts and supplies, net</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1,182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13,450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14,323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Flight equipment</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27,212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23,730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Ground property and equipment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5,812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Equipment purchase deposits</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property and equipment, at cost</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34,196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30,392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(12,033)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(11,133)</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property and equipment, net</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22,163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19,259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4,089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Intangibles, net of accumulated amortization of $435 and $373, respectively</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500"/>
              <w:spacing w:after="0"/>
              <w:rPr>
                <w:sz w:val="20"/>
                <w:szCs w:val="20"/>
                <w:color w:val="auto"/>
              </w:rPr>
            </w:pPr>
            <w:r>
              <w:rPr>
                <w:rFonts w:ascii="Arial" w:cs="Arial" w:eastAsia="Arial" w:hAnsi="Arial"/>
                <w:sz w:val="14"/>
                <w:szCs w:val="14"/>
                <w:color w:val="auto"/>
              </w:rPr>
              <w:t>Total other assets</w:t>
            </w: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8,560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44,173</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42,278</w:t>
            </w:r>
          </w:p>
        </w:tc>
        <w:tc>
          <w:tcPr>
            <w:tcW w:w="0" w:type="dxa"/>
            <w:vAlign w:val="bottom"/>
          </w:tcPr>
          <w:p>
            <w:pPr>
              <w:spacing w:after="0"/>
              <w:rPr>
                <w:sz w:val="1"/>
                <w:szCs w:val="1"/>
                <w:color w:val="auto"/>
              </w:rPr>
            </w:pPr>
          </w:p>
        </w:tc>
      </w:tr>
      <w:tr>
        <w:trPr>
          <w:trHeight w:val="60"/>
        </w:trPr>
        <w:tc>
          <w:tcPr>
            <w:tcW w:w="78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 (DEFICIT)</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Current maturities of long-term debt and capital leases</w:t>
            </w: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6"/>
                <w:szCs w:val="16"/>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Accrued salaries and wages</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1,054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Air traffic liability</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4,952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Frequent flyer liability</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2,871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accrued liabilities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13,888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13,806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Long-term debt and capital leases, net of current maturities</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15,651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15,353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4,964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Deferred gains and credits, net</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Mandatorily convertible preferred stock and other bankruptcy settlement obligations</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liabilities</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25,314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31,203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860" w:type="dxa"/>
            <w:vAlign w:val="bottom"/>
          </w:tcPr>
          <w:p>
            <w:pPr>
              <w:ind w:left="180"/>
              <w:spacing w:after="0"/>
              <w:rPr>
                <w:sz w:val="20"/>
                <w:szCs w:val="20"/>
                <w:color w:val="auto"/>
              </w:rPr>
            </w:pPr>
            <w:r>
              <w:rPr>
                <w:rFonts w:ascii="Arial" w:cs="Arial" w:eastAsia="Arial" w:hAnsi="Arial"/>
                <w:sz w:val="14"/>
                <w:szCs w:val="14"/>
                <w:color w:val="auto"/>
                <w:w w:val="97"/>
              </w:rPr>
              <w:t>Common stock, $0.01 par value; 1,750,000,000 shares authorized, 717,257,567 shares outstanding as of September 30, 2014;</w:t>
            </w: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60" w:type="dxa"/>
            <w:vAlign w:val="bottom"/>
          </w:tcPr>
          <w:p>
            <w:pPr>
              <w:ind w:left="180"/>
              <w:spacing w:after="0"/>
              <w:rPr>
                <w:sz w:val="20"/>
                <w:szCs w:val="20"/>
                <w:color w:val="auto"/>
              </w:rPr>
            </w:pPr>
            <w:r>
              <w:rPr>
                <w:rFonts w:ascii="Arial" w:cs="Arial" w:eastAsia="Arial" w:hAnsi="Arial"/>
                <w:sz w:val="14"/>
                <w:szCs w:val="14"/>
                <w:color w:val="auto"/>
              </w:rPr>
              <w:t>526,805,522 shares outstanding as of December 31, 2013.</w:t>
            </w:r>
          </w:p>
        </w:tc>
        <w:tc>
          <w:tcPr>
            <w:tcW w:w="200" w:type="dxa"/>
            <w:vAlign w:val="bottom"/>
          </w:tcPr>
          <w:p>
            <w:pPr>
              <w:spacing w:after="0"/>
              <w:rPr>
                <w:sz w:val="16"/>
                <w:szCs w:val="16"/>
                <w:color w:val="auto"/>
              </w:rPr>
            </w:pPr>
          </w:p>
        </w:tc>
        <w:tc>
          <w:tcPr>
            <w:tcW w:w="152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15,943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10,592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(1,893)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(11,296)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5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500"/>
              <w:spacing w:after="0"/>
              <w:rPr>
                <w:sz w:val="20"/>
                <w:szCs w:val="20"/>
                <w:color w:val="auto"/>
              </w:rPr>
            </w:pPr>
            <w:r>
              <w:rPr>
                <w:rFonts w:ascii="Arial" w:cs="Arial" w:eastAsia="Arial" w:hAnsi="Arial"/>
                <w:sz w:val="14"/>
                <w:szCs w:val="14"/>
                <w:color w:val="auto"/>
              </w:rPr>
              <w:t>Total stockholders' equity (deficit)</w:t>
            </w:r>
          </w:p>
        </w:tc>
        <w:tc>
          <w:tcPr>
            <w:tcW w:w="200" w:type="dxa"/>
            <w:vAlign w:val="bottom"/>
          </w:tcPr>
          <w:p>
            <w:pPr>
              <w:spacing w:after="0"/>
              <w:rPr>
                <w:sz w:val="14"/>
                <w:szCs w:val="14"/>
                <w:color w:val="auto"/>
              </w:rPr>
            </w:pPr>
          </w:p>
        </w:tc>
        <w:tc>
          <w:tcPr>
            <w:tcW w:w="1520" w:type="dxa"/>
            <w:vAlign w:val="bottom"/>
            <w:vMerge w:val="restart"/>
          </w:tcPr>
          <w:p>
            <w:pPr>
              <w:jc w:val="right"/>
              <w:ind w:right="30"/>
              <w:spacing w:after="0"/>
              <w:rPr>
                <w:sz w:val="20"/>
                <w:szCs w:val="20"/>
                <w:color w:val="auto"/>
              </w:rPr>
            </w:pPr>
            <w:r>
              <w:rPr>
                <w:rFonts w:ascii="Arial" w:cs="Arial" w:eastAsia="Arial" w:hAnsi="Arial"/>
                <w:sz w:val="14"/>
                <w:szCs w:val="14"/>
                <w:color w:val="auto"/>
              </w:rPr>
              <w:t>4,971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44,173</w:t>
            </w: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42,278</w:t>
            </w:r>
          </w:p>
        </w:tc>
        <w:tc>
          <w:tcPr>
            <w:tcW w:w="0" w:type="dxa"/>
            <w:vAlign w:val="bottom"/>
          </w:tcPr>
          <w:p>
            <w:pPr>
              <w:spacing w:after="0"/>
              <w:rPr>
                <w:sz w:val="1"/>
                <w:szCs w:val="1"/>
                <w:color w:val="auto"/>
              </w:rPr>
            </w:pPr>
          </w:p>
        </w:tc>
      </w:tr>
      <w:tr>
        <w:trPr>
          <w:trHeight w:val="60"/>
        </w:trPr>
        <w:tc>
          <w:tcPr>
            <w:tcW w:w="786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206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040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jc w:val="right"/>
              <w:spacing w:after="0"/>
              <w:rPr>
                <w:sz w:val="20"/>
                <w:szCs w:val="20"/>
                <w:color w:val="auto"/>
              </w:rPr>
            </w:pPr>
            <w:r>
              <w:rPr>
                <w:rFonts w:ascii="Arial" w:cs="Arial" w:eastAsia="Arial" w:hAnsi="Arial"/>
                <w:sz w:val="17"/>
                <w:szCs w:val="17"/>
                <w:color w:val="auto"/>
              </w:rPr>
              <w:t>2014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5"/>
              <w:spacing w:after="0"/>
              <w:rPr>
                <w:sz w:val="20"/>
                <w:szCs w:val="20"/>
                <w:color w:val="auto"/>
              </w:rPr>
            </w:pPr>
            <w:r>
              <w:rPr>
                <w:rFonts w:ascii="Arial" w:cs="Arial" w:eastAsia="Arial" w:hAnsi="Arial"/>
                <w:sz w:val="17"/>
                <w:szCs w:val="17"/>
                <w:color w:val="auto"/>
              </w:rPr>
              <w:t>2013</w:t>
            </w:r>
          </w:p>
        </w:tc>
      </w:tr>
      <w:tr>
        <w:trPr>
          <w:trHeight w:val="31"/>
        </w:trPr>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1000" w:type="dxa"/>
            <w:vAlign w:val="bottom"/>
          </w:tcPr>
          <w:p>
            <w:pPr>
              <w:jc w:val="right"/>
              <w:ind w:right="795"/>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2,276</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1,887</w:t>
            </w:r>
          </w:p>
        </w:tc>
      </w:tr>
    </w:tbl>
    <w:p>
      <w:pPr>
        <w:spacing w:after="0" w:line="300" w:lineRule="exact"/>
        <w:rPr>
          <w:sz w:val="20"/>
          <w:szCs w:val="20"/>
          <w:color w:val="auto"/>
        </w:rPr>
      </w:pPr>
    </w:p>
    <w:p>
      <w:pPr>
        <w:sectPr>
          <w:pgSz w:w="11900" w:h="16838" w:orient="portrait"/>
          <w:cols w:equalWidth="0" w:num="2">
            <w:col w:w="7480" w:space="720"/>
            <w:col w:w="322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Capital expenditures and aircraft purchase deposits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(2,400)</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Decrease (increase) in short-term investments</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1,390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(2,634)</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Decrease (increase) in restricted cash and short-term investments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Net proceeds from slot transaction</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and equipment</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w:t>
            </w:r>
          </w:p>
        </w:tc>
      </w:tr>
      <w:tr>
        <w:trPr>
          <w:trHeight w:val="219"/>
        </w:trPr>
        <w:tc>
          <w:tcPr>
            <w:tcW w:w="8200" w:type="dxa"/>
            <w:vAlign w:val="bottom"/>
          </w:tcPr>
          <w:p>
            <w:pPr>
              <w:ind w:left="500"/>
              <w:spacing w:after="0"/>
              <w:rPr>
                <w:sz w:val="20"/>
                <w:szCs w:val="20"/>
                <w:color w:val="auto"/>
              </w:rPr>
            </w:pPr>
            <w:r>
              <w:rPr>
                <w:rFonts w:ascii="Arial" w:cs="Arial" w:eastAsia="Arial" w:hAnsi="Arial"/>
                <w:sz w:val="17"/>
                <w:szCs w:val="17"/>
                <w:color w:val="auto"/>
              </w:rPr>
              <w:t>Net cash used in investing activities</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(2,125)</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(5,092)</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Payments on long-term debt and capital leases</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(2,780)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(2,052)</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4,082</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Sale-leaseback transactions</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1,496</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Treasury stock repurchases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Dividend payment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Premium paid for debt extinguishment</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Deferred financing costs</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Exercise of stock options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Net cash provided by (used in)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3,442</w:t>
            </w:r>
          </w:p>
        </w:tc>
      </w:tr>
      <w:tr>
        <w:trPr>
          <w:trHeight w:val="219"/>
        </w:trPr>
        <w:tc>
          <w:tcPr>
            <w:tcW w:w="8200" w:type="dxa"/>
            <w:vAlign w:val="bottom"/>
          </w:tcPr>
          <w:p>
            <w:pPr>
              <w:ind w:left="40"/>
              <w:spacing w:after="0"/>
              <w:rPr>
                <w:sz w:val="20"/>
                <w:szCs w:val="20"/>
                <w:color w:val="auto"/>
              </w:rPr>
            </w:pPr>
            <w:r>
              <w:rPr>
                <w:rFonts w:ascii="Arial" w:cs="Arial" w:eastAsia="Arial" w:hAnsi="Arial"/>
                <w:sz w:val="17"/>
                <w:szCs w:val="17"/>
                <w:color w:val="auto"/>
              </w:rPr>
              <w:t>Net increase in cash</w:t>
            </w: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237</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at beginning of period</w:t>
            </w: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r>
      <w:tr>
        <w:trPr>
          <w:trHeight w:val="219"/>
        </w:trPr>
        <w:tc>
          <w:tcPr>
            <w:tcW w:w="8200" w:type="dxa"/>
            <w:vAlign w:val="bottom"/>
          </w:tcPr>
          <w:p>
            <w:pPr>
              <w:ind w:left="40"/>
              <w:spacing w:after="0"/>
              <w:rPr>
                <w:sz w:val="20"/>
                <w:szCs w:val="20"/>
                <w:color w:val="auto"/>
              </w:rPr>
            </w:pPr>
            <w:r>
              <w:rPr>
                <w:rFonts w:ascii="Arial" w:cs="Arial" w:eastAsia="Arial" w:hAnsi="Arial"/>
                <w:sz w:val="17"/>
                <w:szCs w:val="17"/>
                <w:color w:val="auto"/>
              </w:rPr>
              <w:t>Cash at end of period</w:t>
            </w: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1,178</w:t>
            </w:r>
          </w:p>
        </w:tc>
        <w:tc>
          <w:tcPr>
            <w:tcW w:w="100" w:type="dxa"/>
            <w:vAlign w:val="bottom"/>
          </w:tcPr>
          <w:p>
            <w:pPr>
              <w:spacing w:after="0"/>
              <w:rPr>
                <w:sz w:val="19"/>
                <w:szCs w:val="19"/>
                <w:color w:val="auto"/>
              </w:rPr>
            </w:pPr>
          </w:p>
        </w:tc>
        <w:tc>
          <w:tcPr>
            <w:tcW w:w="560" w:type="dxa"/>
            <w:vAlign w:val="bottom"/>
            <w:tcBorders>
              <w:top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717</w:t>
            </w:r>
          </w:p>
        </w:tc>
      </w:tr>
      <w:tr>
        <w:trPr>
          <w:trHeight w:val="71"/>
        </w:trPr>
        <w:tc>
          <w:tcPr>
            <w:tcW w:w="82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318"/>
        </w:trPr>
        <w:tc>
          <w:tcPr>
            <w:tcW w:w="82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6"/>
        </w:trPr>
        <w:tc>
          <w:tcPr>
            <w:tcW w:w="8200" w:type="dxa"/>
            <w:vAlign w:val="bottom"/>
          </w:tcPr>
          <w:p>
            <w:pPr>
              <w:ind w:left="40"/>
              <w:spacing w:after="0"/>
              <w:rPr>
                <w:sz w:val="20"/>
                <w:szCs w:val="20"/>
                <w:color w:val="auto"/>
              </w:rPr>
            </w:pPr>
            <w:r>
              <w:rPr>
                <w:rFonts w:ascii="Arial" w:cs="Arial" w:eastAsia="Arial" w:hAnsi="Arial"/>
                <w:sz w:val="17"/>
                <w:szCs w:val="17"/>
                <w:color w:val="auto"/>
              </w:rPr>
              <w:t>Non-cash investing and financing activities: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5"/>
        </w:trPr>
        <w:tc>
          <w:tcPr>
            <w:tcW w:w="8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Settlement of bankruptcy obligations</w:t>
            </w: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Capital lease obligations</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information:</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8200" w:type="dxa"/>
            <w:vAlign w:val="bottom"/>
          </w:tcPr>
          <w:p>
            <w:pPr>
              <w:ind w:left="280"/>
              <w:spacing w:after="0"/>
              <w:rPr>
                <w:sz w:val="20"/>
                <w:szCs w:val="20"/>
                <w:color w:val="auto"/>
              </w:rPr>
            </w:pPr>
            <w:r>
              <w:rPr>
                <w:rFonts w:ascii="Arial" w:cs="Arial" w:eastAsia="Arial" w:hAnsi="Arial"/>
                <w:sz w:val="17"/>
                <w:szCs w:val="17"/>
                <w:color w:val="auto"/>
              </w:rPr>
              <w:t>Interest paid, net of amounts capitalized</w:t>
            </w: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431</w:t>
            </w:r>
          </w:p>
        </w:tc>
      </w:tr>
      <w:tr>
        <w:trPr>
          <w:trHeight w:val="31"/>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9"/>
        </w:trPr>
        <w:tc>
          <w:tcPr>
            <w:tcW w:w="8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paid</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31"/>
        </w:trPr>
        <w:tc>
          <w:tcPr>
            <w:tcW w:w="8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AMERICAN AIRLINES GROUP INC.</w:t>
      </w:r>
    </w:p>
    <w:p>
      <w:pPr>
        <w:spacing w:after="0" w:line="63" w:lineRule="exact"/>
        <w:rPr>
          <w:sz w:val="20"/>
          <w:szCs w:val="20"/>
          <w:color w:val="auto"/>
        </w:rPr>
      </w:pPr>
    </w:p>
    <w:p>
      <w:pPr>
        <w:ind w:left="80" w:right="544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-38735</wp:posOffset>
            </wp:positionV>
            <wp:extent cx="71862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9, 2013 (the Effective Date), AMR Merger Sub, Inc. (Merger Sub) merged with and into US Airways Group, Inc. (US Airways Group) (the Merger), with US Airways Group surviving as a wholly-owned subsidiary of American Airlines Group Inc., a Delaware corporation (formerly known as AMR Corporation and referred to herein as AAG and, together with its consolidated subsidiaries, the Company), following the Merger. "AMR" refers to the Company during the period of time prior to its emergence from Chapter 11 and the Effective Date of the Merger.</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AAG should be read in conjunction with the consolidated financial statements contained in AAG's Annual Report on Form 10-K for the year ended December 31, 2013. The accompanying unaudited condensed consolidated financial statements include the accounts of the Company and its wholly-owned subsidiaries. Principal subsidiaries include American and, effective December 9, 2013, US Airways Group. Because the Merger did not occur until December 2013, the unaudited condensed consolidated financial statements presented do not include the accounts of US Airways Group for the three and nine months ended September 30, 2013. Certain prior period amounts have been reclassified to conform to the current year financial statement presentation as described below. All significant intercompany transactions have been eliminated.</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U.S. Generally Accepted Accounting Principles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traveler programs, pensions and retiree medical and other benefits and the deferred tax asset valuation allowance.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presented in Reorganization items, net on the accompanying condensed consolidated statement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historical and revised financial statement amounts for AAG (in millions):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 30,</w:t>
            </w:r>
          </w:p>
        </w:tc>
        <w:tc>
          <w:tcPr>
            <w:tcW w:w="120" w:type="dxa"/>
            <w:vAlign w:val="bottom"/>
          </w:tcPr>
          <w:p>
            <w:pPr>
              <w:spacing w:after="0"/>
              <w:rPr>
                <w:sz w:val="20"/>
                <w:szCs w:val="20"/>
                <w:color w:val="auto"/>
              </w:rPr>
            </w:pPr>
          </w:p>
        </w:tc>
        <w:tc>
          <w:tcPr>
            <w:tcW w:w="2760" w:type="dxa"/>
            <w:vAlign w:val="bottom"/>
            <w:gridSpan w:val="4"/>
          </w:tcPr>
          <w:p>
            <w:pPr>
              <w:jc w:val="right"/>
              <w:ind w:right="7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8"/>
                <w:szCs w:val="18"/>
                <w:color w:val="auto"/>
              </w:rPr>
              <w:t>2013</w:t>
            </w: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 Reclassified</w:t>
            </w:r>
          </w:p>
        </w:tc>
        <w:tc>
          <w:tcPr>
            <w:tcW w:w="2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Historical</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 Reclassified</w:t>
            </w:r>
          </w:p>
        </w:tc>
        <w:tc>
          <w:tcPr>
            <w:tcW w:w="22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Historical</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14,755</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Regional passenger</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6,828</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19,375</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6,559</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1,028</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18,137</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7"/>
        </w:trPr>
        <w:tc>
          <w:tcPr>
            <w:tcW w:w="5260" w:type="dxa"/>
            <w:vAlign w:val="bottom"/>
            <w:gridSpan w:val="2"/>
          </w:tcPr>
          <w:p>
            <w:pPr>
              <w:ind w:left="2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on the condensed consolidated statement of cash flows, the Company reclassified $84 million in deferred financing charges from operating to financing cash flow activities for the nine months ended September 30, 2013 in order to conform to the current year financial statement presentation.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6200" w:hanging="652"/>
        <w:spacing w:after="0" w:line="440" w:lineRule="auto"/>
        <w:tabs>
          <w:tab w:leader="none" w:pos="1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and Merger with US Airways Group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and certain of the Company's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the Effective Date, the Debtors consummated their reorganization pursuant to the Plan, principally through the transactions contemplated by that certain Agreement and Plan of Merger (as amended, the Merger Agreement), dated as of February 13, 2013, by and among the Company, Merger Sub and US Airways Group, pursuant to which Merger Sub merged with and into US Airways Group, with US Airways Group surviving as a wholly-owned subsidiary of the Company following the Merger. Pursuant to the Merger Agreement, each share of common stock, par value $0.01 per share, of US Airways Group was converted into the right to receive one share of American Airlines Group Inc. common stock, par value $0.01 per share (AAG Common Stock).</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2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IAP) authorizes the grant of awards for the issuance of 40 million shares of AAG Common Stock plus any shares underlying awards granted under the 2013 IAP, or any pre-existing US Airways Group plan, that are forfeited, terminate or are cash settled (in whole or in part) without a payment being made in the form of shares. Any shares that are available for issuance under the US Airways Group 2011 Incentive Award Plan (the 2011 IAP) as of the effective date of the Merger may be used for awards under the 2013 IAP; provided, that awards using such available shares shall not be made after the date awards or grants could have been made under 2011 IAP and shall only be made to individuals who were not providing services to American Airlines Group prior to the Merger.</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contains the following provisions relating to the treatment of pre-petition claims against the Debtors and other holders of allowed interests in the Debtors:</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127" w:lineRule="exact"/>
        <w:rPr>
          <w:rFonts w:ascii="Arial" w:cs="Arial" w:eastAsia="Arial" w:hAnsi="Arial"/>
          <w:sz w:val="18"/>
          <w:szCs w:val="18"/>
          <w:color w:val="auto"/>
        </w:rPr>
      </w:pPr>
    </w:p>
    <w:p>
      <w:pPr>
        <w:ind w:left="1460" w:hanging="723"/>
        <w:spacing w:after="0" w:line="264" w:lineRule="auto"/>
        <w:tabs>
          <w:tab w:leader="none" w:pos="10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060" w:right="20"/>
        <w:spacing w:after="0" w:line="324" w:lineRule="auto"/>
        <w:rPr>
          <w:sz w:val="20"/>
          <w:szCs w:val="20"/>
          <w:color w:val="auto"/>
        </w:rPr>
      </w:pPr>
      <w:r>
        <w:rPr>
          <w:rFonts w:ascii="Arial" w:cs="Arial" w:eastAsia="Arial" w:hAnsi="Arial"/>
          <w:sz w:val="18"/>
          <w:szCs w:val="18"/>
          <w:color w:val="auto"/>
        </w:rPr>
        <w:t>of AAG Series A Preferred Stock with a stated amount equal to the allowed amount of their claims, including post-petition interest at the non-default rate;</w:t>
      </w:r>
    </w:p>
    <w:p>
      <w:pPr>
        <w:spacing w:after="0" w:line="89" w:lineRule="exact"/>
        <w:rPr>
          <w:sz w:val="20"/>
          <w:szCs w:val="20"/>
          <w:color w:val="auto"/>
        </w:rPr>
      </w:pPr>
    </w:p>
    <w:p>
      <w:pPr>
        <w:ind w:left="1460" w:hanging="723"/>
        <w:spacing w:after="0" w:line="297" w:lineRule="auto"/>
        <w:tabs>
          <w:tab w:leader="none" w:pos="10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104" w:lineRule="exact"/>
        <w:rPr>
          <w:rFonts w:ascii="Arial" w:cs="Arial" w:eastAsia="Arial" w:hAnsi="Arial"/>
          <w:sz w:val="16"/>
          <w:szCs w:val="16"/>
          <w:color w:val="auto"/>
        </w:rPr>
      </w:pPr>
    </w:p>
    <w:p>
      <w:pPr>
        <w:ind w:left="1460" w:hanging="723"/>
        <w:spacing w:after="0" w:line="255"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the Company making a cash payment of approximately $300 million for certain required withholding taxes;</w:t>
      </w:r>
    </w:p>
    <w:p>
      <w:pPr>
        <w:spacing w:after="0" w:line="135" w:lineRule="exact"/>
        <w:rPr>
          <w:rFonts w:ascii="Arial" w:cs="Arial" w:eastAsia="Arial" w:hAnsi="Arial"/>
          <w:sz w:val="18"/>
          <w:szCs w:val="18"/>
          <w:color w:val="auto"/>
        </w:rPr>
      </w:pPr>
    </w:p>
    <w:p>
      <w:pPr>
        <w:ind w:left="1460" w:hanging="723"/>
        <w:spacing w:after="0" w:line="259"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132" w:lineRule="exact"/>
        <w:rPr>
          <w:rFonts w:ascii="Arial" w:cs="Arial" w:eastAsia="Arial" w:hAnsi="Arial"/>
          <w:sz w:val="18"/>
          <w:szCs w:val="18"/>
          <w:color w:val="auto"/>
        </w:rPr>
      </w:pPr>
    </w:p>
    <w:p>
      <w:pPr>
        <w:ind w:left="1460" w:hanging="723"/>
        <w:spacing w:after="0" w:line="297" w:lineRule="auto"/>
        <w:tabs>
          <w:tab w:leader="none" w:pos="1055" w:val="left"/>
        </w:tabs>
        <w:numPr>
          <w:ilvl w:val="0"/>
          <w:numId w:val="6"/>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the Company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3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Pursuant to rulings of the Bankruptcy Court, the Plan has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the Company repurchased 0.4 million shares of AAG Common Stock for an aggregate of $19 million from the Disputed Claim Reserve at the then prevailing market price in order to fund cash tax obligations resulting from distributions by the Disputed Claim Reserve. As of September 30, 2014, there were approximately 27.5 million shares of AAG Common Stock remaining in the Disputed Claims Reserve. These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the Company but rather will be distributed to former AMR shareholders as of the Effective Date. The Company is not required to distribute additional shares above the limits contemplated by the Plan described above.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September 30, 2014, the Company made the following cash disbursements under the Plan:</w:t>
      </w:r>
    </w:p>
    <w:p>
      <w:pPr>
        <w:spacing w:after="0" w:line="158" w:lineRule="exact"/>
        <w:rPr>
          <w:sz w:val="20"/>
          <w:szCs w:val="20"/>
          <w:color w:val="auto"/>
        </w:rPr>
      </w:pPr>
    </w:p>
    <w:p>
      <w:pPr>
        <w:ind w:left="660" w:right="1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10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$561 million for payroll and other taxes associated with equity distributions to employees.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15 for more information.</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noted above, the reconciliation process with respect to the remaining claims will take considerable time post-emergence. The Company's estimate of the amounts of disputed claims that will ultimately become allowed Single-Dip Unsecured Claims are included in Mandatorily convertible preferred stock and other bankruptcy settlement obligations on the Company's condensed consolidated balance sheet as of September 30, 2014. As these claims are resolved, or where better information becomes available and is evaluated, the Company will make adjustments to the liabilities recorded on its condensed consolidated financial statements as appropriate. Any such adjustments could be material to the Company's financial position or results of operations in any given period.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Upon emergence from bankruptcy, the Debtors experienced an "ownership change" as defined in Section 382 of the Internal Revenue Code of 1986, as amended (Section 382),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The Debtors elected to be covered by certain special rules for federal income tax purposes that permit approximately $9.0 billion of the federal NOL Carryforwards to be utilized without regard to the annual limitation generally imposed by Section 382.</w:t>
      </w:r>
    </w:p>
    <w:p>
      <w:pPr>
        <w:spacing w:after="0" w:line="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the Company with the SEC on December 9, 2013.</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and nine months ended September 30, 2013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7"/>
              </w:rPr>
              <w:t>Nine Months Ended</w:t>
            </w:r>
          </w:p>
        </w:tc>
      </w:tr>
      <w:tr>
        <w:trPr>
          <w:trHeight w:val="257"/>
        </w:trPr>
        <w:tc>
          <w:tcPr>
            <w:tcW w:w="7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September 30, 2013</w:t>
            </w:r>
          </w:p>
        </w:tc>
        <w:tc>
          <w:tcPr>
            <w:tcW w:w="2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3"/>
              </w:rPr>
              <w:t>September 30, 2013</w:t>
            </w:r>
          </w:p>
        </w:tc>
      </w:tr>
      <w:tr>
        <w:trPr>
          <w:trHeight w:val="264"/>
        </w:trPr>
        <w:tc>
          <w:tcPr>
            <w:tcW w:w="71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reorganization items,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50"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Mandatorily Convertible Preferred Stock and Other Bankruptcy Settlement Obligations</w:t>
      </w:r>
    </w:p>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Mandatorily convertible preferred stock and other bankruptcy settlement obligations on the condensed consolidated balance sheets are as follows (in millions):</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September 30, 2014</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ind w:right="330"/>
              <w:spacing w:after="0"/>
              <w:rPr>
                <w:sz w:val="20"/>
                <w:szCs w:val="20"/>
                <w:color w:val="auto"/>
              </w:rPr>
            </w:pPr>
            <w:r>
              <w:rPr>
                <w:rFonts w:ascii="Arial" w:cs="Arial" w:eastAsia="Arial" w:hAnsi="Arial"/>
                <w:sz w:val="18"/>
                <w:szCs w:val="18"/>
                <w:color w:val="auto"/>
                <w:w w:val="92"/>
              </w:rPr>
              <w:t>December 31, 2013</w:t>
            </w:r>
          </w:p>
        </w:tc>
      </w:tr>
      <w:tr>
        <w:trPr>
          <w:trHeight w:val="27"/>
        </w:trPr>
        <w:tc>
          <w:tcPr>
            <w:tcW w:w="67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AAG Series A Preferred Stock</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3,833</w:t>
            </w:r>
          </w:p>
        </w:tc>
      </w:tr>
      <w:tr>
        <w:trPr>
          <w:trHeight w:val="27"/>
        </w:trPr>
        <w:tc>
          <w:tcPr>
            <w:tcW w:w="67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Single-Dip Equity Obligations</w:t>
            </w:r>
          </w:p>
        </w:tc>
        <w:tc>
          <w:tcPr>
            <w:tcW w:w="1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Labor-related deemed claim</w:t>
            </w:r>
          </w:p>
        </w:tc>
        <w:tc>
          <w:tcPr>
            <w:tcW w:w="1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849</w:t>
            </w:r>
          </w:p>
        </w:tc>
      </w:tr>
      <w:tr>
        <w:trPr>
          <w:trHeight w:val="27"/>
        </w:trPr>
        <w:tc>
          <w:tcPr>
            <w:tcW w:w="67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5,928</w:t>
            </w:r>
          </w:p>
        </w:tc>
      </w:tr>
      <w:tr>
        <w:trPr>
          <w:trHeight w:val="20"/>
        </w:trPr>
        <w:tc>
          <w:tcPr>
            <w:tcW w:w="67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the Company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September 30, 2014 is the Company’s estimate of its obligation for disputed claims of $183 million and is calculated based on the fair value of the shares expected to be issued, measured as if the obligations were settled using the closing price of AAG Common Stock at September 30, 2014. Additional allowed claims will receive 30.7553 shares, subject to reduction for expenses of the Disputed Claims Reserve, including tax liabilities, for each $1,000 of allowed claims. For accounting purposes, the value of the shares expected to be issued are marked-to-market each period until issued. Accordingly, changes in the value of AAG Common Stock could result in future increases and decreases in this obligation.</w:t>
      </w:r>
    </w:p>
    <w:p>
      <w:pPr>
        <w:spacing w:after="0" w:line="12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September 30, 2014, the Company has made distributions of $981 million in AAG Common Stock and paid approximately $561 million in cash to cover payroll and other taxes related to the equity distributions. As of September 30, 2014, the liability to certain AMR labor groups and employees of $56 million represents the estimated fair value of the remaining shares expected to be issued in satisfaction of such obligation, measured as if the obligation were settled using the closing price of AAG Common Stock at September 30, 2014. For accounting purposes, the value of the remaining shares expected to be issued to satisfy the labor claim are marked-to-market each period until issued. Accordingly, changes in the value of AAG Common Stock could result in future increases and decreases in this obligation.</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 2014,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The next planned distribution will be in November 2014 for any disputed Single-Dip Unsecured Claims that become allowed after July 1, 2014.</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stipulation for the Merger to be approved by the Department of Justice (DOJ), the Company was required to divest certain slots at Ronald Reagan Washington National Airport (DCA). As of December 31, 2013, the DCA slots to be divested were recorded as assets held for sale and included in Prepaid expenses and other on the consolidated balance sheet. In the first quarter of 2014, the Company divested the required DCA slots and received $307 million in cash as well as 24 slots at John F. Kennedy Airport. The Company recognized a gain of $309 million related to the divestiture, which has been included in Special items, net in the condensed consolidated statement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17"/>
                <w:szCs w:val="17"/>
                <w:color w:val="auto"/>
              </w:rPr>
            </w:pPr>
          </w:p>
        </w:tc>
        <w:tc>
          <w:tcPr>
            <w:tcW w:w="1920" w:type="dxa"/>
            <w:vAlign w:val="bottom"/>
            <w:gridSpan w:val="4"/>
          </w:tcPr>
          <w:p>
            <w:pPr>
              <w:jc w:val="center"/>
              <w:ind w:left="275"/>
              <w:spacing w:after="0"/>
              <w:rPr>
                <w:sz w:val="20"/>
                <w:szCs w:val="20"/>
                <w:color w:val="auto"/>
              </w:rPr>
            </w:pPr>
            <w:r>
              <w:rPr>
                <w:rFonts w:ascii="Arial" w:cs="Arial" w:eastAsia="Arial" w:hAnsi="Arial"/>
                <w:sz w:val="17"/>
                <w:szCs w:val="17"/>
                <w:color w:val="auto"/>
                <w:w w:val="90"/>
              </w:rPr>
              <w:t>Three Months Ended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center"/>
              <w:spacing w:after="0"/>
              <w:rPr>
                <w:sz w:val="20"/>
                <w:szCs w:val="20"/>
                <w:color w:val="auto"/>
              </w:rPr>
            </w:pPr>
            <w:r>
              <w:rPr>
                <w:rFonts w:ascii="Arial" w:cs="Arial" w:eastAsia="Arial" w:hAnsi="Arial"/>
                <w:sz w:val="17"/>
                <w:szCs w:val="17"/>
                <w:color w:val="auto"/>
                <w:w w:val="90"/>
              </w:rPr>
              <w:t>Nine Months Ended September</w:t>
            </w:r>
          </w:p>
        </w:tc>
      </w:tr>
      <w:tr>
        <w:trPr>
          <w:trHeight w:val="216"/>
        </w:trPr>
        <w:tc>
          <w:tcPr>
            <w:tcW w:w="6760" w:type="dxa"/>
            <w:vAlign w:val="bottom"/>
          </w:tcPr>
          <w:p>
            <w:pPr>
              <w:spacing w:after="0"/>
              <w:rPr>
                <w:sz w:val="18"/>
                <w:szCs w:val="18"/>
                <w:color w:val="auto"/>
              </w:rPr>
            </w:pPr>
          </w:p>
        </w:tc>
        <w:tc>
          <w:tcPr>
            <w:tcW w:w="1920" w:type="dxa"/>
            <w:vAlign w:val="bottom"/>
            <w:gridSpan w:val="4"/>
          </w:tcPr>
          <w:p>
            <w:pPr>
              <w:jc w:val="center"/>
              <w:ind w:left="255"/>
              <w:spacing w:after="0"/>
              <w:rPr>
                <w:sz w:val="20"/>
                <w:szCs w:val="20"/>
                <w:color w:val="auto"/>
              </w:rPr>
            </w:pPr>
            <w:r>
              <w:rPr>
                <w:rFonts w:ascii="Arial" w:cs="Arial" w:eastAsia="Arial" w:hAnsi="Arial"/>
                <w:sz w:val="17"/>
                <w:szCs w:val="17"/>
                <w:color w:val="auto"/>
                <w:w w:val="87"/>
              </w:rPr>
              <w:t>September 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7"/>
                <w:szCs w:val="17"/>
                <w:color w:val="auto"/>
                <w:w w:val="92"/>
              </w:rPr>
              <w:t>30,</w:t>
            </w:r>
          </w:p>
        </w:tc>
        <w:tc>
          <w:tcPr>
            <w:tcW w:w="820" w:type="dxa"/>
            <w:vAlign w:val="bottom"/>
          </w:tcPr>
          <w:p>
            <w:pPr>
              <w:spacing w:after="0"/>
              <w:rPr>
                <w:sz w:val="18"/>
                <w:szCs w:val="18"/>
                <w:color w:val="auto"/>
              </w:rPr>
            </w:pPr>
          </w:p>
        </w:tc>
      </w:tr>
      <w:tr>
        <w:trPr>
          <w:trHeight w:val="31"/>
        </w:trPr>
        <w:tc>
          <w:tcPr>
            <w:tcW w:w="67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3"/>
        </w:trPr>
        <w:tc>
          <w:tcPr>
            <w:tcW w:w="67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2014</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5"/>
              <w:spacing w:after="0"/>
              <w:rPr>
                <w:sz w:val="20"/>
                <w:szCs w:val="20"/>
                <w:color w:val="auto"/>
              </w:rPr>
            </w:pPr>
            <w:r>
              <w:rPr>
                <w:rFonts w:ascii="Arial" w:cs="Arial" w:eastAsia="Arial" w:hAnsi="Arial"/>
                <w:sz w:val="17"/>
                <w:szCs w:val="17"/>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color w:val="auto"/>
              </w:rPr>
              <w:t>2013</w:t>
            </w:r>
          </w:p>
        </w:tc>
      </w:tr>
      <w:tr>
        <w:trPr>
          <w:trHeight w:val="31"/>
        </w:trPr>
        <w:tc>
          <w:tcPr>
            <w:tcW w:w="67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 xml:space="preserve">Mainline operating special items, net </w:t>
            </w:r>
            <w:r>
              <w:rPr>
                <w:rFonts w:ascii="Arial" w:cs="Arial" w:eastAsia="Arial" w:hAnsi="Arial"/>
                <w:sz w:val="28"/>
                <w:szCs w:val="28"/>
                <w:color w:val="auto"/>
                <w:vertAlign w:val="superscript"/>
              </w:rPr>
              <w:t>(a)</w:t>
            </w:r>
          </w:p>
        </w:tc>
        <w:tc>
          <w:tcPr>
            <w:tcW w:w="70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221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98</w:t>
            </w:r>
          </w:p>
        </w:tc>
      </w:tr>
    </w:tbl>
    <w:p>
      <w:pPr>
        <w:spacing w:after="0" w:line="40" w:lineRule="exact"/>
        <w:rPr>
          <w:sz w:val="20"/>
          <w:szCs w:val="20"/>
          <w:color w:val="auto"/>
        </w:rPr>
      </w:pPr>
    </w:p>
    <w:p>
      <w:pPr>
        <w:ind w:left="520" w:hanging="512"/>
        <w:spacing w:after="0" w:line="276" w:lineRule="auto"/>
        <w:tabs>
          <w:tab w:leader="none" w:pos="196"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2014 third quarter mainline operating special items totaled a net charge of $221 million, which principally included $166 million of merger integration expenses related to information technology, alignment of labor union contracts, professional fees, severance and retention, share-based compensation expense, re-branding of aircraft and airport facilities, relocation and training, as well as $99 million in other charges, including an $81 million charge to revise prior estimates of certain aircraft residual values, and other asset impairments. These charges were offset in part by a net $40 million credit for bankruptcy related items primarily consisting of fair value adjustments for bankruptcy settlement obligations. The 2014 nine month period mainline operating special items totaled a net charge of $335 million, which principally included $530 million of merger integration expenses as described above, $99 million in other charges, including an $81 million charge to revise prior estimates of certain aircraft residual values, and other asset impairments, as well as $46 million in charges primarily relating to the buyout of certain aircraft leases. These charges were offset in part by a $309 million gain on the sale of slots at DCA and a net $35 million credit for bankruptcy related items as described above.</w:t>
      </w:r>
    </w:p>
    <w:p>
      <w:pPr>
        <w:spacing w:after="0" w:line="1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2013 third quarter mainline operating special items primarily consisted of merger related expenses. The 2013 nine month period mainline operating special items totaled a net charge of $98 million, which included $55 million in merger related expenses and a $43 million charge for workers' compensation claims.</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20" w:type="dxa"/>
            <w:vAlign w:val="bottom"/>
            <w:gridSpan w:val="6"/>
          </w:tcPr>
          <w:p>
            <w:pPr>
              <w:jc w:val="right"/>
              <w:ind w:right="52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000" w:type="dxa"/>
            <w:vAlign w:val="bottom"/>
            <w:gridSpan w:val="4"/>
          </w:tcPr>
          <w:p>
            <w:pPr>
              <w:jc w:val="right"/>
              <w:ind w:right="290"/>
              <w:spacing w:after="0"/>
              <w:rPr>
                <w:sz w:val="20"/>
                <w:szCs w:val="20"/>
                <w:color w:val="auto"/>
              </w:rPr>
            </w:pPr>
            <w:r>
              <w:rPr>
                <w:rFonts w:ascii="Arial" w:cs="Arial" w:eastAsia="Arial" w:hAnsi="Arial"/>
                <w:sz w:val="18"/>
                <w:szCs w:val="18"/>
                <w:color w:val="auto"/>
              </w:rPr>
              <w:t>Nine Months Ended</w:t>
            </w:r>
          </w:p>
        </w:tc>
      </w:tr>
      <w:tr>
        <w:trPr>
          <w:trHeight w:val="230"/>
        </w:trPr>
        <w:tc>
          <w:tcPr>
            <w:tcW w:w="6760" w:type="dxa"/>
            <w:vAlign w:val="bottom"/>
          </w:tcPr>
          <w:p>
            <w:pPr>
              <w:spacing w:after="0"/>
              <w:rPr>
                <w:sz w:val="20"/>
                <w:szCs w:val="20"/>
                <w:color w:val="auto"/>
              </w:rPr>
            </w:pPr>
          </w:p>
        </w:tc>
        <w:tc>
          <w:tcPr>
            <w:tcW w:w="2420" w:type="dxa"/>
            <w:vAlign w:val="bottom"/>
            <w:gridSpan w:val="6"/>
          </w:tcPr>
          <w:p>
            <w:pPr>
              <w:ind w:left="62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000" w:type="dxa"/>
            <w:vAlign w:val="bottom"/>
            <w:gridSpan w:val="4"/>
          </w:tcPr>
          <w:p>
            <w:pPr>
              <w:jc w:val="right"/>
              <w:ind w:right="490"/>
              <w:spacing w:after="0"/>
              <w:rPr>
                <w:sz w:val="20"/>
                <w:szCs w:val="20"/>
                <w:color w:val="auto"/>
              </w:rPr>
            </w:pPr>
            <w:r>
              <w:rPr>
                <w:rFonts w:ascii="Arial" w:cs="Arial" w:eastAsia="Arial" w:hAnsi="Arial"/>
                <w:sz w:val="18"/>
                <w:szCs w:val="18"/>
                <w:color w:val="auto"/>
              </w:rPr>
              <w:t>September 30,</w:t>
            </w:r>
          </w:p>
        </w:tc>
      </w:tr>
      <w:tr>
        <w:trPr>
          <w:trHeight w:val="27"/>
        </w:trPr>
        <w:tc>
          <w:tcPr>
            <w:tcW w:w="6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r>
      <w:tr>
        <w:trPr>
          <w:trHeight w:val="27"/>
        </w:trPr>
        <w:tc>
          <w:tcPr>
            <w:tcW w:w="6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6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7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0"/>
        </w:trPr>
        <w:tc>
          <w:tcPr>
            <w:tcW w:w="67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74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320"/>
        </w:trPr>
        <w:tc>
          <w:tcPr>
            <w:tcW w:w="676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74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ind w:left="540" w:hanging="532"/>
        <w:spacing w:after="0" w:line="229" w:lineRule="auto"/>
        <w:tabs>
          <w:tab w:leader="none" w:pos="216"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2014 third quarter nonoperating special items totaled a net charge of $50 million, which was primarily due to early debt extinguishment costs related to the prepayment of American's 7.50% senior secured notes and other indebtedness. The 2014 nine month period nonoperating special items totaled a net charge of $101 million, which primarily included $54 million of early debt extinguishment costs as described above and $33 million of non-cash interest accretion on the bankruptcy settlement obligations.</w:t>
      </w:r>
    </w:p>
    <w:p>
      <w:pPr>
        <w:spacing w:after="0" w:line="4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2013 third quarter nonoperating special items totaled a net charge of $75 million, which principally related to debt extinguishment costs incurred in connection with the repayment of existing high-interest aircraft financings. The 2013 nine month period nonoperating special items totaled a net charge of $191 million, which principally included interest charges of $116 million to recognize post-petition interest expense on unsecured obligations pursuant to the Plan and the $75 million in charges primarily related to debt extinguishment costs as described above.</w:t>
      </w:r>
    </w:p>
    <w:p>
      <w:pPr>
        <w:spacing w:after="0" w:line="9" w:lineRule="exact"/>
        <w:rPr>
          <w:sz w:val="20"/>
          <w:szCs w:val="20"/>
          <w:color w:val="auto"/>
        </w:rPr>
      </w:pPr>
    </w:p>
    <w:p>
      <w:pPr>
        <w:ind w:left="520" w:hanging="512"/>
        <w:spacing w:after="0" w:line="227" w:lineRule="auto"/>
        <w:tabs>
          <w:tab w:leader="none" w:pos="196"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In the 2013 third quarter and nine month periods, the Company recognized reorganization expenses as a result of the filing of the Chapter 11 Cases. These amounts consisted primarily of estimated allowed claim amounts and professional fees.</w:t>
      </w:r>
    </w:p>
    <w:p>
      <w:pPr>
        <w:spacing w:after="0" w:line="40" w:lineRule="exact"/>
        <w:rPr>
          <w:rFonts w:ascii="Arial" w:cs="Arial" w:eastAsia="Arial" w:hAnsi="Arial"/>
          <w:sz w:val="24"/>
          <w:szCs w:val="24"/>
          <w:color w:val="auto"/>
          <w:vertAlign w:val="superscript"/>
        </w:rPr>
      </w:pPr>
    </w:p>
    <w:p>
      <w:pPr>
        <w:ind w:left="540" w:hanging="532"/>
        <w:spacing w:after="0" w:line="216" w:lineRule="auto"/>
        <w:tabs>
          <w:tab w:leader="none" w:pos="216"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During the 2014 third quarter, the Company recorded a special $8 million non-cash deferred income tax provision related to certain indefinite-lived intangible assets. During the 2014 nine month period, the Company sold its portfolio of fuel hedging</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left="340"/>
        <w:spacing w:after="0" w:line="323" w:lineRule="auto"/>
        <w:rPr>
          <w:sz w:val="20"/>
          <w:szCs w:val="20"/>
          <w:color w:val="auto"/>
        </w:rPr>
      </w:pPr>
      <w:r>
        <w:rPr>
          <w:rFonts w:ascii="Arial" w:cs="Arial" w:eastAsia="Arial" w:hAnsi="Arial"/>
          <w:sz w:val="17"/>
          <w:szCs w:val="17"/>
          <w:color w:val="auto"/>
        </w:rPr>
        <w:t>contracts that were scheduled to settle on or after June 30, 2014. In connection with this sale, the Company recorded a special non-cash tax provision of $330 million in the statement of operations for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In addition, the 2014 nine month period included a special $22 million non-cash deferred income tax provision related to certain indefinite-lived intangible assets.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GAAP, the 2013 third quarter and nine month period weighted average shares and earnings per share (EPS) calculations have been adjusted to retrospectively reflect these distributions which were each made at the rate of approximately 0.7441 shares of AAG Common Stock per share of AAMRQ. Former holders of AAMRQ shares as of the Effective Date may in the future receive additional distributions of AAG Common Stock dependent upon the ultimate distribution of shares of AAG Common Stock to holders of disputed claims. Thus, the shares and related earnings per share calculations prior to the Effective Date may change in the future to reflect additional retrospective adjustments for future AAG Common Stock distributions to former holders of AAMRQ shares.</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2014, all shares pursuant to the Plan have been issued and are outstanding for purposes of the Company's basic and diluted EPS calculation in connection with the conversion of AAG Series A Preferred Stock and satisfaction of other bankruptcy settlement obligations related to allowed unsecured claims, including disputed claims, labor-related deemed claims and former holders of AAMRQ shares.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40" w:type="dxa"/>
            <w:vAlign w:val="bottom"/>
            <w:gridSpan w:val="12"/>
          </w:tcPr>
          <w:p>
            <w:pPr>
              <w:ind w:left="660"/>
              <w:spacing w:after="0"/>
              <w:rPr>
                <w:sz w:val="20"/>
                <w:szCs w:val="20"/>
                <w:color w:val="auto"/>
              </w:rPr>
            </w:pPr>
            <w:r>
              <w:rPr>
                <w:rFonts w:ascii="Arial" w:cs="Arial" w:eastAsia="Arial" w:hAnsi="Arial"/>
                <w:sz w:val="18"/>
                <w:szCs w:val="18"/>
                <w:color w:val="auto"/>
                <w:w w:val="90"/>
              </w:rPr>
              <w:t>The following table sets forth the computation of basic and diluted EPS (in millions, except share and per share amounts in thousands):</w:t>
            </w:r>
          </w:p>
        </w:tc>
        <w:tc>
          <w:tcPr>
            <w:tcW w:w="800" w:type="dxa"/>
            <w:vAlign w:val="bottom"/>
          </w:tcPr>
          <w:p>
            <w:pPr>
              <w:spacing w:after="0"/>
              <w:rPr>
                <w:sz w:val="20"/>
                <w:szCs w:val="20"/>
                <w:color w:val="auto"/>
              </w:rPr>
            </w:pPr>
          </w:p>
        </w:tc>
      </w:tr>
      <w:tr>
        <w:trPr>
          <w:trHeight w:val="364"/>
        </w:trPr>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2380" w:type="dxa"/>
            <w:vAlign w:val="bottom"/>
            <w:gridSpan w:val="6"/>
          </w:tcPr>
          <w:p>
            <w:pPr>
              <w:jc w:val="right"/>
              <w:spacing w:after="0"/>
              <w:rPr>
                <w:sz w:val="20"/>
                <w:szCs w:val="20"/>
                <w:color w:val="auto"/>
              </w:rPr>
            </w:pPr>
            <w:r>
              <w:rPr>
                <w:rFonts w:ascii="Arial" w:cs="Arial" w:eastAsia="Arial" w:hAnsi="Arial"/>
                <w:sz w:val="18"/>
                <w:szCs w:val="18"/>
                <w:color w:val="auto"/>
                <w:w w:val="91"/>
              </w:rPr>
              <w:t>Nine Months Ended September</w:t>
            </w:r>
          </w:p>
        </w:tc>
      </w:tr>
      <w:tr>
        <w:trPr>
          <w:trHeight w:val="230"/>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gridSpan w:val="3"/>
          </w:tcPr>
          <w:p>
            <w:pPr>
              <w:jc w:val="right"/>
              <w:ind w:right="190"/>
              <w:spacing w:after="0"/>
              <w:rPr>
                <w:sz w:val="20"/>
                <w:szCs w:val="20"/>
                <w:color w:val="auto"/>
              </w:rPr>
            </w:pPr>
            <w:r>
              <w:rPr>
                <w:rFonts w:ascii="Arial" w:cs="Arial" w:eastAsia="Arial" w:hAnsi="Arial"/>
                <w:sz w:val="18"/>
                <w:szCs w:val="18"/>
                <w:color w:val="auto"/>
                <w:w w:val="87"/>
              </w:rPr>
              <w:t>30,</w:t>
            </w:r>
          </w:p>
        </w:tc>
        <w:tc>
          <w:tcPr>
            <w:tcW w:w="8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color w:val="auto"/>
                <w:w w:val="94"/>
              </w:rPr>
              <w:t>2013</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2,285</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thousands)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719,067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249,719</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721,213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249,599</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0.67</w:t>
            </w: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78"/>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52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on convertible senior notes</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Change in fair value of conversion feature on 7.25% convertible senior notes </w:t>
            </w:r>
            <w:r>
              <w:rPr>
                <w:rFonts w:ascii="Arial" w:cs="Arial" w:eastAsia="Arial" w:hAnsi="Arial"/>
                <w:sz w:val="25"/>
                <w:szCs w:val="25"/>
                <w:color w:val="auto"/>
                <w:w w:val="99"/>
                <w:vertAlign w:val="superscript"/>
              </w:rPr>
              <w:t>(a)</w:t>
            </w: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Net income for purposes of computing diluted EPS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2,288</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719,067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249,719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721,213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249,599</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awards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4,159</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Assumed conversion of convertible senior notes</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34,581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34,581</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 outstanding - as adjusted</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289,036</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737,100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288,339</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Diluted EPS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0.65</w:t>
            </w: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8"/>
              </w:rPr>
              <w:t>The following were excluded from the computation of diluted EPS (in thousands):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9,715</w:t>
            </w:r>
          </w:p>
        </w:tc>
      </w:tr>
      <w:tr>
        <w:trPr>
          <w:trHeight w:val="459"/>
        </w:trPr>
        <w:tc>
          <w:tcPr>
            <w:tcW w:w="6400" w:type="dxa"/>
            <w:vAlign w:val="bottom"/>
          </w:tcPr>
          <w:p>
            <w:pPr>
              <w:ind w:left="56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520" w:hanging="512"/>
        <w:spacing w:after="0" w:line="255" w:lineRule="auto"/>
        <w:tabs>
          <w:tab w:leader="none" w:pos="196"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In March 2014, the Company notified the holders of US Airways Group's 7.25% convertible senior notes that it had elected to settle all future conversions solely in cash instead of shares of AAG Common Stock in accordance with the related indenture. Thus, the diluted shares include the weighted average impact of the 7.25% convertible senior notes only for the period from January 1, 2014 to March 12, 2014. In addition, under GAAP, the Company must adjust the numerator for purposes of calculating diluted earnings per share by the change in fair value of the conversion feature from March 12, 2014 to May 15, 2014, which increased GAAP net income for purposes of computing diluted earnings per share by $3 million for the nine months ended September 30, 2014.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 Plan and Dividend</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23, 2014, as part of a capital deployment program, the Company’s Board of Directors authorized a $1.0 billion share repurchase program to be completed no later than December 31, 2015.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the Company to repurchase any specific number of shares for any fixed period, and may be suspended at any time at management’s discretion. During the three and nine months ended September 30, 2014, the Company repurchased 2.9 million shares of AAG Common Stock for $113 million at a weighted average cost per share of $39.30.</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Also on July 23, 2014, as part of the Company's capital deployment program, the Company's Board of Directors declared a $0.10 per share cash dividend for shareholders of record as of August 4, 2014, payable on August 18, 2014. The total cash payment for dividends during the three and nine months ended September 30, 2014 was $72 million. Any future dividends that may be declared and paid from time to time under the Company's capital deployment program will be subject to market and economic conditions, applicable legal requirements and other relevant factors. The Company's capital deployment program does not obligate the Company to continue a dividend for any fixed period, and payment of dividends may be suspended at any time at management’s discretion.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w w:val="91"/>
              </w:rPr>
              <w:t>December 31, 2013</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Secured</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2013 Citicorp Credit Facility tranche B-1, variable interest rate of 3.50%, installments through 2019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2013 Citicorp Credit Facility tranche B-2, variable interest rate of 3.00%, installments through 2016</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0"/>
        </w:trPr>
        <w:tc>
          <w:tcPr>
            <w:tcW w:w="812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2"/>
              </w:rPr>
              <w:t>Aircraft enhanced equipment trust certificates (EETCs), fixed interest rates ranging from 3.70% to 11.00%, maturing</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from 2014 to 2026</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6,031</w:t>
            </w:r>
          </w:p>
        </w:tc>
      </w:tr>
      <w:tr>
        <w:trPr>
          <w:trHeight w:val="220"/>
        </w:trPr>
        <w:tc>
          <w:tcPr>
            <w:tcW w:w="8120" w:type="dxa"/>
            <w:vAlign w:val="bottom"/>
          </w:tcPr>
          <w:p>
            <w:pPr>
              <w:ind w:left="500"/>
              <w:spacing w:after="0"/>
              <w:rPr>
                <w:sz w:val="20"/>
                <w:szCs w:val="20"/>
                <w:color w:val="auto"/>
              </w:rPr>
            </w:pPr>
            <w:r>
              <w:rPr>
                <w:rFonts w:ascii="Arial" w:cs="Arial" w:eastAsia="Arial" w:hAnsi="Arial"/>
                <w:sz w:val="16"/>
                <w:szCs w:val="16"/>
                <w:color w:val="auto"/>
                <w:w w:val="93"/>
              </w:rPr>
              <w:t>Equipment loans and other notes payable, fixed and variable interest rates ranging from 1.43% to 8.48%, maturing</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8120" w:type="dxa"/>
            <w:vAlign w:val="bottom"/>
          </w:tcPr>
          <w:p>
            <w:pPr>
              <w:ind w:left="500"/>
              <w:spacing w:after="0"/>
              <w:rPr>
                <w:sz w:val="20"/>
                <w:szCs w:val="20"/>
                <w:color w:val="auto"/>
              </w:rPr>
            </w:pPr>
            <w:r>
              <w:rPr>
                <w:rFonts w:ascii="Arial" w:cs="Arial" w:eastAsia="Arial" w:hAnsi="Arial"/>
                <w:sz w:val="16"/>
                <w:szCs w:val="16"/>
                <w:color w:val="auto"/>
              </w:rPr>
              <w:t>from 2014 to 2026</w:t>
            </w: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8"/>
              </w:rPr>
              <w:t>Special facility revenue bonds, fixed interest rates ranging from 5.50% to 8.50%, maturing from 2016 to 2035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7.50% senior secured notes</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Other secured obligations, fixed interest rates ranging from 4.19% to 12.24%, maturing from 2014 to 2028</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16,343</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Unsecured</w:t>
            </w: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60"/>
        </w:trPr>
        <w:tc>
          <w:tcPr>
            <w:tcW w:w="8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5.50% senior notes, interest only payments until due in 2019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6.125% senior notes, interest only payments until due in 2018</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7.25% convertible senior notes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120" w:type="dxa"/>
            <w:vAlign w:val="bottom"/>
          </w:tcPr>
          <w:p>
            <w:pPr>
              <w:ind w:left="500"/>
              <w:spacing w:after="0"/>
              <w:rPr>
                <w:sz w:val="20"/>
                <w:szCs w:val="20"/>
                <w:color w:val="auto"/>
              </w:rPr>
            </w:pPr>
            <w:r>
              <w:rPr>
                <w:rFonts w:ascii="Arial" w:cs="Arial" w:eastAsia="Arial" w:hAnsi="Arial"/>
                <w:sz w:val="16"/>
                <w:szCs w:val="16"/>
                <w:color w:val="auto"/>
              </w:rPr>
              <w:t>Industrial development bonds</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17,150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16,894</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Total unamortized debt discount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Less: Current maturities</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1,446</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2014-1 EETCs</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2013-1 EETCs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first nine months of 2014, US Airways issued $559 million of equipment notes in two series under its 2013-1 EETCs completed in April 2013: Series A equipment notes in the amount of $423 million bearing interest at 3.95% per annum and Series B equipment notes in the amount of $136 million bearing interest at 5.375% per annum. As of September 30, 2014, the full $820 million of the escrowed proceeds from US Airways' 2013-1 EETCs have been used to purchase Series A and Series B equipment notes issued by US Airways. The equipment notes are secured by liens on aircraft.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3"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the Company prepaid $113 million principal amount of outstanding debt secured by certain aircraft.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and third quarters of 2014, American entered into loan agreements to borrow $141 million in connection with financing certain aircraft deliveries. The notes mature in 2026 and bear interest at a rate of LIBOR plus an applicable margin.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during the nine months ended September 30, 2014, American paid $37 million of cash premiums and recorded a $5 million non-cash write off of unamortized deferred issuance costs.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nine months of 2014, the Company prepaid $312 million of obligations, of which $135 million was reflected as debt on its balance sheet, associated with special facility revenue bonds issued by municipalities to build or improve certain airport and maintenance facilities. The off-balance sheet portion of these obligations was accounted for as an operating lease.</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5.50% Senior Notes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September 2014, the Company issued $750 million aggregate principal amount of 5.50% Senior Notes due 2019 (the 5.50% senior notes), the net proceeds of which will be used for general corporate purposes. These notes bear interest at a rate of 5.50% per annum, which is payable semi-annually in arrears on each April 1 and October 1, beginning April 1, 2015. The 5.50% senior notes mature on October 1, 2019 and are fully and unconditionally guaranteed by American, US Airways Group and US Airways. The 5.50% senior notes are senior unsecured obligations of the Company. In addition, if the Company experiences specific kinds of changes of control, the Company must offer to repurchase the 5.50% senior notes at a price of 101% of the principal amount plus accrued and unpaid interest, if any, to the repurchase date. The indenture for the 5.50% senior notes contains covenants and events of default generally customary for similar financings. Upon the occurrence of certain events of default, the 5.50% senior notes may be accelerated and become due and payable.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7.25% Convertible Notes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the Company notified the holders of US Airways Group's 7.25% convertible notes that it had elected to settle solely in cash instead of shares of AAG Common Stock all conversions during the period beginning on March 15, 2014 and ending on, and including, the second scheduled trading day immediately preceding the maturity date of May 15, 2014. In May 2014, the Company settled all outstanding 7.25% convertible notes in cash for approximately $175 million.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 Refer to Note 16 for further information.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7"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three and nine months ended September 30, 2014. The Merger resulted in a statutory "ownership change" on December 9, 2013, as defined in Section 382, which limits the Company's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The Company's ability to utilize any new NOLs arising after the ownership change is not affected.</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2013, the Company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The Company also had approximately $4.7 billion of gross NOLs to reduce future state taxable income at December 31, 2013, which will expire in years 2014 through 2033 if unused. At December 31, 2013, the Company had an Alternative Minimum Tax (AMT) credit carryforward of approximately $370 million available for federal income tax purposes, which is available for an indefinite period. The Company's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the Company's tax provision dollar for dollar.</w:t>
      </w:r>
    </w:p>
    <w:p>
      <w:pPr>
        <w:spacing w:after="0" w:line="1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The Company considers many factors in evaluating the realizability of its deferred tax assets including risks associated with merger integration as well as other factors, which continue to be affected by conditions beyond the Company's control, such as the condition of the economy, the level and volatility of fuel prices and travel demand.</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2014, the Company recorded a special $8 million and $22 million, respectively, non-cash deferred income tax provision related to certain indefinite-lived intangible assets. In addition, for the 2014 nine month period, the Company recorded a special $330 million non-cash tax provision related to the settlement of fuel hedges discussed below and $8 million of tax expense principally related to certain states and countries where NOLs were limited or unavailable to be used.</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second quarter of 2014, the Company sold its portfolio of fuel hedging contracts that were scheduled to settle on or after June 30, 2014. In connection with this sale, the Company recorded a special non-cash tax provision of $330 million in the statement of operations for the nine months ended September 30, 2014 that reverses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10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did not record an income tax provision in the 2013 third quarter. For the nine months ended September 30, 2013, the Company recorded an income tax benefit of approximately $22 million as a result of the American Taxpayer Relief Act of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No changes in valuation techniques or inputs occurred during the nine months ended September 30, 2014.</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9"/>
          </w:tcPr>
          <w:p>
            <w:pPr>
              <w:jc w:val="right"/>
              <w:ind w:right="30"/>
              <w:spacing w:after="0"/>
              <w:rPr>
                <w:sz w:val="20"/>
                <w:szCs w:val="20"/>
                <w:color w:val="auto"/>
              </w:rPr>
            </w:pPr>
            <w:r>
              <w:rPr>
                <w:rFonts w:ascii="Arial" w:cs="Arial" w:eastAsia="Arial" w:hAnsi="Arial"/>
                <w:sz w:val="18"/>
                <w:szCs w:val="18"/>
                <w:color w:val="auto"/>
              </w:rPr>
              <w:t>Fair Value Measurements as of September 30, 2014</w:t>
            </w:r>
          </w:p>
        </w:tc>
        <w:tc>
          <w:tcPr>
            <w:tcW w:w="116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Level 3</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7,596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17145</wp:posOffset>
            </wp:positionV>
            <wp:extent cx="4004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25"/>
          <w:szCs w:val="25"/>
          <w:color w:val="auto"/>
          <w:vertAlign w:val="superscript"/>
        </w:rPr>
      </w:pPr>
    </w:p>
    <w:p>
      <w:pPr>
        <w:ind w:left="220" w:hanging="212"/>
        <w:spacing w:after="0" w:line="187" w:lineRule="auto"/>
        <w:tabs>
          <w:tab w:leader="none" w:pos="22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The Company's short-term investments mature in one year or less except for $1.1 billion of corporate obligations and $775 million of bank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-419100</wp:posOffset>
            </wp:positionV>
            <wp:extent cx="4004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Level 1 to Level 2 transfers during the nine months ended September 30, 2014. The Company's policy regarding the recording of transfers between levels is to reflect any such transfers at the end of the reporting period.</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of the Company's short-term investments are classified as available-for-sale and stated at fair value. Unrealized gains and losses are reflected as a component of Accumulated other comprehensive loss.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September 30, 2014, $721 million of the Company's unrestricted cash balance was held in Venezuelan bolivars, valued at the weighted average applicable exchange rate of 6.41 bolivars to the dollar. The Company's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the Company's significant reduction in capacity in this market, pending further repatriation of funds and due to a decrease in demand for air travel resulting from the effective devaluation of the bolivar. The Company's September 30, 2014 cash balance includes approximately $94 million valued at 4.3 bolivars, approximately $580 million valued at 6.3 bolivars, and approximately $47 million valued at 12.0 bolivars, with the rate depending on the date the Company submitted its repatriation request to the Venezuelan government. The Company is continuing to work with Venezuelan authorities regarding the timing and exchange rate applicable to the repatriation of funds held in local currency. The Company is monitoring this situation closely and continues to evaluate its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 economic and political instability and have been, and in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future may continue to be, adversely affected by numerous events, circumstances or government actions beyond our control" </w:t>
      </w:r>
      <w:r>
        <w:rPr>
          <w:rFonts w:ascii="Arial" w:cs="Arial" w:eastAsia="Arial" w:hAnsi="Arial"/>
          <w:sz w:val="17"/>
          <w:szCs w:val="17"/>
          <w:color w:val="auto"/>
        </w:rPr>
        <w:t>for additional discussion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currency risks.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the Company’s long-term debt was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Merger, US Airways Group's long-term debt was recorded at fair value as of December 9, 2013 using the acquisition method of accounting in accordance with ASC 805, "Business Combinations" and was determined by discounting the future contractual principal and interest payments using a market interest 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400"/>
              <w:spacing w:after="0"/>
              <w:rPr>
                <w:sz w:val="20"/>
                <w:szCs w:val="20"/>
                <w:color w:val="auto"/>
              </w:rPr>
            </w:pPr>
            <w:r>
              <w:rPr>
                <w:rFonts w:ascii="Arial" w:cs="Arial" w:eastAsia="Arial" w:hAnsi="Arial"/>
                <w:sz w:val="18"/>
                <w:szCs w:val="18"/>
                <w:color w:val="auto"/>
              </w:rPr>
              <w:t>September 30, 2014</w:t>
            </w:r>
          </w:p>
        </w:tc>
        <w:tc>
          <w:tcPr>
            <w:tcW w:w="220" w:type="dxa"/>
            <w:vAlign w:val="bottom"/>
          </w:tcPr>
          <w:p>
            <w:pPr>
              <w:spacing w:after="0"/>
              <w:rPr>
                <w:sz w:val="20"/>
                <w:szCs w:val="20"/>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9"/>
                <w:szCs w:val="19"/>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280" w:type="dxa"/>
            <w:vAlign w:val="bottom"/>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components of net periodic benefit cost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w w:val="91"/>
              </w:rPr>
              <w:t>Pension Benefits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6"/>
          </w:tcPr>
          <w:p>
            <w:pPr>
              <w:jc w:val="right"/>
              <w:ind w:right="310"/>
              <w:spacing w:after="0"/>
              <w:rPr>
                <w:sz w:val="20"/>
                <w:szCs w:val="20"/>
                <w:color w:val="auto"/>
              </w:rPr>
            </w:pPr>
            <w:r>
              <w:rPr>
                <w:rFonts w:ascii="Arial" w:cs="Arial" w:eastAsia="Arial" w:hAnsi="Arial"/>
                <w:sz w:val="18"/>
                <w:szCs w:val="18"/>
                <w:color w:val="auto"/>
                <w:w w:val="96"/>
              </w:rPr>
              <w:t>Retiree Medical and Other Benefits</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return on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Prior service cost (benefit)</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Unrecognized net loss (gain)</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w w:val="93"/>
              </w:rPr>
              <w:t>Pension Benefits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right"/>
              <w:ind w:right="310"/>
              <w:spacing w:after="0"/>
              <w:rPr>
                <w:sz w:val="20"/>
                <w:szCs w:val="20"/>
                <w:color w:val="auto"/>
              </w:rPr>
            </w:pPr>
            <w:r>
              <w:rPr>
                <w:rFonts w:ascii="Arial" w:cs="Arial" w:eastAsia="Arial" w:hAnsi="Arial"/>
                <w:sz w:val="18"/>
                <w:szCs w:val="18"/>
                <w:color w:val="auto"/>
                <w:w w:val="96"/>
              </w:rPr>
              <w:t>Retiree Medical and Other Benefits</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94"/>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return on assets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500"/>
              <w:spacing w:after="0"/>
              <w:rPr>
                <w:sz w:val="20"/>
                <w:szCs w:val="20"/>
                <w:color w:val="auto"/>
              </w:rPr>
            </w:pPr>
            <w:r>
              <w:rPr>
                <w:rFonts w:ascii="Arial" w:cs="Arial" w:eastAsia="Arial" w:hAnsi="Arial"/>
                <w:sz w:val="18"/>
                <w:szCs w:val="18"/>
                <w:color w:val="auto"/>
              </w:rPr>
              <w:t>Prior service cost (benefit)</w:t>
            </w: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Unrecognized net loss (gain)</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58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the Company's defined benefit pension plans were frozen.</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Century Act of 2012. In the first nine months of 2014, the Company has made its aggregate minimum required contributions for 2014 of $168 million, and has made $613 million in supplemental contributions to its pension plans, above and beyond the $168 million of minimum required contributions.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Fuel Hedging Contracts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not entered into any fuel hedges since December 9, 2013. As of September 30, 2014, the Company does not have any fuel hedging contracts outstanding. During the second quarter of 2014, the Company sold its portfolio of fuel hedging contracts that were scheduled to settle on or after June 30, 2014. The cash proceeds on these sales totaled $71 million which exceeded the current value of the portfolio. Approximately $25 million of the resulting gain was credited to OCI and will be recognized as a credit to fuel expense in the period the hedged fuel is scheduled to be consumed (the third quarter of 2014 through the second quarter of 2015). For the three months ended September 30, 2014 and 2013, the Company recognized a net gain of $7 million and $25 million, respectively, and for the nine months ended September 30, 2014 and 2013, the Company recognized a net gain of $7 million and $2 million, respectively, as a component of aircraft fuel expense on the accompanying condensed consolidated statements of operations related to its fuel hedging agreements, including the ineffective portion of the hedges.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aircraft fuel derivative instruments on the Company’s condensed consolidated statements of operations is depicted below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Location in condensed</w:t>
            </w: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color w:val="auto"/>
                <w:w w:val="98"/>
              </w:rPr>
              <w:t>Three Months Ended September 30,</w:t>
            </w:r>
          </w:p>
        </w:tc>
        <w:tc>
          <w:tcPr>
            <w:tcW w:w="180" w:type="dxa"/>
            <w:vAlign w:val="bottom"/>
          </w:tcPr>
          <w:p>
            <w:pPr>
              <w:spacing w:after="0"/>
              <w:rPr>
                <w:sz w:val="16"/>
                <w:szCs w:val="16"/>
                <w:color w:val="auto"/>
              </w:rPr>
            </w:pPr>
          </w:p>
        </w:tc>
        <w:tc>
          <w:tcPr>
            <w:tcW w:w="2580" w:type="dxa"/>
            <w:vAlign w:val="bottom"/>
            <w:gridSpan w:val="4"/>
          </w:tcPr>
          <w:p>
            <w:pPr>
              <w:jc w:val="right"/>
              <w:ind w:right="139"/>
              <w:spacing w:after="0"/>
              <w:rPr>
                <w:sz w:val="20"/>
                <w:szCs w:val="20"/>
                <w:color w:val="auto"/>
              </w:rPr>
            </w:pPr>
            <w:r>
              <w:rPr>
                <w:rFonts w:ascii="Arial" w:cs="Arial" w:eastAsia="Arial" w:hAnsi="Arial"/>
                <w:sz w:val="16"/>
                <w:szCs w:val="16"/>
                <w:color w:val="auto"/>
                <w:w w:val="93"/>
              </w:rPr>
              <w:t>Nine Months Ended September 30,</w:t>
            </w:r>
          </w:p>
        </w:tc>
        <w:tc>
          <w:tcPr>
            <w:tcW w:w="0" w:type="dxa"/>
            <w:vAlign w:val="bottom"/>
          </w:tcPr>
          <w:p>
            <w:pPr>
              <w:spacing w:after="0"/>
              <w:rPr>
                <w:sz w:val="1"/>
                <w:szCs w:val="1"/>
                <w:color w:val="auto"/>
              </w:rPr>
            </w:pPr>
          </w:p>
        </w:tc>
      </w:tr>
      <w:tr>
        <w:trPr>
          <w:trHeight w:val="59"/>
        </w:trPr>
        <w:tc>
          <w:tcPr>
            <w:tcW w:w="3960" w:type="dxa"/>
            <w:vAlign w:val="bottom"/>
          </w:tcPr>
          <w:p>
            <w:pPr>
              <w:spacing w:after="0"/>
              <w:rPr>
                <w:sz w:val="5"/>
                <w:szCs w:val="5"/>
                <w:color w:val="auto"/>
              </w:rPr>
            </w:pPr>
          </w:p>
        </w:tc>
        <w:tc>
          <w:tcPr>
            <w:tcW w:w="19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396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35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restart"/>
          </w:tcPr>
          <w:p>
            <w:pPr>
              <w:jc w:val="right"/>
              <w:ind w:right="41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396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Amount of gain (loss) reclassified from accumulated OCI</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into income </w:t>
            </w:r>
            <w:r>
              <w:rPr>
                <w:rFonts w:ascii="Arial" w:cs="Arial" w:eastAsia="Arial" w:hAnsi="Arial"/>
                <w:sz w:val="21"/>
                <w:szCs w:val="21"/>
                <w:color w:val="auto"/>
                <w:vertAlign w:val="superscript"/>
              </w:rPr>
              <w:t>(1)</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0"/>
        </w:trPr>
        <w:tc>
          <w:tcPr>
            <w:tcW w:w="3960" w:type="dxa"/>
            <w:vAlign w:val="bottom"/>
          </w:tcPr>
          <w:p>
            <w:pPr>
              <w:spacing w:after="0"/>
              <w:rPr>
                <w:sz w:val="19"/>
                <w:szCs w:val="19"/>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Amount of gain recognized in income on derivative </w:t>
            </w:r>
            <w:r>
              <w:rPr>
                <w:rFonts w:ascii="Arial" w:cs="Arial" w:eastAsia="Arial" w:hAnsi="Arial"/>
                <w:sz w:val="21"/>
                <w:szCs w:val="21"/>
                <w:color w:val="auto"/>
                <w:vertAlign w:val="superscript"/>
              </w:rPr>
              <w:t>(2)</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taxes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3960" w:type="dxa"/>
            <w:vAlign w:val="bottom"/>
          </w:tcPr>
          <w:p>
            <w:pPr>
              <w:ind w:left="40"/>
              <w:spacing w:after="0"/>
              <w:rPr>
                <w:sz w:val="20"/>
                <w:szCs w:val="20"/>
                <w:color w:val="auto"/>
              </w:rPr>
            </w:pPr>
            <w:r>
              <w:rPr>
                <w:rFonts w:ascii="Arial" w:cs="Arial" w:eastAsia="Arial" w:hAnsi="Arial"/>
                <w:sz w:val="16"/>
                <w:szCs w:val="16"/>
                <w:color w:val="auto"/>
              </w:rPr>
              <w:t>Amount of gain recognized in condensed consolidated</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960" w:type="dxa"/>
            <w:vAlign w:val="bottom"/>
          </w:tcPr>
          <w:p>
            <w:pPr>
              <w:ind w:left="40"/>
              <w:spacing w:after="0" w:line="235" w:lineRule="exact"/>
              <w:rPr>
                <w:sz w:val="20"/>
                <w:szCs w:val="20"/>
                <w:color w:val="auto"/>
              </w:rPr>
            </w:pPr>
            <w:r>
              <w:rPr>
                <w:rFonts w:ascii="Arial" w:cs="Arial" w:eastAsia="Arial" w:hAnsi="Arial"/>
                <w:sz w:val="16"/>
                <w:szCs w:val="16"/>
                <w:color w:val="auto"/>
              </w:rPr>
              <w:t xml:space="preserve">statements of operations </w:t>
            </w:r>
            <w:r>
              <w:rPr>
                <w:rFonts w:ascii="Arial" w:cs="Arial" w:eastAsia="Arial" w:hAnsi="Arial"/>
                <w:sz w:val="21"/>
                <w:szCs w:val="21"/>
                <w:color w:val="auto"/>
                <w:vertAlign w:val="superscript"/>
              </w:rPr>
              <w:t>(3)</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taxes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hanging="332"/>
        <w:spacing w:after="0" w:line="183"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impact of aircraft fuel derivative instruments on the Company’s condensed consolidated statements of comprehensive income (loss) is depicted below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40"/>
              <w:spacing w:after="0"/>
              <w:rPr>
                <w:sz w:val="20"/>
                <w:szCs w:val="20"/>
                <w:color w:val="auto"/>
              </w:rPr>
            </w:pPr>
            <w:r>
              <w:rPr>
                <w:rFonts w:ascii="Arial" w:cs="Arial" w:eastAsia="Arial" w:hAnsi="Arial"/>
                <w:sz w:val="16"/>
                <w:szCs w:val="16"/>
                <w:color w:val="auto"/>
              </w:rPr>
              <w:t>Three Months Ended September 30,</w:t>
            </w:r>
          </w:p>
        </w:tc>
        <w:tc>
          <w:tcPr>
            <w:tcW w:w="180" w:type="dxa"/>
            <w:vAlign w:val="bottom"/>
          </w:tcPr>
          <w:p>
            <w:pPr>
              <w:spacing w:after="0"/>
              <w:rPr>
                <w:sz w:val="17"/>
                <w:szCs w:val="17"/>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color w:val="auto"/>
                <w:w w:val="94"/>
              </w:rPr>
              <w:t>Nine Months Ended September 30,</w:t>
            </w:r>
          </w:p>
        </w:tc>
      </w:tr>
      <w:tr>
        <w:trPr>
          <w:trHeight w:val="33"/>
        </w:trPr>
        <w:tc>
          <w:tcPr>
            <w:tcW w:w="4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Location</w:t>
            </w:r>
          </w:p>
        </w:tc>
        <w:tc>
          <w:tcPr>
            <w:tcW w:w="14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2013</w:t>
            </w:r>
          </w:p>
        </w:tc>
      </w:tr>
      <w:tr>
        <w:trPr>
          <w:trHeight w:val="33"/>
        </w:trPr>
        <w:tc>
          <w:tcPr>
            <w:tcW w:w="4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Amount of (gain) loss reclassified from accumulated OCI into</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Reclassification into</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9"/>
        </w:trPr>
        <w:tc>
          <w:tcPr>
            <w:tcW w:w="41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income </w:t>
            </w:r>
            <w:r>
              <w:rPr>
                <w:rFonts w:ascii="Arial" w:cs="Arial" w:eastAsia="Arial" w:hAnsi="Arial"/>
                <w:sz w:val="21"/>
                <w:szCs w:val="21"/>
                <w:color w:val="auto"/>
                <w:vertAlign w:val="superscript"/>
              </w:rPr>
              <w:t>(1)</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70"/>
        </w:trPr>
        <w:tc>
          <w:tcPr>
            <w:tcW w:w="4160" w:type="dxa"/>
            <w:vAlign w:val="bottom"/>
          </w:tcPr>
          <w:p>
            <w:pPr>
              <w:ind w:left="40"/>
              <w:spacing w:after="0"/>
              <w:rPr>
                <w:sz w:val="20"/>
                <w:szCs w:val="20"/>
                <w:color w:val="auto"/>
              </w:rPr>
            </w:pPr>
            <w:r>
              <w:rPr>
                <w:rFonts w:ascii="Arial" w:cs="Arial" w:eastAsia="Arial" w:hAnsi="Arial"/>
                <w:sz w:val="16"/>
                <w:szCs w:val="16"/>
                <w:color w:val="auto"/>
              </w:rPr>
              <w:t xml:space="preserve">Amount of gain (loss) recognized in OCI on derivative </w:t>
            </w:r>
            <w:r>
              <w:rPr>
                <w:rFonts w:ascii="Arial" w:cs="Arial" w:eastAsia="Arial" w:hAnsi="Arial"/>
                <w:sz w:val="21"/>
                <w:szCs w:val="21"/>
                <w:color w:val="auto"/>
                <w:vertAlign w:val="superscript"/>
              </w:rPr>
              <w:t>(1)</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Change in fair value</w:t>
            </w:r>
          </w:p>
        </w:tc>
        <w:tc>
          <w:tcPr>
            <w:tcW w:w="14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200"/>
        </w:trPr>
        <w:tc>
          <w:tcPr>
            <w:tcW w:w="4160" w:type="dxa"/>
            <w:vAlign w:val="bottom"/>
          </w:tcPr>
          <w:p>
            <w:pPr>
              <w:ind w:left="40"/>
              <w:spacing w:after="0"/>
              <w:rPr>
                <w:sz w:val="20"/>
                <w:szCs w:val="20"/>
                <w:color w:val="auto"/>
              </w:rPr>
            </w:pPr>
            <w:r>
              <w:rPr>
                <w:rFonts w:ascii="Arial" w:cs="Arial" w:eastAsia="Arial" w:hAnsi="Arial"/>
                <w:sz w:val="16"/>
                <w:szCs w:val="16"/>
                <w:color w:val="auto"/>
                <w:w w:val="95"/>
              </w:rPr>
              <w:t>Amount of gain (loss) recognized in condensed consolidated</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06"/>
        </w:trPr>
        <w:tc>
          <w:tcPr>
            <w:tcW w:w="4160" w:type="dxa"/>
            <w:vAlign w:val="bottom"/>
          </w:tcPr>
          <w:p>
            <w:pPr>
              <w:ind w:left="40"/>
              <w:spacing w:after="0"/>
              <w:rPr>
                <w:sz w:val="20"/>
                <w:szCs w:val="20"/>
                <w:color w:val="auto"/>
              </w:rPr>
            </w:pPr>
            <w:r>
              <w:rPr>
                <w:rFonts w:ascii="Arial" w:cs="Arial" w:eastAsia="Arial" w:hAnsi="Arial"/>
                <w:sz w:val="16"/>
                <w:szCs w:val="16"/>
                <w:color w:val="auto"/>
              </w:rPr>
              <w:t>statements of comprehensive income</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hanging="332"/>
        <w:spacing w:after="0" w:line="207"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of the Company's fuel derivatives were subject to enforceable master netting agreements with its counterparties, the Company did not offset its fuel derivative assets and liabilities in its condensed consolidated balance sheets. The Company had a gross asset of $109 million as of December 31, 2013 for its aircraft fuel derivative instruments, which was reflected in Prepaid expenses and other on the accompanying condensed consolidated balance sheet. The Company had no cash collateral posted or received as of December 31,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Net unrealized</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Income tax</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Pension and retiree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change on</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financial</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benefit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medical liability</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investments</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instruments</w:t>
            </w:r>
          </w:p>
        </w:tc>
        <w:tc>
          <w:tcPr>
            <w:tcW w:w="16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(expense)</w:t>
            </w:r>
          </w:p>
        </w:tc>
        <w:tc>
          <w:tcPr>
            <w:tcW w:w="240" w:type="dxa"/>
            <w:vAlign w:val="bottom"/>
          </w:tcPr>
          <w:p>
            <w:pPr>
              <w:spacing w:after="0"/>
              <w:rPr>
                <w:sz w:val="17"/>
                <w:szCs w:val="17"/>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color w:val="auto"/>
              </w:rPr>
              <w:t>Total</w:t>
            </w:r>
          </w:p>
        </w:tc>
      </w:tr>
      <w:tr>
        <w:trPr>
          <w:trHeight w:val="33"/>
        </w:trPr>
        <w:tc>
          <w:tcPr>
            <w:tcW w:w="4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4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September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and nine months ended September 30, 2014 and 2013 are as follows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380"/>
        <w:spacing w:after="0" w:line="277" w:lineRule="auto"/>
        <w:rPr>
          <w:sz w:val="20"/>
          <w:szCs w:val="20"/>
          <w:color w:val="auto"/>
        </w:rPr>
      </w:pPr>
      <w:r>
        <w:rPr>
          <w:rFonts w:ascii="Arial" w:cs="Arial" w:eastAsia="Arial" w:hAnsi="Arial"/>
          <w:sz w:val="18"/>
          <w:szCs w:val="18"/>
          <w:color w:val="auto"/>
        </w:rPr>
        <w:t>Details about accumulated other comprehensive income (loss) components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pension and retiree medical liability: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Amount reclassified from accumulated other</w:t>
      </w:r>
    </w:p>
    <w:p>
      <w:pPr>
        <w:spacing w:after="0" w:line="2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710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4"/>
          </w:tcPr>
          <w:p>
            <w:pPr>
              <w:ind w:left="280"/>
              <w:spacing w:after="0"/>
              <w:rPr>
                <w:sz w:val="20"/>
                <w:szCs w:val="20"/>
                <w:color w:val="auto"/>
              </w:rPr>
            </w:pPr>
            <w:r>
              <w:rPr>
                <w:rFonts w:ascii="Arial" w:cs="Arial" w:eastAsia="Arial" w:hAnsi="Arial"/>
                <w:sz w:val="18"/>
                <w:szCs w:val="18"/>
                <w:color w:val="auto"/>
              </w:rPr>
              <w:t>Three Months Ended</w:t>
            </w:r>
          </w:p>
        </w:tc>
        <w:tc>
          <w:tcPr>
            <w:tcW w:w="2080" w:type="dxa"/>
            <w:vAlign w:val="bottom"/>
            <w:gridSpan w:val="3"/>
          </w:tcPr>
          <w:p>
            <w:pPr>
              <w:ind w:left="340"/>
              <w:spacing w:after="0"/>
              <w:rPr>
                <w:sz w:val="20"/>
                <w:szCs w:val="20"/>
                <w:color w:val="auto"/>
              </w:rPr>
            </w:pPr>
            <w:r>
              <w:rPr>
                <w:rFonts w:ascii="Arial" w:cs="Arial" w:eastAsia="Arial" w:hAnsi="Arial"/>
                <w:sz w:val="18"/>
                <w:szCs w:val="18"/>
                <w:color w:val="auto"/>
              </w:rPr>
              <w:t>Nine Months Ended</w:t>
            </w:r>
          </w:p>
        </w:tc>
      </w:tr>
      <w:tr>
        <w:trPr>
          <w:trHeight w:val="230"/>
        </w:trPr>
        <w:tc>
          <w:tcPr>
            <w:tcW w:w="2180" w:type="dxa"/>
            <w:vAlign w:val="bottom"/>
            <w:gridSpan w:val="4"/>
          </w:tcPr>
          <w:p>
            <w:pPr>
              <w:ind w:left="520"/>
              <w:spacing w:after="0"/>
              <w:rPr>
                <w:sz w:val="20"/>
                <w:szCs w:val="20"/>
                <w:color w:val="auto"/>
              </w:rPr>
            </w:pPr>
            <w:r>
              <w:rPr>
                <w:rFonts w:ascii="Arial" w:cs="Arial" w:eastAsia="Arial" w:hAnsi="Arial"/>
                <w:sz w:val="18"/>
                <w:szCs w:val="18"/>
                <w:color w:val="auto"/>
              </w:rPr>
              <w:t>September 30,</w:t>
            </w:r>
          </w:p>
        </w:tc>
        <w:tc>
          <w:tcPr>
            <w:tcW w:w="2080" w:type="dxa"/>
            <w:vAlign w:val="bottom"/>
            <w:gridSpan w:val="3"/>
          </w:tcPr>
          <w:p>
            <w:pPr>
              <w:ind w:left="540"/>
              <w:spacing w:after="0"/>
              <w:rPr>
                <w:sz w:val="20"/>
                <w:szCs w:val="20"/>
                <w:color w:val="auto"/>
              </w:rPr>
            </w:pPr>
            <w:r>
              <w:rPr>
                <w:rFonts w:ascii="Arial" w:cs="Arial" w:eastAsia="Arial" w:hAnsi="Arial"/>
                <w:sz w:val="18"/>
                <w:szCs w:val="18"/>
                <w:color w:val="auto"/>
              </w:rPr>
              <w:t>September 30,</w:t>
            </w:r>
          </w:p>
        </w:tc>
      </w:tr>
      <w:tr>
        <w:trPr>
          <w:trHeight w:val="27"/>
        </w:trPr>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980" w:type="dxa"/>
            <w:vAlign w:val="bottom"/>
          </w:tcPr>
          <w:p>
            <w:pPr>
              <w:ind w:left="30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980" w:type="dxa"/>
            <w:vAlign w:val="bottom"/>
          </w:tcPr>
          <w:p>
            <w:pPr>
              <w:ind w:left="3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2013</w:t>
            </w:r>
          </w:p>
        </w:tc>
      </w:tr>
      <w:tr>
        <w:trPr>
          <w:trHeight w:val="27"/>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-8255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line="342" w:lineRule="auto"/>
        <w:rPr>
          <w:sz w:val="20"/>
          <w:szCs w:val="20"/>
          <w:color w:val="auto"/>
        </w:rPr>
      </w:pPr>
      <w:r>
        <w:rPr>
          <w:rFonts w:ascii="Arial" w:cs="Arial" w:eastAsia="Arial" w:hAnsi="Arial"/>
          <w:sz w:val="16"/>
          <w:szCs w:val="16"/>
          <w:color w:val="auto"/>
        </w:rPr>
        <w:t>Affected line item in the statement where net income (loss) is presented</w:t>
      </w:r>
    </w:p>
    <w:p>
      <w:pPr>
        <w:spacing w:after="0" w:line="245" w:lineRule="exact"/>
        <w:rPr>
          <w:sz w:val="20"/>
          <w:szCs w:val="20"/>
          <w:color w:val="auto"/>
        </w:rPr>
      </w:pPr>
    </w:p>
    <w:p>
      <w:pPr>
        <w:sectPr>
          <w:pgSz w:w="11900" w:h="16838" w:orient="portrait"/>
          <w:cols w:equalWidth="0" w:num="3">
            <w:col w:w="3880" w:space="280"/>
            <w:col w:w="4260" w:space="240"/>
            <w:col w:w="27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6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300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Aircraft fuel and related taxes</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Net unrealized change on investments:</w:t>
            </w: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value</w:t>
            </w: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Reversal of non-cash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000" w:type="dxa"/>
            <w:vAlign w:val="bottom"/>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2014 nine month period,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Regional Expenses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condensed consolidated statements of operations. Regional expenses consist of the following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w w:val="98"/>
              </w:rPr>
              <w:t>Three Months Ended September 30,</w:t>
            </w:r>
          </w:p>
        </w:tc>
        <w:tc>
          <w:tcPr>
            <w:tcW w:w="180" w:type="dxa"/>
            <w:vAlign w:val="bottom"/>
          </w:tcPr>
          <w:p>
            <w:pPr>
              <w:spacing w:after="0"/>
              <w:rPr>
                <w:sz w:val="20"/>
                <w:szCs w:val="20"/>
                <w:color w:val="auto"/>
              </w:rPr>
            </w:pPr>
          </w:p>
        </w:tc>
        <w:tc>
          <w:tcPr>
            <w:tcW w:w="280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0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1,668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the Chapter 11 Cases. On October 21,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the Company repurchased 0.4 million shares of AAG Common Stock for an aggregate of $19 million from the Disputed Claim Reserve at the then prevailing market price in order to fund cash tax obligations resulting from distributions by the Disputed Claim Reserve. As of September 30, 2014, there were approximately 27.5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the Company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the Company but rather will be distributed to former AMR shareholders as of the Effective Date. However, resolution of disputed claims could have a material effect on recoveries by holders of additional allowed Single-Dip Unsecured</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The Company has denied both grievances and intends to defend these matters vigorously.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The Company believes this lawsuit is without merit and intends to vigorously defend against the allegations.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US Airways Sabre Matter</w:t>
      </w:r>
      <w:r>
        <w:rPr>
          <w:rFonts w:ascii="Arial" w:cs="Arial" w:eastAsia="Arial" w:hAnsi="Arial"/>
          <w:sz w:val="17"/>
          <w:szCs w:val="17"/>
          <w:color w:val="auto"/>
        </w:rPr>
        <w:t>. On April 21, 2011, US Airways filed an antitrust lawsuit against Sabre Holdings Corporation, Sabre Inc. and Sabre Travel</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the Company's ability to distribute its products to its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The Company intends to pursue its claims against Sabre vigorously, but there can be no assurance of the outcome of this litigation.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w:t>
      </w:r>
      <w:r>
        <w:rPr>
          <w:rFonts w:ascii="Arial" w:cs="Arial" w:eastAsia="Arial" w:hAnsi="Arial"/>
          <w:sz w:val="18"/>
          <w:szCs w:val="18"/>
          <w:i w:val="1"/>
          <w:iCs w:val="1"/>
          <w:color w:val="auto"/>
        </w:rPr>
        <w:t xml:space="preserve"> </w:t>
      </w:r>
      <w:r>
        <w:rPr>
          <w:rFonts w:ascii="Arial" w:cs="Arial" w:eastAsia="Arial" w:hAnsi="Arial"/>
          <w:sz w:val="18"/>
          <w:szCs w:val="18"/>
          <w:color w:val="auto"/>
        </w:rPr>
        <w:t>take many 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Information for Subsidiary Guarantors and Non-guarantor Subsidiaries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of obligations associated with US Airways Group's 6.125% senior notes. In addition, on March 31,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 In September 2014, the Company issued $750 million aggregate principal amount of the 5.50% senior notes, which are fully and unconditionally guaranteed by American, US Airways Group and US Airways.</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required to present the following condensed consolidating financial information for the periods after Merger close for American Airlines Group Parent, American, US Airways Group Parent, US Airways and all other non-guarantor subsidiaries, together with the consolidating adjustments necessary to present the Company’s results on a consolidated basis.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9"/>
          </w:tcPr>
          <w:p>
            <w:pPr>
              <w:jc w:val="right"/>
              <w:spacing w:after="0"/>
              <w:rPr>
                <w:sz w:val="20"/>
                <w:szCs w:val="20"/>
                <w:color w:val="auto"/>
              </w:rPr>
            </w:pPr>
            <w:r>
              <w:rPr>
                <w:rFonts w:ascii="Arial" w:cs="Arial" w:eastAsia="Arial" w:hAnsi="Arial"/>
                <w:sz w:val="16"/>
                <w:szCs w:val="16"/>
                <w:color w:val="auto"/>
              </w:rPr>
              <w:t>Three Months Ended September 30, 2014</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4"/>
              </w:rPr>
              <w:t>American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Airlines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7"/>
              </w:rPr>
              <w:t>US Airways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99"/>
              <w:spacing w:after="0" w:line="162" w:lineRule="exact"/>
              <w:rPr>
                <w:sz w:val="20"/>
                <w:szCs w:val="20"/>
                <w:color w:val="auto"/>
              </w:rPr>
            </w:pPr>
            <w:r>
              <w:rPr>
                <w:rFonts w:ascii="Arial" w:cs="Arial" w:eastAsia="Arial" w:hAnsi="Arial"/>
                <w:sz w:val="15"/>
                <w:szCs w:val="15"/>
                <w:color w:val="auto"/>
              </w:rPr>
              <w:t>American</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3"/>
              </w:rPr>
              <w:t>Non-Guarantor</w:t>
            </w:r>
          </w:p>
        </w:tc>
        <w:tc>
          <w:tcPr>
            <w:tcW w:w="18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1040" w:type="dxa"/>
            <w:vAlign w:val="bottom"/>
          </w:tcPr>
          <w:p>
            <w:pPr>
              <w:jc w:val="right"/>
              <w:ind w:right="39"/>
              <w:spacing w:after="0" w:line="162" w:lineRule="exact"/>
              <w:rPr>
                <w:sz w:val="20"/>
                <w:szCs w:val="20"/>
                <w:color w:val="auto"/>
              </w:rPr>
            </w:pPr>
            <w:r>
              <w:rPr>
                <w:rFonts w:ascii="Arial" w:cs="Arial" w:eastAsia="Arial" w:hAnsi="Arial"/>
                <w:sz w:val="15"/>
                <w:szCs w:val="15"/>
                <w:color w:val="auto"/>
                <w:w w:val="94"/>
              </w:rPr>
              <w:t>Airlines Group</w:t>
            </w:r>
          </w:p>
        </w:tc>
      </w:tr>
      <w:tr>
        <w:trPr>
          <w:trHeight w:val="198"/>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000" w:type="dxa"/>
            <w:vAlign w:val="bottom"/>
            <w:gridSpan w:val="3"/>
          </w:tcPr>
          <w:p>
            <w:pPr>
              <w:ind w:left="60"/>
              <w:spacing w:after="0"/>
              <w:rPr>
                <w:sz w:val="20"/>
                <w:szCs w:val="20"/>
                <w:color w:val="auto"/>
              </w:rPr>
            </w:pPr>
            <w:r>
              <w:rPr>
                <w:rFonts w:ascii="Arial" w:cs="Arial" w:eastAsia="Arial" w:hAnsi="Arial"/>
                <w:sz w:val="15"/>
                <w:szCs w:val="15"/>
                <w:color w:val="auto"/>
              </w:rPr>
              <w:t>US Airways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Subsidiaries</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Reclassifications</w:t>
            </w:r>
          </w:p>
        </w:tc>
        <w:tc>
          <w:tcPr>
            <w:tcW w:w="1160" w:type="dxa"/>
            <w:vAlign w:val="bottom"/>
            <w:gridSpan w:val="2"/>
          </w:tcPr>
          <w:p>
            <w:pPr>
              <w:ind w:left="40"/>
              <w:spacing w:after="0"/>
              <w:rPr>
                <w:sz w:val="20"/>
                <w:szCs w:val="20"/>
                <w:color w:val="auto"/>
              </w:rPr>
            </w:pPr>
            <w:r>
              <w:rPr>
                <w:rFonts w:ascii="Arial" w:cs="Arial" w:eastAsia="Arial" w:hAnsi="Arial"/>
                <w:sz w:val="15"/>
                <w:szCs w:val="15"/>
                <w:color w:val="auto"/>
                <w:w w:val="94"/>
              </w:rPr>
              <w:t>Inc. Consolidated</w:t>
            </w:r>
          </w:p>
        </w:tc>
      </w:tr>
      <w:tr>
        <w:trPr>
          <w:trHeight w:val="208"/>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60"/>
        </w:trPr>
        <w:tc>
          <w:tcPr>
            <w:tcW w:w="3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Mainline passenger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2,772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8,093</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Regional passenger</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Cargo</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w:t>
            </w:r>
          </w:p>
        </w:tc>
      </w:tr>
      <w:tr>
        <w:trPr>
          <w:trHeight w:val="217"/>
        </w:trPr>
        <w:tc>
          <w:tcPr>
            <w:tcW w:w="3480" w:type="dxa"/>
            <w:vAlign w:val="bottom"/>
          </w:tcPr>
          <w:p>
            <w:pPr>
              <w:ind w:left="380"/>
              <w:spacing w:after="0"/>
              <w:rPr>
                <w:sz w:val="20"/>
                <w:szCs w:val="20"/>
                <w:color w:val="auto"/>
              </w:rPr>
            </w:pPr>
            <w:r>
              <w:rPr>
                <w:rFonts w:ascii="Arial" w:cs="Arial" w:eastAsia="Arial" w:hAnsi="Arial"/>
                <w:sz w:val="16"/>
                <w:szCs w:val="16"/>
                <w:color w:val="auto"/>
              </w:rPr>
              <w:t>Total operating revenues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11,139</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Aircraft fuel and related taxes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2,829</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wages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2,137</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Regional expenses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1,668</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Maintenance, materials and repairs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Other rent and landing fees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rent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Selling expenses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Special items, net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r>
      <w:tr>
        <w:trPr>
          <w:trHeight w:val="217"/>
        </w:trPr>
        <w:tc>
          <w:tcPr>
            <w:tcW w:w="34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6,357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3,548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9,879</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nonoperating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949</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942</w:t>
            </w: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9"/>
          </w:tcPr>
          <w:p>
            <w:pPr>
              <w:jc w:val="right"/>
              <w:spacing w:after="0"/>
              <w:rPr>
                <w:sz w:val="20"/>
                <w:szCs w:val="20"/>
                <w:color w:val="auto"/>
              </w:rPr>
            </w:pPr>
            <w:r>
              <w:rPr>
                <w:rFonts w:ascii="Arial" w:cs="Arial" w:eastAsia="Arial" w:hAnsi="Arial"/>
                <w:sz w:val="16"/>
                <w:szCs w:val="16"/>
                <w:color w:val="auto"/>
              </w:rPr>
              <w:t>Three Months Ended September 30, 2014</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4"/>
              </w:rPr>
              <w:t>American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Airlines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7"/>
              </w:rPr>
              <w:t>US Airways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00"/>
              <w:spacing w:after="0" w:line="162" w:lineRule="exact"/>
              <w:rPr>
                <w:sz w:val="20"/>
                <w:szCs w:val="20"/>
                <w:color w:val="auto"/>
              </w:rPr>
            </w:pPr>
            <w:r>
              <w:rPr>
                <w:rFonts w:ascii="Arial" w:cs="Arial" w:eastAsia="Arial" w:hAnsi="Arial"/>
                <w:sz w:val="15"/>
                <w:szCs w:val="15"/>
                <w:color w:val="auto"/>
              </w:rPr>
              <w:t>American</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3"/>
              </w:rPr>
              <w:t>Non-Guarantor</w:t>
            </w:r>
          </w:p>
        </w:tc>
        <w:tc>
          <w:tcPr>
            <w:tcW w:w="18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1040" w:type="dxa"/>
            <w:vAlign w:val="bottom"/>
          </w:tcPr>
          <w:p>
            <w:pPr>
              <w:jc w:val="right"/>
              <w:ind w:right="40"/>
              <w:spacing w:after="0" w:line="162" w:lineRule="exact"/>
              <w:rPr>
                <w:sz w:val="20"/>
                <w:szCs w:val="20"/>
                <w:color w:val="auto"/>
              </w:rPr>
            </w:pPr>
            <w:r>
              <w:rPr>
                <w:rFonts w:ascii="Arial" w:cs="Arial" w:eastAsia="Arial" w:hAnsi="Arial"/>
                <w:sz w:val="15"/>
                <w:szCs w:val="15"/>
                <w:color w:val="auto"/>
                <w:w w:val="94"/>
              </w:rPr>
              <w:t>Airlines Group</w:t>
            </w:r>
          </w:p>
        </w:tc>
      </w:tr>
      <w:tr>
        <w:trPr>
          <w:trHeight w:val="198"/>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000" w:type="dxa"/>
            <w:vAlign w:val="bottom"/>
            <w:gridSpan w:val="3"/>
          </w:tcPr>
          <w:p>
            <w:pPr>
              <w:ind w:left="60"/>
              <w:spacing w:after="0"/>
              <w:rPr>
                <w:sz w:val="20"/>
                <w:szCs w:val="20"/>
                <w:color w:val="auto"/>
              </w:rPr>
            </w:pPr>
            <w:r>
              <w:rPr>
                <w:rFonts w:ascii="Arial" w:cs="Arial" w:eastAsia="Arial" w:hAnsi="Arial"/>
                <w:sz w:val="15"/>
                <w:szCs w:val="15"/>
                <w:color w:val="auto"/>
              </w:rPr>
              <w:t>US Airways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Subsidiaries</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Reclassifications</w:t>
            </w:r>
          </w:p>
        </w:tc>
        <w:tc>
          <w:tcPr>
            <w:tcW w:w="1160" w:type="dxa"/>
            <w:vAlign w:val="bottom"/>
            <w:gridSpan w:val="2"/>
          </w:tcPr>
          <w:p>
            <w:pPr>
              <w:ind w:left="40"/>
              <w:spacing w:after="0"/>
              <w:rPr>
                <w:sz w:val="20"/>
                <w:szCs w:val="20"/>
                <w:color w:val="auto"/>
              </w:rPr>
            </w:pPr>
            <w:r>
              <w:rPr>
                <w:rFonts w:ascii="Arial" w:cs="Arial" w:eastAsia="Arial" w:hAnsi="Arial"/>
                <w:sz w:val="15"/>
                <w:szCs w:val="15"/>
                <w:color w:val="auto"/>
                <w:w w:val="94"/>
              </w:rPr>
              <w:t>Inc. Consolidated</w:t>
            </w:r>
          </w:p>
        </w:tc>
      </w:tr>
      <w:tr>
        <w:trPr>
          <w:trHeight w:val="234"/>
        </w:trPr>
        <w:tc>
          <w:tcPr>
            <w:tcW w:w="3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942</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0"/>
        </w:trPr>
        <w:tc>
          <w:tcPr>
            <w:tcW w:w="3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Defined benefit pension plans and retiree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medical</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24"/>
        </w:trPr>
        <w:tc>
          <w:tcPr>
            <w:tcW w:w="3480" w:type="dxa"/>
            <w:vAlign w:val="bottom"/>
          </w:tcPr>
          <w:p>
            <w:pPr>
              <w:ind w:left="28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500"/>
              <w:spacing w:after="0"/>
              <w:rPr>
                <w:sz w:val="20"/>
                <w:szCs w:val="20"/>
                <w:color w:val="auto"/>
              </w:rPr>
            </w:pPr>
            <w:r>
              <w:rPr>
                <w:rFonts w:ascii="Arial" w:cs="Arial" w:eastAsia="Arial" w:hAnsi="Arial"/>
                <w:sz w:val="16"/>
                <w:szCs w:val="16"/>
                <w:color w:val="auto"/>
              </w:rPr>
              <w:t>Reclassification into earnings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loss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480" w:type="dxa"/>
            <w:vAlign w:val="bottom"/>
          </w:tcPr>
          <w:p>
            <w:pPr>
              <w:ind w:left="500"/>
              <w:spacing w:after="0"/>
              <w:rPr>
                <w:sz w:val="20"/>
                <w:szCs w:val="20"/>
                <w:color w:val="auto"/>
              </w:rPr>
            </w:pPr>
            <w:r>
              <w:rPr>
                <w:rFonts w:ascii="Arial" w:cs="Arial" w:eastAsia="Arial" w:hAnsi="Arial"/>
                <w:sz w:val="16"/>
                <w:szCs w:val="16"/>
                <w:color w:val="auto"/>
              </w:rPr>
              <w:t>Net change in value</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7"/>
        </w:trPr>
        <w:tc>
          <w:tcPr>
            <w:tcW w:w="3480" w:type="dxa"/>
            <w:vAlign w:val="bottom"/>
          </w:tcPr>
          <w:p>
            <w:pPr>
              <w:ind w:left="260"/>
              <w:spacing w:after="0"/>
              <w:rPr>
                <w:sz w:val="20"/>
                <w:szCs w:val="20"/>
                <w:color w:val="auto"/>
              </w:rPr>
            </w:pPr>
            <w:r>
              <w:rPr>
                <w:rFonts w:ascii="Arial" w:cs="Arial" w:eastAsia="Arial" w:hAnsi="Arial"/>
                <w:sz w:val="16"/>
                <w:szCs w:val="16"/>
                <w:color w:val="auto"/>
              </w:rPr>
              <w:t>Reversal of non-cash tax provision</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895</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9"/>
          </w:tcPr>
          <w:p>
            <w:pPr>
              <w:jc w:val="right"/>
              <w:spacing w:after="0"/>
              <w:rPr>
                <w:sz w:val="20"/>
                <w:szCs w:val="20"/>
                <w:color w:val="auto"/>
              </w:rPr>
            </w:pPr>
            <w:r>
              <w:rPr>
                <w:rFonts w:ascii="Arial" w:cs="Arial" w:eastAsia="Arial" w:hAnsi="Arial"/>
                <w:sz w:val="16"/>
                <w:szCs w:val="16"/>
                <w:color w:val="auto"/>
              </w:rPr>
              <w:t>Nine Months Ended September 30, 2014</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4"/>
              </w:rPr>
              <w:t>American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Airlines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7"/>
              </w:rPr>
              <w:t>US Airways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199"/>
              <w:spacing w:after="0" w:line="162" w:lineRule="exact"/>
              <w:rPr>
                <w:sz w:val="20"/>
                <w:szCs w:val="20"/>
                <w:color w:val="auto"/>
              </w:rPr>
            </w:pPr>
            <w:r>
              <w:rPr>
                <w:rFonts w:ascii="Arial" w:cs="Arial" w:eastAsia="Arial" w:hAnsi="Arial"/>
                <w:sz w:val="15"/>
                <w:szCs w:val="15"/>
                <w:color w:val="auto"/>
              </w:rPr>
              <w:t>American</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3"/>
              </w:rPr>
              <w:t>Non-Guarantor</w:t>
            </w:r>
          </w:p>
        </w:tc>
        <w:tc>
          <w:tcPr>
            <w:tcW w:w="18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1040" w:type="dxa"/>
            <w:vAlign w:val="bottom"/>
          </w:tcPr>
          <w:p>
            <w:pPr>
              <w:jc w:val="right"/>
              <w:ind w:right="39"/>
              <w:spacing w:after="0" w:line="162" w:lineRule="exact"/>
              <w:rPr>
                <w:sz w:val="20"/>
                <w:szCs w:val="20"/>
                <w:color w:val="auto"/>
              </w:rPr>
            </w:pPr>
            <w:r>
              <w:rPr>
                <w:rFonts w:ascii="Arial" w:cs="Arial" w:eastAsia="Arial" w:hAnsi="Arial"/>
                <w:sz w:val="15"/>
                <w:szCs w:val="15"/>
                <w:color w:val="auto"/>
                <w:w w:val="94"/>
              </w:rPr>
              <w:t>Airlines Group</w:t>
            </w:r>
          </w:p>
        </w:tc>
      </w:tr>
      <w:tr>
        <w:trPr>
          <w:trHeight w:val="198"/>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000" w:type="dxa"/>
            <w:vAlign w:val="bottom"/>
            <w:gridSpan w:val="3"/>
          </w:tcPr>
          <w:p>
            <w:pPr>
              <w:ind w:left="60"/>
              <w:spacing w:after="0"/>
              <w:rPr>
                <w:sz w:val="20"/>
                <w:szCs w:val="20"/>
                <w:color w:val="auto"/>
              </w:rPr>
            </w:pPr>
            <w:r>
              <w:rPr>
                <w:rFonts w:ascii="Arial" w:cs="Arial" w:eastAsia="Arial" w:hAnsi="Arial"/>
                <w:sz w:val="15"/>
                <w:szCs w:val="15"/>
                <w:color w:val="auto"/>
              </w:rPr>
              <w:t>US Airways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Subsidiaries</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Reclassifications</w:t>
            </w:r>
          </w:p>
        </w:tc>
        <w:tc>
          <w:tcPr>
            <w:tcW w:w="1160" w:type="dxa"/>
            <w:vAlign w:val="bottom"/>
            <w:gridSpan w:val="2"/>
          </w:tcPr>
          <w:p>
            <w:pPr>
              <w:ind w:left="40"/>
              <w:spacing w:after="0"/>
              <w:rPr>
                <w:sz w:val="20"/>
                <w:szCs w:val="20"/>
                <w:color w:val="auto"/>
              </w:rPr>
            </w:pPr>
            <w:r>
              <w:rPr>
                <w:rFonts w:ascii="Arial" w:cs="Arial" w:eastAsia="Arial" w:hAnsi="Arial"/>
                <w:sz w:val="15"/>
                <w:szCs w:val="15"/>
                <w:color w:val="auto"/>
                <w:w w:val="94"/>
              </w:rPr>
              <w:t>Inc. Consolidated</w:t>
            </w:r>
          </w:p>
        </w:tc>
      </w:tr>
      <w:tr>
        <w:trPr>
          <w:trHeight w:val="208"/>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60"/>
        </w:trPr>
        <w:tc>
          <w:tcPr>
            <w:tcW w:w="3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Mainline passenger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15,579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7,985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23,564</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Regional passenger</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4,779</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Cargo</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643</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w:t>
            </w:r>
          </w:p>
        </w:tc>
      </w:tr>
      <w:tr>
        <w:trPr>
          <w:trHeight w:val="217"/>
        </w:trPr>
        <w:tc>
          <w:tcPr>
            <w:tcW w:w="3480" w:type="dxa"/>
            <w:vAlign w:val="bottom"/>
          </w:tcPr>
          <w:p>
            <w:pPr>
              <w:ind w:left="380"/>
              <w:spacing w:after="0"/>
              <w:rPr>
                <w:sz w:val="20"/>
                <w:szCs w:val="20"/>
                <w:color w:val="auto"/>
              </w:rPr>
            </w:pPr>
            <w:r>
              <w:rPr>
                <w:rFonts w:ascii="Arial" w:cs="Arial" w:eastAsia="Arial" w:hAnsi="Arial"/>
                <w:sz w:val="16"/>
                <w:szCs w:val="16"/>
                <w:color w:val="auto"/>
              </w:rPr>
              <w:t>Total operating revenues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20,676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11,895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32,490</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Aircraft fuel and related taxes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5,662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8,370</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wages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6,419</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Regional expenses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4,919</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Maintenance, materials and repairs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Other rent and landing fees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1,297</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rent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Selling expenses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1,196</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Special items, net</w:t>
            </w:r>
          </w:p>
        </w:tc>
        <w:tc>
          <w:tcPr>
            <w:tcW w:w="1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r>
      <w:tr>
        <w:trPr>
          <w:trHeight w:val="217"/>
        </w:trPr>
        <w:tc>
          <w:tcPr>
            <w:tcW w:w="34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18,683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29,101</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3,389</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Nonoperating income (expense)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subsidiaries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48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nonoperating income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2,645</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w:t>
            </w:r>
          </w:p>
        </w:tc>
      </w:tr>
      <w:tr>
        <w:trPr>
          <w:trHeight w:val="217"/>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2,285</w:t>
            </w: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gridSpan w:val="9"/>
          </w:tcPr>
          <w:p>
            <w:pPr>
              <w:jc w:val="right"/>
              <w:spacing w:after="0"/>
              <w:rPr>
                <w:sz w:val="20"/>
                <w:szCs w:val="20"/>
                <w:color w:val="auto"/>
              </w:rPr>
            </w:pPr>
            <w:r>
              <w:rPr>
                <w:rFonts w:ascii="Arial" w:cs="Arial" w:eastAsia="Arial" w:hAnsi="Arial"/>
                <w:sz w:val="16"/>
                <w:szCs w:val="16"/>
                <w:color w:val="auto"/>
              </w:rPr>
              <w:t>Nine Months Ended September 30, 2014</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9"/>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4"/>
              </w:rPr>
              <w:t>American</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Airlines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7"/>
              </w:rPr>
              <w:t>US Airways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5"/>
              </w:rPr>
              <w:t>Group</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200"/>
              <w:spacing w:after="0" w:line="162" w:lineRule="exact"/>
              <w:rPr>
                <w:sz w:val="20"/>
                <w:szCs w:val="20"/>
                <w:color w:val="auto"/>
              </w:rPr>
            </w:pPr>
            <w:r>
              <w:rPr>
                <w:rFonts w:ascii="Arial" w:cs="Arial" w:eastAsia="Arial" w:hAnsi="Arial"/>
                <w:sz w:val="15"/>
                <w:szCs w:val="15"/>
                <w:color w:val="auto"/>
              </w:rPr>
              <w:t>American</w:t>
            </w:r>
          </w:p>
        </w:tc>
      </w:tr>
      <w:tr>
        <w:trPr>
          <w:trHeight w:val="162"/>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3"/>
              </w:rPr>
              <w:t>Non-Guarantor</w:t>
            </w:r>
          </w:p>
        </w:tc>
        <w:tc>
          <w:tcPr>
            <w:tcW w:w="18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1040" w:type="dxa"/>
            <w:vAlign w:val="bottom"/>
          </w:tcPr>
          <w:p>
            <w:pPr>
              <w:jc w:val="right"/>
              <w:ind w:right="40"/>
              <w:spacing w:after="0" w:line="162" w:lineRule="exact"/>
              <w:rPr>
                <w:sz w:val="20"/>
                <w:szCs w:val="20"/>
                <w:color w:val="auto"/>
              </w:rPr>
            </w:pPr>
            <w:r>
              <w:rPr>
                <w:rFonts w:ascii="Arial" w:cs="Arial" w:eastAsia="Arial" w:hAnsi="Arial"/>
                <w:sz w:val="15"/>
                <w:szCs w:val="15"/>
                <w:color w:val="auto"/>
                <w:w w:val="94"/>
              </w:rPr>
              <w:t>Airlines Group</w:t>
            </w:r>
          </w:p>
        </w:tc>
      </w:tr>
      <w:tr>
        <w:trPr>
          <w:trHeight w:val="198"/>
        </w:trPr>
        <w:tc>
          <w:tcPr>
            <w:tcW w:w="3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color w:val="auto"/>
              </w:rPr>
              <w:t>American</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1000" w:type="dxa"/>
            <w:vAlign w:val="bottom"/>
            <w:gridSpan w:val="3"/>
          </w:tcPr>
          <w:p>
            <w:pPr>
              <w:ind w:left="60"/>
              <w:spacing w:after="0"/>
              <w:rPr>
                <w:sz w:val="20"/>
                <w:szCs w:val="20"/>
                <w:color w:val="auto"/>
              </w:rPr>
            </w:pPr>
            <w:r>
              <w:rPr>
                <w:rFonts w:ascii="Arial" w:cs="Arial" w:eastAsia="Arial" w:hAnsi="Arial"/>
                <w:sz w:val="15"/>
                <w:szCs w:val="15"/>
                <w:color w:val="auto"/>
              </w:rPr>
              <w:t>US Airways</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color w:val="auto"/>
                <w:w w:val="90"/>
              </w:rPr>
              <w:t>Subsidiaries</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Reclassifications</w:t>
            </w:r>
          </w:p>
        </w:tc>
        <w:tc>
          <w:tcPr>
            <w:tcW w:w="1160" w:type="dxa"/>
            <w:vAlign w:val="bottom"/>
            <w:gridSpan w:val="2"/>
          </w:tcPr>
          <w:p>
            <w:pPr>
              <w:ind w:left="40"/>
              <w:spacing w:after="0"/>
              <w:rPr>
                <w:sz w:val="20"/>
                <w:szCs w:val="20"/>
                <w:color w:val="auto"/>
              </w:rPr>
            </w:pPr>
            <w:r>
              <w:rPr>
                <w:rFonts w:ascii="Arial" w:cs="Arial" w:eastAsia="Arial" w:hAnsi="Arial"/>
                <w:sz w:val="15"/>
                <w:szCs w:val="15"/>
                <w:color w:val="auto"/>
                <w:w w:val="94"/>
              </w:rPr>
              <w:t>Inc. Consolidated</w:t>
            </w:r>
          </w:p>
        </w:tc>
      </w:tr>
      <w:tr>
        <w:trPr>
          <w:trHeight w:val="234"/>
        </w:trPr>
        <w:tc>
          <w:tcPr>
            <w:tcW w:w="3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2,285</w:t>
            </w:r>
          </w:p>
        </w:tc>
      </w:tr>
      <w:tr>
        <w:trPr>
          <w:trHeight w:val="224"/>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0"/>
        </w:trPr>
        <w:tc>
          <w:tcPr>
            <w:tcW w:w="3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Defined benefit pension plans and retiree</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medical</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24"/>
        </w:trPr>
        <w:tc>
          <w:tcPr>
            <w:tcW w:w="3480" w:type="dxa"/>
            <w:vAlign w:val="bottom"/>
          </w:tcPr>
          <w:p>
            <w:pPr>
              <w:ind w:left="28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3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37"/>
        </w:trPr>
        <w:tc>
          <w:tcPr>
            <w:tcW w:w="3480" w:type="dxa"/>
            <w:vAlign w:val="bottom"/>
          </w:tcPr>
          <w:p>
            <w:pPr>
              <w:ind w:left="500"/>
              <w:spacing w:after="0"/>
              <w:rPr>
                <w:sz w:val="20"/>
                <w:szCs w:val="20"/>
                <w:color w:val="auto"/>
              </w:rPr>
            </w:pPr>
            <w:r>
              <w:rPr>
                <w:rFonts w:ascii="Arial" w:cs="Arial" w:eastAsia="Arial" w:hAnsi="Arial"/>
                <w:sz w:val="16"/>
                <w:szCs w:val="16"/>
                <w:color w:val="auto"/>
              </w:rPr>
              <w:t>Reclassification into earnings</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3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 (loss)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480" w:type="dxa"/>
            <w:vAlign w:val="bottom"/>
          </w:tcPr>
          <w:p>
            <w:pPr>
              <w:ind w:left="500"/>
              <w:spacing w:after="0"/>
              <w:rPr>
                <w:sz w:val="20"/>
                <w:szCs w:val="20"/>
                <w:color w:val="auto"/>
              </w:rPr>
            </w:pPr>
            <w:r>
              <w:rPr>
                <w:rFonts w:ascii="Arial" w:cs="Arial" w:eastAsia="Arial" w:hAnsi="Arial"/>
                <w:sz w:val="16"/>
                <w:szCs w:val="16"/>
                <w:color w:val="auto"/>
              </w:rPr>
              <w:t>Net change in value</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loss before tax</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37"/>
        </w:trPr>
        <w:tc>
          <w:tcPr>
            <w:tcW w:w="3480" w:type="dxa"/>
            <w:vAlign w:val="bottom"/>
          </w:tcPr>
          <w:p>
            <w:pPr>
              <w:ind w:left="260"/>
              <w:spacing w:after="0"/>
              <w:rPr>
                <w:sz w:val="20"/>
                <w:szCs w:val="20"/>
                <w:color w:val="auto"/>
              </w:rPr>
            </w:pPr>
            <w:r>
              <w:rPr>
                <w:rFonts w:ascii="Arial" w:cs="Arial" w:eastAsia="Arial" w:hAnsi="Arial"/>
                <w:sz w:val="16"/>
                <w:szCs w:val="16"/>
                <w:color w:val="auto"/>
              </w:rPr>
              <w:t>Reversal of non-cash tax provision</w:t>
            </w:r>
          </w:p>
        </w:tc>
        <w:tc>
          <w:tcPr>
            <w:tcW w:w="12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330</w:t>
            </w:r>
          </w:p>
        </w:tc>
      </w:tr>
      <w:tr>
        <w:trPr>
          <w:trHeight w:val="33"/>
        </w:trPr>
        <w:tc>
          <w:tcPr>
            <w:tcW w:w="3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gridSpan w:val="8"/>
          </w:tcPr>
          <w:p>
            <w:pPr>
              <w:ind w:left="920"/>
              <w:spacing w:after="0"/>
              <w:rPr>
                <w:sz w:val="20"/>
                <w:szCs w:val="20"/>
                <w:color w:val="auto"/>
              </w:rPr>
            </w:pPr>
            <w:r>
              <w:rPr>
                <w:rFonts w:ascii="Arial" w:cs="Arial" w:eastAsia="Arial" w:hAnsi="Arial"/>
                <w:sz w:val="16"/>
                <w:szCs w:val="16"/>
                <w:color w:val="auto"/>
              </w:rPr>
              <w:t>September 30, 2014</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Arial" w:cs="Arial" w:eastAsia="Arial" w:hAnsi="Arial"/>
                <w:sz w:val="13"/>
                <w:szCs w:val="13"/>
                <w:color w:val="auto"/>
                <w:w w:val="92"/>
              </w:rPr>
              <w:t>American Airlines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20"/>
              <w:spacing w:after="0" w:line="141" w:lineRule="exact"/>
              <w:rPr>
                <w:sz w:val="20"/>
                <w:szCs w:val="20"/>
                <w:color w:val="auto"/>
              </w:rPr>
            </w:pPr>
            <w:r>
              <w:rPr>
                <w:rFonts w:ascii="Arial" w:cs="Arial" w:eastAsia="Arial" w:hAnsi="Arial"/>
                <w:sz w:val="13"/>
                <w:szCs w:val="13"/>
                <w:color w:val="auto"/>
                <w:w w:val="89"/>
              </w:rPr>
              <w:t>US Airways Group</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2"/>
              </w:rPr>
              <w:t>American Airlines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4"/>
              </w:rPr>
              <w:t>Group (Parent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6"/>
              </w:rPr>
              <w:t>(Parent Company</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Non-Guarantor</w:t>
            </w:r>
          </w:p>
        </w:tc>
        <w:tc>
          <w:tcPr>
            <w:tcW w:w="16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Eliminations and</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Group Inc.</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Company Only)</w:t>
            </w:r>
          </w:p>
        </w:tc>
        <w:tc>
          <w:tcPr>
            <w:tcW w:w="1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American</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Only)</w:t>
            </w:r>
          </w:p>
        </w:tc>
        <w:tc>
          <w:tcPr>
            <w:tcW w:w="880" w:type="dxa"/>
            <w:vAlign w:val="bottom"/>
            <w:gridSpan w:val="3"/>
          </w:tcPr>
          <w:p>
            <w:pPr>
              <w:ind w:left="80"/>
              <w:spacing w:after="0"/>
              <w:rPr>
                <w:sz w:val="20"/>
                <w:szCs w:val="20"/>
                <w:color w:val="auto"/>
              </w:rPr>
            </w:pPr>
            <w:r>
              <w:rPr>
                <w:rFonts w:ascii="Arial" w:cs="Arial" w:eastAsia="Arial" w:hAnsi="Arial"/>
                <w:sz w:val="13"/>
                <w:szCs w:val="13"/>
                <w:color w:val="auto"/>
              </w:rPr>
              <w:t>US Airways</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Subsidiaries</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Reclassifications</w:t>
            </w: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60"/>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1,008</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1,178</w:t>
            </w:r>
          </w:p>
        </w:tc>
        <w:tc>
          <w:tcPr>
            <w:tcW w:w="0" w:type="dxa"/>
            <w:vAlign w:val="bottom"/>
          </w:tcPr>
          <w:p>
            <w:pPr>
              <w:spacing w:after="0"/>
              <w:rPr>
                <w:sz w:val="1"/>
                <w:szCs w:val="1"/>
                <w:color w:val="auto"/>
              </w:rPr>
            </w:pPr>
          </w:p>
        </w:tc>
      </w:tr>
      <w:tr>
        <w:trPr>
          <w:trHeight w:val="97"/>
        </w:trPr>
        <w:tc>
          <w:tcPr>
            <w:tcW w:w="36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18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3,799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2,920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6,721</w:t>
            </w:r>
          </w:p>
        </w:tc>
        <w:tc>
          <w:tcPr>
            <w:tcW w:w="0" w:type="dxa"/>
            <w:vAlign w:val="bottom"/>
          </w:tcPr>
          <w:p>
            <w:pPr>
              <w:spacing w:after="0"/>
              <w:rPr>
                <w:sz w:val="1"/>
                <w:szCs w:val="1"/>
                <w:color w:val="auto"/>
              </w:rPr>
            </w:pPr>
          </w:p>
        </w:tc>
      </w:tr>
      <w:tr>
        <w:trPr>
          <w:trHeight w:val="89"/>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and short-term investments</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652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875</w:t>
            </w:r>
          </w:p>
        </w:tc>
        <w:tc>
          <w:tcPr>
            <w:tcW w:w="0" w:type="dxa"/>
            <w:vAlign w:val="bottom"/>
          </w:tcPr>
          <w:p>
            <w:pPr>
              <w:spacing w:after="0"/>
              <w:rPr>
                <w:sz w:val="1"/>
                <w:szCs w:val="1"/>
                <w:color w:val="auto"/>
              </w:rPr>
            </w:pPr>
          </w:p>
        </w:tc>
      </w:tr>
      <w:tr>
        <w:trPr>
          <w:trHeight w:val="97"/>
        </w:trPr>
        <w:tc>
          <w:tcPr>
            <w:tcW w:w="3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1,459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497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1,961</w:t>
            </w:r>
          </w:p>
        </w:tc>
        <w:tc>
          <w:tcPr>
            <w:tcW w:w="0" w:type="dxa"/>
            <w:vAlign w:val="bottom"/>
          </w:tcPr>
          <w:p>
            <w:pPr>
              <w:spacing w:after="0"/>
              <w:rPr>
                <w:sz w:val="1"/>
                <w:szCs w:val="1"/>
                <w:color w:val="auto"/>
              </w:rPr>
            </w:pPr>
          </w:p>
        </w:tc>
      </w:tr>
      <w:tr>
        <w:trPr>
          <w:trHeight w:val="89"/>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 from related parties,net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(4,677)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3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620" w:type="dxa"/>
            <w:vAlign w:val="bottom"/>
          </w:tcPr>
          <w:p>
            <w:pPr>
              <w:ind w:left="180"/>
              <w:spacing w:after="0"/>
              <w:rPr>
                <w:sz w:val="20"/>
                <w:szCs w:val="20"/>
                <w:color w:val="auto"/>
              </w:rPr>
            </w:pPr>
            <w:r>
              <w:rPr>
                <w:rFonts w:ascii="Arial" w:cs="Arial" w:eastAsia="Arial" w:hAnsi="Arial"/>
                <w:sz w:val="13"/>
                <w:szCs w:val="13"/>
                <w:color w:val="auto"/>
              </w:rPr>
              <w:t>Aircraft fuel, spare parts and supplies, net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369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1,182</w:t>
            </w:r>
          </w:p>
        </w:tc>
        <w:tc>
          <w:tcPr>
            <w:tcW w:w="0" w:type="dxa"/>
            <w:vAlign w:val="bottom"/>
          </w:tcPr>
          <w:p>
            <w:pPr>
              <w:spacing w:after="0"/>
              <w:rPr>
                <w:sz w:val="1"/>
                <w:szCs w:val="1"/>
                <w:color w:val="auto"/>
              </w:rPr>
            </w:pPr>
          </w:p>
        </w:tc>
      </w:tr>
      <w:tr>
        <w:trPr>
          <w:trHeight w:val="89"/>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 and other</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1,533</w:t>
            </w:r>
          </w:p>
        </w:tc>
        <w:tc>
          <w:tcPr>
            <w:tcW w:w="0" w:type="dxa"/>
            <w:vAlign w:val="bottom"/>
          </w:tcPr>
          <w:p>
            <w:pPr>
              <w:spacing w:after="0"/>
              <w:rPr>
                <w:sz w:val="1"/>
                <w:szCs w:val="1"/>
                <w:color w:val="auto"/>
              </w:rPr>
            </w:pPr>
          </w:p>
        </w:tc>
      </w:tr>
      <w:tr>
        <w:trPr>
          <w:trHeight w:val="97"/>
        </w:trPr>
        <w:tc>
          <w:tcPr>
            <w:tcW w:w="3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620" w:type="dxa"/>
            <w:vAlign w:val="bottom"/>
          </w:tcPr>
          <w:p>
            <w:pPr>
              <w:ind w:left="280"/>
              <w:spacing w:after="0"/>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2,838</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8,189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3"/>
                <w:szCs w:val="13"/>
                <w:color w:val="auto"/>
              </w:rPr>
              <w:t>331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6,065</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810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(4,783)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13,450</w:t>
            </w:r>
          </w:p>
        </w:tc>
        <w:tc>
          <w:tcPr>
            <w:tcW w:w="0" w:type="dxa"/>
            <w:vAlign w:val="bottom"/>
          </w:tcPr>
          <w:p>
            <w:pPr>
              <w:spacing w:after="0"/>
              <w:rPr>
                <w:sz w:val="1"/>
                <w:szCs w:val="1"/>
                <w:color w:val="auto"/>
              </w:rPr>
            </w:pPr>
          </w:p>
        </w:tc>
      </w:tr>
      <w:tr>
        <w:trPr>
          <w:trHeight w:val="89"/>
        </w:trPr>
        <w:tc>
          <w:tcPr>
            <w:tcW w:w="3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6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property and equipment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15,403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6,483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22,163</w:t>
            </w:r>
          </w:p>
        </w:tc>
        <w:tc>
          <w:tcPr>
            <w:tcW w:w="0" w:type="dxa"/>
            <w:vAlign w:val="bottom"/>
          </w:tcPr>
          <w:p>
            <w:pPr>
              <w:spacing w:after="0"/>
              <w:rPr>
                <w:sz w:val="1"/>
                <w:szCs w:val="1"/>
                <w:color w:val="auto"/>
              </w:rPr>
            </w:pPr>
          </w:p>
        </w:tc>
      </w:tr>
      <w:tr>
        <w:trPr>
          <w:trHeight w:val="97"/>
        </w:trPr>
        <w:tc>
          <w:tcPr>
            <w:tcW w:w="3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Investment in subsidiaries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Intangibles, net of accumulated amortization</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other assets</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Total assets</w:t>
      </w:r>
    </w:p>
    <w:p>
      <w:pPr>
        <w:spacing w:after="0" w:line="200" w:lineRule="exact"/>
        <w:rPr>
          <w:sz w:val="20"/>
          <w:szCs w:val="20"/>
          <w:color w:val="auto"/>
        </w:rPr>
      </w:pPr>
    </w:p>
    <w:p>
      <w:pPr>
        <w:spacing w:after="0" w:line="218" w:lineRule="exact"/>
        <w:rPr>
          <w:sz w:val="20"/>
          <w:szCs w:val="20"/>
          <w:color w:val="auto"/>
        </w:rPr>
      </w:pPr>
    </w:p>
    <w:p>
      <w:pPr>
        <w:ind w:left="40"/>
        <w:spacing w:after="0" w:line="327" w:lineRule="auto"/>
        <w:rPr>
          <w:sz w:val="20"/>
          <w:szCs w:val="20"/>
          <w:color w:val="auto"/>
        </w:rPr>
      </w:pPr>
      <w:r>
        <w:rPr>
          <w:rFonts w:ascii="Arial" w:cs="Arial" w:eastAsia="Arial" w:hAnsi="Arial"/>
          <w:sz w:val="13"/>
          <w:szCs w:val="13"/>
          <w:b w:val="1"/>
          <w:bCs w:val="1"/>
          <w:color w:val="auto"/>
        </w:rPr>
        <w:t>LIABILITIES AND STOCKHOLDERS’ EQUITY (DEFICIT) Current liabilities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maturities of long-term debt and capital leases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Payables to related parties,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Air traffic liability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Frequent flyer liability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accrued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2"/>
          <w:szCs w:val="12"/>
          <w:color w:val="auto"/>
        </w:rPr>
        <w:t>Long-term debt and capital leases, net of current maturities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 and postretirement benefits</w:t>
      </w:r>
    </w:p>
    <w:p>
      <w:pPr>
        <w:spacing w:after="0" w:line="121" w:lineRule="exact"/>
        <w:rPr>
          <w:sz w:val="20"/>
          <w:szCs w:val="20"/>
          <w:color w:val="auto"/>
        </w:rPr>
      </w:pPr>
    </w:p>
    <w:p>
      <w:pPr>
        <w:ind w:left="180" w:right="120"/>
        <w:spacing w:after="0" w:line="237" w:lineRule="auto"/>
        <w:rPr>
          <w:sz w:val="20"/>
          <w:szCs w:val="20"/>
          <w:color w:val="auto"/>
        </w:rPr>
      </w:pPr>
      <w:r>
        <w:rPr>
          <w:rFonts w:ascii="Arial" w:cs="Arial" w:eastAsia="Arial" w:hAnsi="Arial"/>
          <w:sz w:val="13"/>
          <w:szCs w:val="13"/>
          <w:color w:val="auto"/>
        </w:rPr>
        <w:t>Mandatorily convertible preferred stock and other bankruptcy settlement obligations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 (deficit)</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Accumulated other comprehensive income (loss)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Retained earnings (deficit)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stockholders’ equity (deficit)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2"/>
          <w:szCs w:val="12"/>
          <w:b w:val="1"/>
          <w:bCs w:val="1"/>
          <w:color w:val="auto"/>
        </w:rPr>
        <w:t>Total liabilities and stockholders’ equity (deficit)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2,843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6,578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(9,421)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4,089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4,089</w:t>
            </w:r>
          </w:p>
        </w:tc>
      </w:tr>
      <w:tr>
        <w:trPr>
          <w:trHeight w:val="270"/>
        </w:trPr>
        <w:tc>
          <w:tcPr>
            <w:tcW w:w="4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863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1,442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2,305</w:t>
            </w:r>
          </w:p>
        </w:tc>
      </w:tr>
      <w:tr>
        <w:trPr>
          <w:trHeight w:val="280"/>
        </w:trPr>
        <w:tc>
          <w:tcPr>
            <w:tcW w:w="4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1,855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2,166</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2,895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2,718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6,578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5,791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(9,455)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8,560</w:t>
            </w:r>
          </w:p>
        </w:tc>
      </w:tr>
      <w:tr>
        <w:trPr>
          <w:trHeight w:val="237"/>
        </w:trPr>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5,733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26,310</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6,909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18,339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(14,238)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44,173</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-702310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-359410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-16510</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291465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956</w:t>
            </w:r>
          </w:p>
        </w:tc>
        <w:tc>
          <w:tcPr>
            <w:tcW w:w="12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3"/>
                <w:szCs w:val="13"/>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1,439</w:t>
            </w:r>
          </w:p>
        </w:tc>
      </w:tr>
      <w:tr>
        <w:trPr>
          <w:trHeight w:val="270"/>
        </w:trPr>
        <w:tc>
          <w:tcPr>
            <w:tcW w:w="4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1,155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1,498</w:t>
            </w:r>
          </w:p>
        </w:tc>
      </w:tr>
      <w:tr>
        <w:trPr>
          <w:trHeight w:val="270"/>
        </w:trPr>
        <w:tc>
          <w:tcPr>
            <w:tcW w:w="4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3,437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396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3,385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1,567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4,952</w:t>
            </w:r>
          </w:p>
        </w:tc>
      </w:tr>
      <w:tr>
        <w:trPr>
          <w:trHeight w:val="270"/>
        </w:trPr>
        <w:tc>
          <w:tcPr>
            <w:tcW w:w="4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1,790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2,871</w:t>
            </w:r>
          </w:p>
        </w:tc>
      </w:tr>
      <w:tr>
        <w:trPr>
          <w:trHeight w:val="280"/>
        </w:trPr>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1,745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1,228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3,128</w:t>
            </w:r>
          </w:p>
        </w:tc>
      </w:tr>
      <w:tr>
        <w:trPr>
          <w:trHeight w:val="241"/>
        </w:trPr>
        <w:tc>
          <w:tcPr>
            <w:tcW w:w="42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12,468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(4,690)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13,888</w:t>
            </w:r>
          </w:p>
        </w:tc>
      </w:tr>
      <w:tr>
        <w:trPr>
          <w:trHeight w:val="540"/>
        </w:trPr>
        <w:tc>
          <w:tcPr>
            <w:tcW w:w="4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758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9,255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523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5,150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15,651</w:t>
            </w:r>
          </w:p>
        </w:tc>
      </w:tr>
      <w:tr>
        <w:trPr>
          <w:trHeight w:val="270"/>
        </w:trPr>
        <w:tc>
          <w:tcPr>
            <w:tcW w:w="4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4,830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4,964</w:t>
            </w:r>
          </w:p>
        </w:tc>
      </w:tr>
      <w:tr>
        <w:trPr>
          <w:trHeight w:val="324"/>
        </w:trPr>
        <w:tc>
          <w:tcPr>
            <w:tcW w:w="42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239</w:t>
            </w:r>
          </w:p>
        </w:tc>
      </w:tr>
      <w:tr>
        <w:trPr>
          <w:trHeight w:val="280"/>
        </w:trPr>
        <w:tc>
          <w:tcPr>
            <w:tcW w:w="4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2,709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1,834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4,460</w:t>
            </w:r>
          </w:p>
        </w:tc>
      </w:tr>
      <w:tr>
        <w:trPr>
          <w:trHeight w:val="241"/>
        </w:trPr>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17,033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7,090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25,314</w:t>
            </w:r>
          </w:p>
        </w:tc>
      </w:tr>
      <w:tr>
        <w:trPr>
          <w:trHeight w:val="540"/>
        </w:trPr>
        <w:tc>
          <w:tcPr>
            <w:tcW w:w="42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7</w:t>
            </w:r>
          </w:p>
        </w:tc>
      </w:tr>
      <w:tr>
        <w:trPr>
          <w:trHeight w:val="270"/>
        </w:trPr>
        <w:tc>
          <w:tcPr>
            <w:tcW w:w="42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15,943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10,558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4,678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5,516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(20,951)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15,943</w:t>
            </w:r>
          </w:p>
        </w:tc>
      </w:tr>
      <w:tr>
        <w:trPr>
          <w:trHeight w:val="270"/>
        </w:trPr>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1,994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(1,893)</w:t>
            </w:r>
          </w:p>
        </w:tc>
      </w:tr>
      <w:tr>
        <w:trPr>
          <w:trHeight w:val="280"/>
        </w:trPr>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(11,737)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896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1,031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9,816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(9,086)</w:t>
            </w:r>
          </w:p>
        </w:tc>
      </w:tr>
      <w:tr>
        <w:trPr>
          <w:trHeight w:val="250"/>
        </w:trPr>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4,971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(3,191)</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5,583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6,556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(9,141)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4,971</w:t>
            </w:r>
          </w:p>
        </w:tc>
      </w:tr>
      <w:tr>
        <w:trPr>
          <w:trHeight w:val="237"/>
        </w:trPr>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5,733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26,310</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6,909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18,339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(14,238)</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44,173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-3309620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-2966720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-2623820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-2280285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-1937385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-1560195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-1217295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-874395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-530860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-187960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20"/>
            <w:col w:w="780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gridSpan w:val="8"/>
          </w:tcPr>
          <w:p>
            <w:pPr>
              <w:ind w:left="740"/>
              <w:spacing w:after="0"/>
              <w:rPr>
                <w:sz w:val="20"/>
                <w:szCs w:val="20"/>
                <w:color w:val="auto"/>
              </w:rPr>
            </w:pPr>
            <w:r>
              <w:rPr>
                <w:rFonts w:ascii="Arial" w:cs="Arial" w:eastAsia="Arial" w:hAnsi="Arial"/>
                <w:sz w:val="16"/>
                <w:szCs w:val="16"/>
                <w:color w:val="auto"/>
              </w:rPr>
              <w:t>December 31, 2013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1" w:lineRule="exact"/>
              <w:rPr>
                <w:sz w:val="20"/>
                <w:szCs w:val="20"/>
                <w:color w:val="auto"/>
              </w:rPr>
            </w:pPr>
            <w:r>
              <w:rPr>
                <w:rFonts w:ascii="Arial" w:cs="Arial" w:eastAsia="Arial" w:hAnsi="Arial"/>
                <w:sz w:val="13"/>
                <w:szCs w:val="13"/>
                <w:color w:val="auto"/>
                <w:w w:val="92"/>
              </w:rPr>
              <w:t>American Airlines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1" w:lineRule="exact"/>
              <w:rPr>
                <w:sz w:val="20"/>
                <w:szCs w:val="20"/>
                <w:color w:val="auto"/>
              </w:rPr>
            </w:pPr>
            <w:r>
              <w:rPr>
                <w:rFonts w:ascii="Arial" w:cs="Arial" w:eastAsia="Arial" w:hAnsi="Arial"/>
                <w:sz w:val="13"/>
                <w:szCs w:val="13"/>
                <w:color w:val="auto"/>
                <w:w w:val="89"/>
              </w:rPr>
              <w:t>US Airways Group</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spacing w:after="0" w:line="141" w:lineRule="exact"/>
              <w:rPr>
                <w:sz w:val="20"/>
                <w:szCs w:val="20"/>
                <w:color w:val="auto"/>
              </w:rPr>
            </w:pPr>
            <w:r>
              <w:rPr>
                <w:rFonts w:ascii="Arial" w:cs="Arial" w:eastAsia="Arial" w:hAnsi="Arial"/>
                <w:sz w:val="13"/>
                <w:szCs w:val="13"/>
                <w:color w:val="auto"/>
                <w:w w:val="92"/>
              </w:rPr>
              <w:t>American Airlines</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7"/>
              </w:rPr>
              <w:t>Group (Parent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86"/>
              </w:rPr>
              <w:t>(Parent Company</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9"/>
              </w:rPr>
              <w:t>Non-Guarantor</w:t>
            </w:r>
          </w:p>
        </w:tc>
        <w:tc>
          <w:tcPr>
            <w:tcW w:w="140" w:type="dxa"/>
            <w:vAlign w:val="bottom"/>
          </w:tcPr>
          <w:p>
            <w:pPr>
              <w:spacing w:after="0"/>
              <w:rPr>
                <w:sz w:val="11"/>
                <w:szCs w:val="11"/>
                <w:color w:val="auto"/>
              </w:rPr>
            </w:pPr>
          </w:p>
        </w:tc>
        <w:tc>
          <w:tcPr>
            <w:tcW w:w="12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Eliminations and</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color w:val="auto"/>
                <w:w w:val="88"/>
              </w:rPr>
              <w:t>Group Inc.</w:t>
            </w: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color w:val="auto"/>
                <w:w w:val="90"/>
              </w:rPr>
              <w:t>Company Only)</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American</w:t>
            </w:r>
          </w:p>
        </w:tc>
        <w:tc>
          <w:tcPr>
            <w:tcW w:w="2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color w:val="auto"/>
                <w:w w:val="96"/>
              </w:rPr>
              <w:t>Only)</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3"/>
                <w:szCs w:val="13"/>
                <w:color w:val="auto"/>
              </w:rPr>
              <w:t>US Airways</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3"/>
                <w:szCs w:val="13"/>
                <w:color w:val="auto"/>
                <w:w w:val="87"/>
              </w:rPr>
              <w:t>Subsidiaries</w:t>
            </w:r>
          </w:p>
        </w:tc>
        <w:tc>
          <w:tcPr>
            <w:tcW w:w="1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3"/>
                <w:szCs w:val="13"/>
                <w:color w:val="auto"/>
              </w:rPr>
              <w:t>Reclassifications</w:t>
            </w: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60"/>
        </w:trPr>
        <w:tc>
          <w:tcPr>
            <w:tcW w:w="3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97"/>
        </w:trPr>
        <w:tc>
          <w:tcPr>
            <w:tcW w:w="358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28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5,162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2,947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8,111</w:t>
            </w: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cash and short-term investments</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97"/>
        </w:trPr>
        <w:tc>
          <w:tcPr>
            <w:tcW w:w="3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280"/>
              <w:spacing w:after="0"/>
              <w:rPr>
                <w:sz w:val="20"/>
                <w:szCs w:val="20"/>
                <w:color w:val="auto"/>
              </w:rPr>
            </w:pPr>
            <w:r>
              <w:rPr>
                <w:rFonts w:ascii="Arial" w:cs="Arial" w:eastAsia="Arial" w:hAnsi="Arial"/>
                <w:sz w:val="13"/>
                <w:szCs w:val="13"/>
                <w:color w:val="auto"/>
              </w:rPr>
              <w:t>Accounts receivable, net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Receivables from related parties, net</w:t>
            </w:r>
          </w:p>
        </w:tc>
        <w:tc>
          <w:tcPr>
            <w:tcW w:w="1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3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580" w:type="dxa"/>
            <w:vAlign w:val="bottom"/>
          </w:tcPr>
          <w:p>
            <w:pPr>
              <w:ind w:left="280"/>
              <w:spacing w:after="0"/>
              <w:rPr>
                <w:sz w:val="20"/>
                <w:szCs w:val="20"/>
                <w:color w:val="auto"/>
              </w:rPr>
            </w:pPr>
            <w:r>
              <w:rPr>
                <w:rFonts w:ascii="Arial" w:cs="Arial" w:eastAsia="Arial" w:hAnsi="Arial"/>
                <w:sz w:val="13"/>
                <w:szCs w:val="13"/>
                <w:color w:val="auto"/>
              </w:rPr>
              <w:t>Aircraft fuel, spare parts and supplies, net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37"/>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97"/>
        </w:trPr>
        <w:tc>
          <w:tcPr>
            <w:tcW w:w="3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2,469</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9,201</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(3,592)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14,323</w:t>
            </w:r>
          </w:p>
        </w:tc>
        <w:tc>
          <w:tcPr>
            <w:tcW w:w="0" w:type="dxa"/>
            <w:vAlign w:val="bottom"/>
          </w:tcPr>
          <w:p>
            <w:pPr>
              <w:spacing w:after="0"/>
              <w:rPr>
                <w:sz w:val="1"/>
                <w:szCs w:val="1"/>
                <w:color w:val="auto"/>
              </w:rPr>
            </w:pPr>
          </w:p>
        </w:tc>
      </w:tr>
      <w:tr>
        <w:trPr>
          <w:trHeight w:val="89"/>
        </w:trPr>
        <w:tc>
          <w:tcPr>
            <w:tcW w:w="3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property and equipment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13,469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19,259</w:t>
            </w:r>
          </w:p>
        </w:tc>
        <w:tc>
          <w:tcPr>
            <w:tcW w:w="0" w:type="dxa"/>
            <w:vAlign w:val="bottom"/>
          </w:tcPr>
          <w:p>
            <w:pPr>
              <w:spacing w:after="0"/>
              <w:rPr>
                <w:sz w:val="1"/>
                <w:szCs w:val="1"/>
                <w:color w:val="auto"/>
              </w:rPr>
            </w:pPr>
          </w:p>
        </w:tc>
      </w:tr>
      <w:tr>
        <w:trPr>
          <w:trHeight w:val="97"/>
        </w:trPr>
        <w:tc>
          <w:tcPr>
            <w:tcW w:w="3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2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Investment in subsidiaries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Intangibles, net of accumulated amortization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other assets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Total assets</w:t>
      </w:r>
    </w:p>
    <w:p>
      <w:pPr>
        <w:spacing w:after="0" w:line="200" w:lineRule="exact"/>
        <w:rPr>
          <w:sz w:val="20"/>
          <w:szCs w:val="20"/>
          <w:color w:val="auto"/>
        </w:rPr>
      </w:pPr>
    </w:p>
    <w:p>
      <w:pPr>
        <w:spacing w:after="0" w:line="218" w:lineRule="exact"/>
        <w:rPr>
          <w:sz w:val="20"/>
          <w:szCs w:val="20"/>
          <w:color w:val="auto"/>
        </w:rPr>
      </w:pPr>
    </w:p>
    <w:p>
      <w:pPr>
        <w:ind w:left="40" w:right="160"/>
        <w:spacing w:after="0" w:line="327" w:lineRule="auto"/>
        <w:rPr>
          <w:sz w:val="20"/>
          <w:szCs w:val="20"/>
          <w:color w:val="auto"/>
        </w:rPr>
      </w:pPr>
      <w:r>
        <w:rPr>
          <w:rFonts w:ascii="Arial" w:cs="Arial" w:eastAsia="Arial" w:hAnsi="Arial"/>
          <w:sz w:val="13"/>
          <w:szCs w:val="13"/>
          <w:b w:val="1"/>
          <w:bCs w:val="1"/>
          <w:color w:val="auto"/>
        </w:rPr>
        <w:t>LIABILITIES &amp; STOCKHOLDERS’ EQUITY (DEFICIT) Current liabilities</w:t>
      </w:r>
    </w:p>
    <w:p>
      <w:pPr>
        <w:spacing w:after="0" w:line="5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Current maturities of long-term debt and capital leases</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Accounts payable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Payables to related parties, net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Air traffic liability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Frequent flyer liability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accrued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Long-term debt and capital leases, net of current maturities</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Pensions and postretirement benefits</w:t>
      </w:r>
    </w:p>
    <w:p>
      <w:pPr>
        <w:spacing w:after="0" w:line="121" w:lineRule="exact"/>
        <w:rPr>
          <w:sz w:val="20"/>
          <w:szCs w:val="20"/>
          <w:color w:val="auto"/>
        </w:rPr>
      </w:pPr>
    </w:p>
    <w:p>
      <w:pPr>
        <w:ind w:left="280"/>
        <w:spacing w:after="0" w:line="237" w:lineRule="auto"/>
        <w:rPr>
          <w:sz w:val="20"/>
          <w:szCs w:val="20"/>
          <w:color w:val="auto"/>
        </w:rPr>
      </w:pPr>
      <w:r>
        <w:rPr>
          <w:rFonts w:ascii="Arial" w:cs="Arial" w:eastAsia="Arial" w:hAnsi="Arial"/>
          <w:sz w:val="13"/>
          <w:szCs w:val="13"/>
          <w:color w:val="auto"/>
        </w:rPr>
        <w:t>Mandatorily convertible preferred stock and other bankruptcy settlement obligations</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Negative investment in subsidiaries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 (deficit)</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Accumulated other comprehensive income (loss)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Retained earnings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stockholders’ equity (deficit)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1"/>
          <w:szCs w:val="11"/>
          <w:b w:val="1"/>
          <w:bCs w:val="1"/>
          <w:color w:val="auto"/>
        </w:rPr>
        <w:t>Total liabilities and stockholders’ equity (deficit)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5,317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(5,317)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4,086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4,086</w:t>
            </w:r>
          </w:p>
        </w:tc>
      </w:tr>
      <w:tr>
        <w:trPr>
          <w:trHeight w:val="270"/>
        </w:trPr>
        <w:tc>
          <w:tcPr>
            <w:tcW w:w="4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1,496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2,311</w:t>
            </w:r>
          </w:p>
        </w:tc>
      </w:tr>
      <w:tr>
        <w:trPr>
          <w:trHeight w:val="280"/>
        </w:trPr>
        <w:tc>
          <w:tcPr>
            <w:tcW w:w="4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2,299</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2,942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5,317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5,713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(5,351)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8,696</w:t>
            </w:r>
          </w:p>
        </w:tc>
      </w:tr>
      <w:tr>
        <w:trPr>
          <w:trHeight w:val="237"/>
        </w:trPr>
        <w:tc>
          <w:tcPr>
            <w:tcW w:w="4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16,719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(8,943)</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42,278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-702310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-359410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-16510</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291465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3"/>
                <w:szCs w:val="13"/>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467</w:t>
            </w:r>
          </w:p>
        </w:tc>
        <w:tc>
          <w:tcPr>
            <w:tcW w:w="100" w:type="dxa"/>
            <w:vAlign w:val="bottom"/>
          </w:tcPr>
          <w:p>
            <w:pPr>
              <w:spacing w:after="0"/>
              <w:rPr>
                <w:sz w:val="13"/>
                <w:szCs w:val="13"/>
                <w:color w:val="auto"/>
              </w:rPr>
            </w:pPr>
          </w:p>
        </w:tc>
        <w:tc>
          <w:tcPr>
            <w:tcW w:w="3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1,446</w:t>
            </w:r>
          </w:p>
        </w:tc>
      </w:tr>
      <w:tr>
        <w:trPr>
          <w:trHeight w:val="270"/>
        </w:trPr>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1,368</w:t>
            </w:r>
          </w:p>
        </w:tc>
      </w:tr>
      <w:tr>
        <w:trPr>
          <w:trHeight w:val="270"/>
        </w:trPr>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1,235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4,380</w:t>
            </w:r>
          </w:p>
        </w:tc>
      </w:tr>
      <w:tr>
        <w:trPr>
          <w:trHeight w:val="270"/>
        </w:trPr>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1,245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3,005</w:t>
            </w:r>
          </w:p>
        </w:tc>
      </w:tr>
      <w:tr>
        <w:trPr>
          <w:trHeight w:val="280"/>
        </w:trPr>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1,137</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3,607</w:t>
            </w:r>
          </w:p>
        </w:tc>
      </w:tr>
      <w:tr>
        <w:trPr>
          <w:trHeight w:val="241"/>
        </w:trPr>
        <w:tc>
          <w:tcPr>
            <w:tcW w:w="4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11,919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4,438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(3,487)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13,806</w:t>
            </w:r>
          </w:p>
        </w:tc>
      </w:tr>
      <w:tr>
        <w:trPr>
          <w:trHeight w:val="540"/>
        </w:trPr>
        <w:tc>
          <w:tcPr>
            <w:tcW w:w="4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9,852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5,005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15,353</w:t>
            </w:r>
          </w:p>
        </w:tc>
      </w:tr>
      <w:tr>
        <w:trPr>
          <w:trHeight w:val="270"/>
        </w:trPr>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5,693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5,828</w:t>
            </w:r>
          </w:p>
        </w:tc>
      </w:tr>
      <w:tr>
        <w:trPr>
          <w:trHeight w:val="324"/>
        </w:trPr>
        <w:tc>
          <w:tcPr>
            <w:tcW w:w="4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435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5,424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5,928</w:t>
            </w:r>
          </w:p>
        </w:tc>
      </w:tr>
      <w:tr>
        <w:trPr>
          <w:trHeight w:val="270"/>
        </w:trPr>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4,799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4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1,905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4,094</w:t>
            </w:r>
          </w:p>
        </w:tc>
      </w:tr>
      <w:tr>
        <w:trPr>
          <w:trHeight w:val="241"/>
        </w:trPr>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23,353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7,019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31,203</w:t>
            </w:r>
          </w:p>
        </w:tc>
      </w:tr>
      <w:tr>
        <w:trPr>
          <w:trHeight w:val="540"/>
        </w:trPr>
        <w:tc>
          <w:tcPr>
            <w:tcW w:w="40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w:t>
            </w:r>
          </w:p>
        </w:tc>
      </w:tr>
      <w:tr>
        <w:trPr>
          <w:trHeight w:val="270"/>
        </w:trPr>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10,592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5,361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4,602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5,441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(15,530)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10,592</w:t>
            </w:r>
          </w:p>
        </w:tc>
      </w:tr>
      <w:tr>
        <w:trPr>
          <w:trHeight w:val="270"/>
        </w:trPr>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2,128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(2,032)</w:t>
            </w:r>
          </w:p>
        </w:tc>
      </w:tr>
      <w:tr>
        <w:trPr>
          <w:trHeight w:val="280"/>
        </w:trPr>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(11,296)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(12,869)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13,252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(11,296)</w:t>
            </w:r>
          </w:p>
        </w:tc>
      </w:tr>
      <w:tr>
        <w:trPr>
          <w:trHeight w:val="250"/>
        </w:trPr>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(9,660)</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4,406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5,262</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w:t>
            </w:r>
          </w:p>
        </w:tc>
      </w:tr>
      <w:tr>
        <w:trPr>
          <w:trHeight w:val="237"/>
        </w:trPr>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16,719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(8,943)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42,278</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-3481070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-3138170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-2795270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-2451735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-2108835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-1731645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-1388745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-1045845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-702310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-359410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180"/>
            <w:col w:w="784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9"/>
          </w:tcPr>
          <w:p>
            <w:pPr>
              <w:jc w:val="right"/>
              <w:spacing w:after="0"/>
              <w:rPr>
                <w:sz w:val="20"/>
                <w:szCs w:val="20"/>
                <w:color w:val="auto"/>
              </w:rPr>
            </w:pPr>
            <w:r>
              <w:rPr>
                <w:rFonts w:ascii="Arial" w:cs="Arial" w:eastAsia="Arial" w:hAnsi="Arial"/>
                <w:sz w:val="16"/>
                <w:szCs w:val="16"/>
                <w:color w:val="auto"/>
              </w:rPr>
              <w:t>Nine Months Ended September 30, 2014</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69"/>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9" w:lineRule="exact"/>
              <w:rPr>
                <w:sz w:val="20"/>
                <w:szCs w:val="20"/>
                <w:color w:val="auto"/>
              </w:rPr>
            </w:pPr>
            <w:r>
              <w:rPr>
                <w:rFonts w:ascii="Arial" w:cs="Arial" w:eastAsia="Arial" w:hAnsi="Arial"/>
                <w:sz w:val="15"/>
                <w:szCs w:val="15"/>
                <w:color w:val="auto"/>
                <w:w w:val="94"/>
              </w:rPr>
              <w:t>American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rPr>
              <w:t>Airlines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color w:val="auto"/>
                <w:w w:val="95"/>
              </w:rPr>
              <w:t>US Airways</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Group</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1"/>
              </w:rPr>
              <w:t>Group</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9"/>
              </w:rPr>
              <w:t>(Parent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(Parent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79"/>
              <w:spacing w:after="0" w:line="162" w:lineRule="exact"/>
              <w:rPr>
                <w:sz w:val="20"/>
                <w:szCs w:val="20"/>
                <w:color w:val="auto"/>
              </w:rPr>
            </w:pPr>
            <w:r>
              <w:rPr>
                <w:rFonts w:ascii="Arial" w:cs="Arial" w:eastAsia="Arial" w:hAnsi="Arial"/>
                <w:sz w:val="15"/>
                <w:szCs w:val="15"/>
                <w:color w:val="auto"/>
              </w:rPr>
              <w:t>American</w:t>
            </w: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Company</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0"/>
              </w:rPr>
              <w:t>Company</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color w:val="auto"/>
                <w:w w:val="93"/>
              </w:rPr>
              <w:t>Non-Guarantor</w:t>
            </w:r>
          </w:p>
        </w:tc>
        <w:tc>
          <w:tcPr>
            <w:tcW w:w="18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1020" w:type="dxa"/>
            <w:vAlign w:val="bottom"/>
          </w:tcPr>
          <w:p>
            <w:pPr>
              <w:jc w:val="right"/>
              <w:ind w:right="19"/>
              <w:spacing w:after="0" w:line="162" w:lineRule="exact"/>
              <w:rPr>
                <w:sz w:val="20"/>
                <w:szCs w:val="20"/>
                <w:color w:val="auto"/>
              </w:rPr>
            </w:pPr>
            <w:r>
              <w:rPr>
                <w:rFonts w:ascii="Arial" w:cs="Arial" w:eastAsia="Arial" w:hAnsi="Arial"/>
                <w:sz w:val="15"/>
                <w:szCs w:val="15"/>
                <w:color w:val="auto"/>
                <w:w w:val="94"/>
              </w:rPr>
              <w:t>Airlines Group</w:t>
            </w:r>
          </w:p>
        </w:tc>
      </w:tr>
      <w:tr>
        <w:trPr>
          <w:trHeight w:val="198"/>
        </w:trPr>
        <w:tc>
          <w:tcPr>
            <w:tcW w:w="3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5"/>
                <w:szCs w:val="15"/>
                <w:color w:val="auto"/>
              </w:rPr>
              <w:t>Only)</w:t>
            </w:r>
          </w:p>
        </w:tc>
        <w:tc>
          <w:tcPr>
            <w:tcW w:w="14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5"/>
                <w:szCs w:val="15"/>
                <w:color w:val="auto"/>
              </w:rPr>
              <w:t>American</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Only)</w:t>
            </w:r>
          </w:p>
        </w:tc>
        <w:tc>
          <w:tcPr>
            <w:tcW w:w="1000" w:type="dxa"/>
            <w:vAlign w:val="bottom"/>
            <w:gridSpan w:val="3"/>
          </w:tcPr>
          <w:p>
            <w:pPr>
              <w:ind w:left="80"/>
              <w:spacing w:after="0"/>
              <w:rPr>
                <w:sz w:val="20"/>
                <w:szCs w:val="20"/>
                <w:color w:val="auto"/>
              </w:rPr>
            </w:pPr>
            <w:r>
              <w:rPr>
                <w:rFonts w:ascii="Arial" w:cs="Arial" w:eastAsia="Arial" w:hAnsi="Arial"/>
                <w:sz w:val="15"/>
                <w:szCs w:val="15"/>
                <w:color w:val="auto"/>
              </w:rPr>
              <w:t>US Airways</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color w:val="auto"/>
                <w:w w:val="92"/>
              </w:rPr>
              <w:t>Subsidiaries</w:t>
            </w:r>
          </w:p>
        </w:tc>
        <w:tc>
          <w:tcPr>
            <w:tcW w:w="18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color w:val="auto"/>
              </w:rPr>
              <w:t>Reclassifications</w:t>
            </w:r>
          </w:p>
        </w:tc>
        <w:tc>
          <w:tcPr>
            <w:tcW w:w="1140" w:type="dxa"/>
            <w:vAlign w:val="bottom"/>
            <w:gridSpan w:val="2"/>
          </w:tcPr>
          <w:p>
            <w:pPr>
              <w:ind w:left="40"/>
              <w:spacing w:after="0"/>
              <w:rPr>
                <w:sz w:val="20"/>
                <w:szCs w:val="20"/>
                <w:color w:val="auto"/>
              </w:rPr>
            </w:pPr>
            <w:r>
              <w:rPr>
                <w:rFonts w:ascii="Arial" w:cs="Arial" w:eastAsia="Arial" w:hAnsi="Arial"/>
                <w:sz w:val="15"/>
                <w:szCs w:val="15"/>
                <w:color w:val="auto"/>
                <w:w w:val="93"/>
              </w:rPr>
              <w:t>Inc. Consolidated</w:t>
            </w:r>
          </w:p>
        </w:tc>
      </w:tr>
      <w:tr>
        <w:trPr>
          <w:trHeight w:val="200"/>
        </w:trPr>
        <w:tc>
          <w:tcPr>
            <w:tcW w:w="3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operating</w:t>
            </w: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2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Capital expenditures and aircraft purchase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(4,006)</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Decrease (increase) in investments</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1,390</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3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restricted cash and short-term</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Net proceeds from slot transaction</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307</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transferred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w w:val="97"/>
              </w:rPr>
              <w:t>Proceeds from sale of property and equipment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Payments on long-term debt and capital leases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(2,780)</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2,407</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Sale-leaseback transactions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Treasury stock repurchases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payment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Premium on debt extinguishment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Exercise of stock options</w:t>
            </w:r>
          </w:p>
        </w:tc>
        <w:tc>
          <w:tcPr>
            <w:tcW w:w="1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transferred to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00" w:type="dxa"/>
            <w:vAlign w:val="bottom"/>
          </w:tcPr>
          <w:p>
            <w:pPr>
              <w:ind w:left="280"/>
              <w:spacing w:after="0"/>
              <w:rPr>
                <w:sz w:val="20"/>
                <w:szCs w:val="20"/>
                <w:color w:val="auto"/>
              </w:rPr>
            </w:pPr>
            <w:r>
              <w:rPr>
                <w:rFonts w:ascii="Arial" w:cs="Arial" w:eastAsia="Arial" w:hAnsi="Arial"/>
                <w:sz w:val="16"/>
                <w:szCs w:val="16"/>
                <w:color w:val="auto"/>
              </w:rPr>
              <w:t>Other financing activities</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0"/>
        </w:trPr>
        <w:tc>
          <w:tcPr>
            <w:tcW w:w="35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(used in) financing</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9"/>
        </w:trPr>
        <w:tc>
          <w:tcPr>
            <w:tcW w:w="3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activities</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7"/>
        </w:trPr>
        <w:tc>
          <w:tcPr>
            <w:tcW w:w="3500" w:type="dxa"/>
            <w:vAlign w:val="bottom"/>
          </w:tcPr>
          <w:p>
            <w:pPr>
              <w:ind w:left="40"/>
              <w:spacing w:after="0"/>
              <w:rPr>
                <w:sz w:val="20"/>
                <w:szCs w:val="20"/>
                <w:color w:val="auto"/>
              </w:rPr>
            </w:pPr>
            <w:r>
              <w:rPr>
                <w:rFonts w:ascii="Arial" w:cs="Arial" w:eastAsia="Arial" w:hAnsi="Arial"/>
                <w:sz w:val="16"/>
                <w:szCs w:val="16"/>
                <w:color w:val="auto"/>
              </w:rPr>
              <w:t>Net increase (decrease) in cash</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w:t>
            </w:r>
          </w:p>
        </w:tc>
      </w:tr>
      <w:tr>
        <w:trPr>
          <w:trHeight w:val="244"/>
        </w:trPr>
        <w:tc>
          <w:tcPr>
            <w:tcW w:w="3500" w:type="dxa"/>
            <w:vAlign w:val="bottom"/>
          </w:tcPr>
          <w:p>
            <w:pPr>
              <w:ind w:left="40"/>
              <w:spacing w:after="0"/>
              <w:rPr>
                <w:sz w:val="20"/>
                <w:szCs w:val="20"/>
                <w:color w:val="auto"/>
              </w:rPr>
            </w:pPr>
            <w:r>
              <w:rPr>
                <w:rFonts w:ascii="Arial" w:cs="Arial" w:eastAsia="Arial" w:hAnsi="Arial"/>
                <w:sz w:val="16"/>
                <w:szCs w:val="16"/>
                <w:color w:val="auto"/>
              </w:rPr>
              <w:t>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1,178</w:t>
            </w:r>
          </w:p>
        </w:tc>
      </w:tr>
      <w:tr>
        <w:trPr>
          <w:trHeight w:val="20"/>
        </w:trPr>
        <w:tc>
          <w:tcPr>
            <w:tcW w:w="3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10, 2014, American and AAG entered into a Credit and Guaranty Agreement (the 2014 Credit Agreement), with certain lenders. The 2014 Credit Agreement provides for a $750 million term loan facility (the 2014 Term Loan Facility), which was fully drawn on October 10, 2014, and a $400 million revolving credit facility (the 2014 Revolving Facility and, together with the 2014 Term Loan Facility, the 2014 Credit Facilities). The 2014 Revolving Facility provides that American may from time to time borrow, repay and reborrow loans thereunder. American may have letters of credit issued under the 2014 Revolving Facility in an aggregate amount outstanding at any time up to $300 million. There are currently no borrowings or letters of credit outstanding under the 2014 Revolving Facility.</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Mandatory prepayments at par of term loans and revolving loans may be required to the extent necessary to comply with American's covenants regarding the collateral coverage ratio.</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Amendment to 2013 Credit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10, 2014, American and AAG amended the Credit and Guaranty Agreement, dated as of June 27, 2013 (the 2013 Credit Agreement) to extend the maturity date of the $1.0 billion revolving credit facility under the 2013 Credit Agreement to October 10, 2019 and increase the commitments thereunder to an aggregate amount of $1.4 billion while reducing the letter of credit commitments thereunder to $300 million.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Dividend Declaration</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22, 2014, the Company's Board of Directors declared a $0.10 per share dividend for stockholders of record on November 3, 2014, and payable on November 17,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2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color w:val="auto"/>
        </w:rPr>
        <w:t>AMERICAN AIRLINES, INC. CONDENSED CONSOLIDATED FINANCIAL</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3040" w:type="dxa"/>
            <w:vAlign w:val="bottom"/>
            <w:gridSpan w:val="6"/>
          </w:tcPr>
          <w:p>
            <w:pPr>
              <w:ind w:left="180"/>
              <w:spacing w:after="0"/>
              <w:rPr>
                <w:sz w:val="20"/>
                <w:szCs w:val="20"/>
                <w:color w:val="auto"/>
              </w:rPr>
            </w:pPr>
            <w:r>
              <w:rPr>
                <w:rFonts w:ascii="Arial" w:cs="Arial" w:eastAsia="Arial" w:hAnsi="Arial"/>
                <w:sz w:val="18"/>
                <w:szCs w:val="18"/>
                <w:color w:val="auto"/>
                <w:w w:val="97"/>
              </w:rPr>
              <w:t>Three Months Ended September 30,</w:t>
            </w:r>
          </w:p>
        </w:tc>
        <w:tc>
          <w:tcPr>
            <w:tcW w:w="160" w:type="dxa"/>
            <w:vAlign w:val="bottom"/>
          </w:tcPr>
          <w:p>
            <w:pPr>
              <w:spacing w:after="0"/>
              <w:rPr>
                <w:sz w:val="20"/>
                <w:szCs w:val="20"/>
                <w:color w:val="auto"/>
              </w:rPr>
            </w:pPr>
          </w:p>
        </w:tc>
        <w:tc>
          <w:tcPr>
            <w:tcW w:w="278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5,321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15,579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14,755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Cargo</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7"/>
        </w:trPr>
        <w:tc>
          <w:tcPr>
            <w:tcW w:w="512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7,055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1,894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7"/>
        </w:trPr>
        <w:tc>
          <w:tcPr>
            <w:tcW w:w="51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4"/>
              </w:rPr>
              <w:t>6,357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18,084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5120" w:type="dxa"/>
            <w:vAlign w:val="bottom"/>
          </w:tcPr>
          <w:p>
            <w:pPr>
              <w:ind w:left="500"/>
              <w:spacing w:after="0"/>
              <w:rPr>
                <w:sz w:val="20"/>
                <w:szCs w:val="20"/>
                <w:color w:val="auto"/>
              </w:rPr>
            </w:pPr>
            <w:r>
              <w:rPr>
                <w:rFonts w:ascii="Arial" w:cs="Arial" w:eastAsia="Arial" w:hAnsi="Arial"/>
                <w:sz w:val="18"/>
                <w:szCs w:val="18"/>
                <w:color w:val="auto"/>
              </w:rPr>
              <w:t>Total nonoperating expense, net</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reorganization items, net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5120" w:type="dxa"/>
            <w:vAlign w:val="bottom"/>
          </w:tcPr>
          <w:p>
            <w:pPr>
              <w:ind w:left="280"/>
              <w:spacing w:after="0"/>
              <w:rPr>
                <w:sz w:val="20"/>
                <w:szCs w:val="20"/>
                <w:color w:val="auto"/>
              </w:rPr>
            </w:pPr>
            <w:r>
              <w:rPr>
                <w:rFonts w:ascii="Arial" w:cs="Arial" w:eastAsia="Arial" w:hAnsi="Arial"/>
                <w:sz w:val="18"/>
                <w:szCs w:val="18"/>
                <w:color w:val="auto"/>
              </w:rPr>
              <w:t>Income tax provision (benefit)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86"/>
              </w:rPr>
              <w:t>See accompanying notes to condensed consolidated financial statements.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880" w:type="dxa"/>
            <w:vAlign w:val="bottom"/>
            <w:vMerge w:val="restart"/>
          </w:tcPr>
          <w:p>
            <w:pPr>
              <w:jc w:val="right"/>
              <w:ind w:right="110"/>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12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125" w:right="55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38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ind w:left="40"/>
              <w:spacing w:after="0"/>
              <w:rPr>
                <w:sz w:val="20"/>
                <w:szCs w:val="20"/>
                <w:color w:val="auto"/>
              </w:rPr>
            </w:pPr>
            <w:r>
              <w:rPr>
                <w:rFonts w:ascii="Arial" w:cs="Arial" w:eastAsia="Arial" w:hAnsi="Arial"/>
                <w:sz w:val="18"/>
                <w:szCs w:val="18"/>
                <w:color w:val="auto"/>
                <w:w w:val="97"/>
              </w:rPr>
              <w:t>Three Months Ended September 30,</w:t>
            </w:r>
          </w:p>
        </w:tc>
        <w:tc>
          <w:tcPr>
            <w:tcW w:w="160" w:type="dxa"/>
            <w:vAlign w:val="bottom"/>
          </w:tcPr>
          <w:p>
            <w:pPr>
              <w:spacing w:after="0"/>
              <w:rPr>
                <w:sz w:val="24"/>
                <w:szCs w:val="24"/>
                <w:color w:val="auto"/>
              </w:rPr>
            </w:pPr>
          </w:p>
        </w:tc>
        <w:tc>
          <w:tcPr>
            <w:tcW w:w="276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Nine Months Ended September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Reclassification into earnings</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 (loss) on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500"/>
              <w:spacing w:after="0"/>
              <w:rPr>
                <w:sz w:val="20"/>
                <w:szCs w:val="20"/>
                <w:color w:val="auto"/>
              </w:rPr>
            </w:pPr>
            <w:r>
              <w:rPr>
                <w:rFonts w:ascii="Arial" w:cs="Arial" w:eastAsia="Arial" w:hAnsi="Arial"/>
                <w:sz w:val="18"/>
                <w:szCs w:val="18"/>
                <w:color w:val="auto"/>
              </w:rPr>
              <w:t>Net change in value</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Reversal of non-cash tax provision</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vMerge w:val="restart"/>
          </w:tcPr>
          <w:p>
            <w:pPr>
              <w:jc w:val="right"/>
              <w:ind w:right="990"/>
              <w:spacing w:after="0"/>
              <w:rPr>
                <w:sz w:val="20"/>
                <w:szCs w:val="20"/>
                <w:color w:val="auto"/>
              </w:rPr>
            </w:pPr>
            <w:r>
              <w:rPr>
                <w:rFonts w:ascii="Arial" w:cs="Arial" w:eastAsia="Arial" w:hAnsi="Arial"/>
                <w:sz w:val="18"/>
                <w:szCs w:val="18"/>
                <w:color w:val="auto"/>
                <w:w w:val="89"/>
              </w:rPr>
              <w:t>39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color w:val="auto"/>
              </w:rPr>
              <w:t>September 30, 2014</w:t>
            </w:r>
          </w:p>
        </w:tc>
        <w:tc>
          <w:tcPr>
            <w:tcW w:w="180" w:type="dxa"/>
            <w:vAlign w:val="bottom"/>
          </w:tcPr>
          <w:p>
            <w:pPr>
              <w:spacing w:after="0"/>
              <w:rPr>
                <w:sz w:val="17"/>
                <w:szCs w:val="17"/>
                <w:color w:val="auto"/>
              </w:rPr>
            </w:pPr>
          </w:p>
        </w:tc>
        <w:tc>
          <w:tcPr>
            <w:tcW w:w="1540" w:type="dxa"/>
            <w:vAlign w:val="bottom"/>
          </w:tcPr>
          <w:p>
            <w:pPr>
              <w:jc w:val="right"/>
              <w:ind w:right="183"/>
              <w:spacing w:after="0"/>
              <w:rPr>
                <w:sz w:val="20"/>
                <w:szCs w:val="20"/>
                <w:color w:val="auto"/>
              </w:rPr>
            </w:pPr>
            <w:r>
              <w:rPr>
                <w:rFonts w:ascii="Arial" w:cs="Arial" w:eastAsia="Arial" w:hAnsi="Arial"/>
                <w:sz w:val="15"/>
                <w:szCs w:val="15"/>
                <w:color w:val="auto"/>
                <w:w w:val="95"/>
              </w:rPr>
              <w:t>December 31, 2013</w:t>
            </w:r>
          </w:p>
        </w:tc>
        <w:tc>
          <w:tcPr>
            <w:tcW w:w="0" w:type="dxa"/>
            <w:vAlign w:val="bottom"/>
          </w:tcPr>
          <w:p>
            <w:pPr>
              <w:spacing w:after="0"/>
              <w:rPr>
                <w:sz w:val="1"/>
                <w:szCs w:val="1"/>
                <w:color w:val="auto"/>
              </w:rPr>
            </w:pPr>
          </w:p>
        </w:tc>
      </w:tr>
      <w:tr>
        <w:trPr>
          <w:trHeight w:val="195"/>
        </w:trPr>
        <w:tc>
          <w:tcPr>
            <w:tcW w:w="786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Cash</w:t>
            </w: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1,008</w:t>
            </w:r>
          </w:p>
        </w:tc>
        <w:tc>
          <w:tcPr>
            <w:tcW w:w="120" w:type="dxa"/>
            <w:vAlign w:val="bottom"/>
          </w:tcPr>
          <w:p>
            <w:pPr>
              <w:spacing w:after="0"/>
              <w:rPr>
                <w:sz w:val="18"/>
                <w:szCs w:val="18"/>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Short-term investments</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5,162</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Restricted cash and short-term investments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652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receivable, net</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Aircraft fuel, spare parts and supplies, net</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732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Prepaid expenses and other</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500"/>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6"/>
                <w:szCs w:val="16"/>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8,189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9,201</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Flight equipment</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20,739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18,534</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Ground property and equipment</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5,153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5,002</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Equipment purchase deposits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58"/>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property and equipment, at cost</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26,949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24,383</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Less accumulated depreciation and amortization</w:t>
            </w:r>
          </w:p>
        </w:tc>
        <w:tc>
          <w:tcPr>
            <w:tcW w:w="1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(11,546)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(10,914)</w:t>
            </w:r>
          </w:p>
        </w:tc>
        <w:tc>
          <w:tcPr>
            <w:tcW w:w="0" w:type="dxa"/>
            <w:vAlign w:val="bottom"/>
          </w:tcPr>
          <w:p>
            <w:pPr>
              <w:spacing w:after="0"/>
              <w:rPr>
                <w:sz w:val="1"/>
                <w:szCs w:val="1"/>
                <w:color w:val="auto"/>
              </w:rPr>
            </w:pPr>
          </w:p>
        </w:tc>
      </w:tr>
      <w:tr>
        <w:trPr>
          <w:trHeight w:val="58"/>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property and equipment, net</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15,403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13,469</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Intangibles, net of accumulated amortization of $381 and $375, respectively</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863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812</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Other assets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1,855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2,130</w:t>
            </w:r>
          </w:p>
        </w:tc>
        <w:tc>
          <w:tcPr>
            <w:tcW w:w="0" w:type="dxa"/>
            <w:vAlign w:val="bottom"/>
          </w:tcPr>
          <w:p>
            <w:pPr>
              <w:spacing w:after="0"/>
              <w:rPr>
                <w:sz w:val="1"/>
                <w:szCs w:val="1"/>
                <w:color w:val="auto"/>
              </w:rPr>
            </w:pPr>
          </w:p>
        </w:tc>
      </w:tr>
      <w:tr>
        <w:trPr>
          <w:trHeight w:val="58"/>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other assets</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860" w:type="dxa"/>
            <w:vAlign w:val="bottom"/>
            <w:tcBorders>
              <w:bottom w:val="single" w:sz="8" w:color="CCEEFF"/>
            </w:tcBorders>
          </w:tcPr>
          <w:p>
            <w:pPr>
              <w:ind w:left="720"/>
              <w:spacing w:after="0"/>
              <w:rPr>
                <w:sz w:val="20"/>
                <w:szCs w:val="20"/>
                <w:color w:val="auto"/>
              </w:rPr>
            </w:pPr>
            <w:r>
              <w:rPr>
                <w:rFonts w:ascii="Arial" w:cs="Arial" w:eastAsia="Arial" w:hAnsi="Arial"/>
                <w:sz w:val="15"/>
                <w:szCs w:val="15"/>
                <w:b w:val="1"/>
                <w:bCs w:val="1"/>
                <w:color w:val="auto"/>
              </w:rPr>
              <w:t>Total assets</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26,310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r>
        <w:trPr>
          <w:trHeight w:val="166"/>
        </w:trPr>
        <w:tc>
          <w:tcPr>
            <w:tcW w:w="7860" w:type="dxa"/>
            <w:vAlign w:val="bottom"/>
            <w:shd w:val="clear" w:color="auto" w:fill="CCEEFF"/>
          </w:tcPr>
          <w:p>
            <w:pPr>
              <w:ind w:left="40"/>
              <w:spacing w:after="0" w:line="166" w:lineRule="exact"/>
              <w:rPr>
                <w:sz w:val="20"/>
                <w:szCs w:val="20"/>
                <w:color w:val="auto"/>
              </w:rPr>
            </w:pPr>
            <w:r>
              <w:rPr>
                <w:rFonts w:ascii="Arial" w:cs="Arial" w:eastAsia="Arial" w:hAnsi="Arial"/>
                <w:sz w:val="15"/>
                <w:szCs w:val="15"/>
                <w:b w:val="1"/>
                <w:bCs w:val="1"/>
                <w:color w:val="auto"/>
              </w:rPr>
              <w:t>LIABILITIES AND STOCKHOLDER'S DEFICIT</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8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maturities of long-term debt and capital leases</w:t>
            </w: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Accounts payable</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salaries and wages</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Air traffic liability</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3,385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3,145</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Frequent flyer liability</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1,760</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Payable to affiliates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3,437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2,807</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accrued liabilities</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1,578</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50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6"/>
                <w:szCs w:val="16"/>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12,468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11,919</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Long-term debt and capital leases, net of current maturities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9,255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9,852</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Pension and postretirement benefits</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4,830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5,693</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Deferred gains and credits, net</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Bankruptcy settlement obligations</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5,424</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80"/>
              <w:spacing w:after="0"/>
              <w:rPr>
                <w:sz w:val="20"/>
                <w:szCs w:val="20"/>
                <w:color w:val="auto"/>
              </w:rPr>
            </w:pPr>
            <w:r>
              <w:rPr>
                <w:rFonts w:ascii="Arial" w:cs="Arial" w:eastAsia="Arial" w:hAnsi="Arial"/>
                <w:sz w:val="15"/>
                <w:szCs w:val="15"/>
                <w:color w:val="auto"/>
              </w:rPr>
              <w:t>Other liabilities</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2,436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2,106</w:t>
            </w:r>
          </w:p>
        </w:tc>
        <w:tc>
          <w:tcPr>
            <w:tcW w:w="0" w:type="dxa"/>
            <w:vAlign w:val="bottom"/>
          </w:tcPr>
          <w:p>
            <w:pPr>
              <w:spacing w:after="0"/>
              <w:rPr>
                <w:sz w:val="1"/>
                <w:szCs w:val="1"/>
                <w:color w:val="auto"/>
              </w:rPr>
            </w:pPr>
          </w:p>
        </w:tc>
      </w:tr>
      <w:tr>
        <w:trPr>
          <w:trHeight w:val="58"/>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noncurrent liabilities</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17,033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23,353</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deficit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180"/>
              <w:spacing w:after="0"/>
              <w:rPr>
                <w:sz w:val="20"/>
                <w:szCs w:val="20"/>
                <w:color w:val="auto"/>
              </w:rPr>
            </w:pPr>
            <w:r>
              <w:rPr>
                <w:rFonts w:ascii="Arial" w:cs="Arial" w:eastAsia="Arial" w:hAnsi="Arial"/>
                <w:sz w:val="15"/>
                <w:szCs w:val="15"/>
                <w:color w:val="auto"/>
              </w:rPr>
              <w:t>Common stock - $1 par value; 1,000 shares authorized, issued and outstanding</w:t>
            </w:r>
          </w:p>
        </w:tc>
        <w:tc>
          <w:tcPr>
            <w:tcW w:w="180" w:type="dxa"/>
            <w:vAlign w:val="bottom"/>
          </w:tcPr>
          <w:p>
            <w:pPr>
              <w:spacing w:after="0"/>
              <w:rPr>
                <w:sz w:val="18"/>
                <w:szCs w:val="18"/>
                <w:color w:val="auto"/>
              </w:rPr>
            </w:pP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8"/>
                <w:szCs w:val="18"/>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10,558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5,361</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180"/>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(2,012)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(2,152)</w:t>
            </w:r>
          </w:p>
        </w:tc>
        <w:tc>
          <w:tcPr>
            <w:tcW w:w="0" w:type="dxa"/>
            <w:vAlign w:val="bottom"/>
          </w:tcPr>
          <w:p>
            <w:pPr>
              <w:spacing w:after="0"/>
              <w:rPr>
                <w:sz w:val="1"/>
                <w:szCs w:val="1"/>
                <w:color w:val="auto"/>
              </w:rPr>
            </w:pPr>
          </w:p>
        </w:tc>
      </w:tr>
      <w:tr>
        <w:trPr>
          <w:trHeight w:val="58"/>
        </w:trPr>
        <w:tc>
          <w:tcPr>
            <w:tcW w:w="7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deficit</w:t>
            </w: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(12,869)</w:t>
            </w:r>
          </w:p>
        </w:tc>
        <w:tc>
          <w:tcPr>
            <w:tcW w:w="0" w:type="dxa"/>
            <w:vAlign w:val="bottom"/>
          </w:tcPr>
          <w:p>
            <w:pPr>
              <w:spacing w:after="0"/>
              <w:rPr>
                <w:sz w:val="1"/>
                <w:szCs w:val="1"/>
                <w:color w:val="auto"/>
              </w:rPr>
            </w:pPr>
          </w:p>
        </w:tc>
      </w:tr>
      <w:tr>
        <w:trPr>
          <w:trHeight w:val="62"/>
        </w:trPr>
        <w:tc>
          <w:tcPr>
            <w:tcW w:w="786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860" w:type="dxa"/>
            <w:vAlign w:val="bottom"/>
          </w:tcPr>
          <w:p>
            <w:pPr>
              <w:ind w:left="500"/>
              <w:spacing w:after="0"/>
              <w:rPr>
                <w:sz w:val="20"/>
                <w:szCs w:val="20"/>
                <w:color w:val="auto"/>
              </w:rPr>
            </w:pPr>
            <w:r>
              <w:rPr>
                <w:rFonts w:ascii="Arial" w:cs="Arial" w:eastAsia="Arial" w:hAnsi="Arial"/>
                <w:sz w:val="15"/>
                <w:szCs w:val="15"/>
                <w:color w:val="auto"/>
              </w:rPr>
              <w:t>Total stockholder's deficit</w:t>
            </w: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(3,191)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(9,660)</w:t>
            </w:r>
          </w:p>
        </w:tc>
        <w:tc>
          <w:tcPr>
            <w:tcW w:w="0" w:type="dxa"/>
            <w:vAlign w:val="bottom"/>
          </w:tcPr>
          <w:p>
            <w:pPr>
              <w:spacing w:after="0"/>
              <w:rPr>
                <w:sz w:val="1"/>
                <w:szCs w:val="1"/>
                <w:color w:val="auto"/>
              </w:rPr>
            </w:pPr>
          </w:p>
        </w:tc>
      </w:tr>
      <w:tr>
        <w:trPr>
          <w:trHeight w:val="58"/>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b w:val="1"/>
                <w:bCs w:val="1"/>
                <w:color w:val="auto"/>
              </w:rPr>
              <w:t>Total liabilities and stockholder's deficit</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26,310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right="208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2032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0" w:type="dxa"/>
            <w:vAlign w:val="bottom"/>
          </w:tcPr>
          <w:p>
            <w:pPr>
              <w:jc w:val="right"/>
              <w:spacing w:after="0"/>
              <w:rPr>
                <w:sz w:val="20"/>
                <w:szCs w:val="20"/>
                <w:color w:val="auto"/>
              </w:rPr>
            </w:pPr>
            <w:r>
              <w:rPr>
                <w:rFonts w:ascii="Arial" w:cs="Arial" w:eastAsia="Arial" w:hAnsi="Arial"/>
                <w:sz w:val="16"/>
                <w:szCs w:val="16"/>
                <w:color w:val="auto"/>
              </w:rPr>
              <w:t>2014</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color w:val="auto"/>
              </w:rPr>
              <w:t>2013</w:t>
            </w:r>
          </w:p>
        </w:tc>
      </w:tr>
      <w:tr>
        <w:trPr>
          <w:trHeight w:val="33"/>
        </w:trPr>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2,034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1,842</w:t>
            </w:r>
          </w:p>
        </w:tc>
      </w:tr>
    </w:tbl>
    <w:p>
      <w:pPr>
        <w:spacing w:after="0" w:line="303" w:lineRule="exact"/>
        <w:rPr>
          <w:sz w:val="20"/>
          <w:szCs w:val="20"/>
          <w:color w:val="auto"/>
        </w:rPr>
      </w:pPr>
    </w:p>
    <w:p>
      <w:pPr>
        <w:sectPr>
          <w:pgSz w:w="11900" w:h="16838" w:orient="portrait"/>
          <w:cols w:equalWidth="0" w:num="2">
            <w:col w:w="7500" w:space="720"/>
            <w:col w:w="320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 and aircraft purchase deposits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Decrease (increase) in short-term investments</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(2,635)</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Decrease (increase) in restricted cash and short-term investments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Net proceeds from slot transaction</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Funds transferred to affiliates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7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(5,089)</w:t>
            </w:r>
          </w:p>
        </w:tc>
      </w:tr>
      <w:tr>
        <w:trPr>
          <w:trHeight w:val="224"/>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Payments on long-term debt and capital leases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(2,052)</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Proceeds from issuance of long-term debt</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4,082</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Sale-leaseback transactions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Premium paid on debt extinguishment</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Deferred financing costs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20" w:type="dxa"/>
            <w:vAlign w:val="bottom"/>
          </w:tcPr>
          <w:p>
            <w:pPr>
              <w:spacing w:after="0"/>
              <w:rPr>
                <w:sz w:val="21"/>
                <w:szCs w:val="21"/>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Funds transferred to affiliates</w:t>
            </w:r>
          </w:p>
        </w:tc>
        <w:tc>
          <w:tcPr>
            <w:tcW w:w="2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3,485</w:t>
            </w:r>
          </w:p>
        </w:tc>
      </w:tr>
      <w:tr>
        <w:trPr>
          <w:trHeight w:val="217"/>
        </w:trPr>
        <w:tc>
          <w:tcPr>
            <w:tcW w:w="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6"/>
                <w:szCs w:val="16"/>
                <w:color w:val="auto"/>
              </w:rPr>
              <w:t>Net increase in cash</w:t>
            </w:r>
          </w:p>
        </w:tc>
        <w:tc>
          <w:tcPr>
            <w:tcW w:w="27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at beginning of period</w:t>
            </w:r>
          </w:p>
        </w:tc>
        <w:tc>
          <w:tcPr>
            <w:tcW w:w="27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r>
      <w:tr>
        <w:trPr>
          <w:trHeight w:val="217"/>
        </w:trPr>
        <w:tc>
          <w:tcPr>
            <w:tcW w:w="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6"/>
                <w:szCs w:val="16"/>
                <w:color w:val="auto"/>
              </w:rPr>
              <w:t>Cash at end of period</w:t>
            </w:r>
          </w:p>
        </w:tc>
        <w:tc>
          <w:tcPr>
            <w:tcW w:w="278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w:t>
            </w:r>
          </w:p>
        </w:tc>
      </w:tr>
      <w:tr>
        <w:trPr>
          <w:trHeight w:val="73"/>
        </w:trPr>
        <w:tc>
          <w:tcPr>
            <w:tcW w:w="20" w:type="dxa"/>
            <w:vAlign w:val="bottom"/>
          </w:tcPr>
          <w:p>
            <w:pPr>
              <w:spacing w:after="0"/>
              <w:rPr>
                <w:sz w:val="6"/>
                <w:szCs w:val="6"/>
                <w:color w:val="auto"/>
              </w:rPr>
            </w:pPr>
          </w:p>
        </w:tc>
        <w:tc>
          <w:tcPr>
            <w:tcW w:w="5420" w:type="dxa"/>
            <w:vAlign w:val="bottom"/>
            <w:tcBorders>
              <w:bottom w:val="single" w:sz="8" w:color="CCEEFF"/>
            </w:tcBorders>
          </w:tcPr>
          <w:p>
            <w:pPr>
              <w:spacing w:after="0"/>
              <w:rPr>
                <w:sz w:val="6"/>
                <w:szCs w:val="6"/>
                <w:color w:val="auto"/>
              </w:rPr>
            </w:pPr>
          </w:p>
        </w:tc>
        <w:tc>
          <w:tcPr>
            <w:tcW w:w="278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78"/>
        </w:trPr>
        <w:tc>
          <w:tcPr>
            <w:tcW w:w="20" w:type="dxa"/>
            <w:vAlign w:val="bottom"/>
          </w:tcPr>
          <w:p>
            <w:pPr>
              <w:spacing w:after="0"/>
              <w:rPr>
                <w:sz w:val="24"/>
                <w:szCs w:val="24"/>
                <w:color w:val="auto"/>
              </w:rPr>
            </w:pPr>
          </w:p>
        </w:tc>
        <w:tc>
          <w:tcPr>
            <w:tcW w:w="542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Settlement of bankruptcy obligations</w:t>
            </w:r>
          </w:p>
        </w:tc>
        <w:tc>
          <w:tcPr>
            <w:tcW w:w="3340" w:type="dxa"/>
            <w:vAlign w:val="bottom"/>
            <w:tcBorders>
              <w:bottom w:val="single" w:sz="8" w:color="CCEEFF"/>
            </w:tcBorders>
            <w:gridSpan w:val="2"/>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Capital lease obligations</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information:</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260"/>
              <w:spacing w:after="0"/>
              <w:rPr>
                <w:sz w:val="20"/>
                <w:szCs w:val="20"/>
                <w:color w:val="auto"/>
              </w:rPr>
            </w:pPr>
            <w:r>
              <w:rPr>
                <w:rFonts w:ascii="Arial" w:cs="Arial" w:eastAsia="Arial" w:hAnsi="Arial"/>
                <w:sz w:val="16"/>
                <w:szCs w:val="16"/>
                <w:color w:val="auto"/>
              </w:rPr>
              <w:t>Interest paid, net of amounts capitalized</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431</w:t>
            </w:r>
          </w:p>
        </w:tc>
      </w:tr>
      <w:tr>
        <w:trPr>
          <w:trHeight w:val="33"/>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paid</w:t>
            </w:r>
          </w:p>
        </w:tc>
        <w:tc>
          <w:tcPr>
            <w:tcW w:w="2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0"/>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1"/>
              </w:rPr>
              <w:t>See accompanying notes to condensed consolidated financial statements.</w:t>
            </w:r>
          </w:p>
        </w:tc>
        <w:tc>
          <w:tcPr>
            <w:tcW w:w="2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780" w:type="dxa"/>
            <w:vAlign w:val="bottom"/>
          </w:tcPr>
          <w:p>
            <w:pPr>
              <w:jc w:val="right"/>
              <w:ind w:right="2334"/>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AMERICAN AIRLINES, INC.</w:t>
      </w:r>
    </w:p>
    <w:p>
      <w:pPr>
        <w:spacing w:after="0" w:line="63" w:lineRule="exact"/>
        <w:rPr>
          <w:sz w:val="20"/>
          <w:szCs w:val="20"/>
          <w:color w:val="auto"/>
        </w:rPr>
      </w:pPr>
    </w:p>
    <w:p>
      <w:pPr>
        <w:ind w:left="40" w:right="550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p>
      <w:pPr>
        <w:ind w:left="660" w:right="9240" w:hanging="652"/>
        <w:spacing w:after="0" w:line="495" w:lineRule="auto"/>
        <w:tabs>
          <w:tab w:leader="none" w:pos="19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i w:val="1"/>
          <w:iCs w:val="1"/>
          <w:u w:val="single" w:color="auto"/>
          <w:color w:val="auto"/>
        </w:rPr>
        <w:t>Basis of Presentation</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should be read in conjunction with the consolidated financial statements contained in American's Annual Report on Form 10-K for the year ended December 31, 2013. American is a wholly-owned subsidiary of American Airlines Group Inc. (AAG). Certain prior period amounts have been reclassified to conform to the current year financial statement presentation as described below. All significant intercompany transactions have been eliminated.</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U.S. Generally Accepted Accounting Principles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traveler program, pensions and retiree medical and other benefits and the deferred tax asset valuation allowance.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presented in Reorganization items, net on the accompanying condensed consolidated statement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534"/>
        </w:trPr>
        <w:tc>
          <w:tcPr>
            <w:tcW w:w="9800" w:type="dxa"/>
            <w:vAlign w:val="bottom"/>
            <w:gridSpan w:val="11"/>
          </w:tcPr>
          <w:p>
            <w:pPr>
              <w:ind w:left="660"/>
              <w:spacing w:after="0"/>
              <w:rPr>
                <w:sz w:val="20"/>
                <w:szCs w:val="20"/>
                <w:color w:val="auto"/>
              </w:rPr>
            </w:pPr>
            <w:r>
              <w:rPr>
                <w:rFonts w:ascii="Arial" w:cs="Arial" w:eastAsia="Arial" w:hAnsi="Arial"/>
                <w:sz w:val="18"/>
                <w:szCs w:val="18"/>
                <w:color w:val="auto"/>
              </w:rPr>
              <w:t>The following table summarizes the historical and revised financial statement amounts for American (in millions):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5"/>
          </w:tcPr>
          <w:p>
            <w:pPr>
              <w:ind w:left="100"/>
              <w:spacing w:after="0"/>
              <w:rPr>
                <w:sz w:val="20"/>
                <w:szCs w:val="20"/>
                <w:color w:val="auto"/>
              </w:rPr>
            </w:pPr>
            <w:r>
              <w:rPr>
                <w:rFonts w:ascii="Arial" w:cs="Arial" w:eastAsia="Arial" w:hAnsi="Arial"/>
                <w:sz w:val="18"/>
                <w:szCs w:val="18"/>
                <w:color w:val="auto"/>
                <w:w w:val="99"/>
              </w:rPr>
              <w:t>Three Months Ended September 30,</w:t>
            </w:r>
          </w:p>
        </w:tc>
        <w:tc>
          <w:tcPr>
            <w:tcW w:w="160" w:type="dxa"/>
            <w:vAlign w:val="bottom"/>
          </w:tcPr>
          <w:p>
            <w:pPr>
              <w:spacing w:after="0"/>
              <w:rPr>
                <w:sz w:val="24"/>
                <w:szCs w:val="24"/>
                <w:color w:val="auto"/>
              </w:rPr>
            </w:pPr>
          </w:p>
        </w:tc>
        <w:tc>
          <w:tcPr>
            <w:tcW w:w="278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0"/>
        </w:trPr>
        <w:tc>
          <w:tcPr>
            <w:tcW w:w="128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color w:val="auto"/>
              </w:rPr>
              <w:t>2013</w:t>
            </w:r>
          </w:p>
        </w:tc>
        <w:tc>
          <w:tcPr>
            <w:tcW w:w="118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As Reclassified</w:t>
            </w:r>
          </w:p>
        </w:tc>
        <w:tc>
          <w:tcPr>
            <w:tcW w:w="26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Historical</w:t>
            </w:r>
          </w:p>
        </w:tc>
        <w:tc>
          <w:tcPr>
            <w:tcW w:w="1460" w:type="dxa"/>
            <w:vAlign w:val="bottom"/>
            <w:gridSpan w:val="3"/>
          </w:tcPr>
          <w:p>
            <w:pPr>
              <w:ind w:left="120"/>
              <w:spacing w:after="0"/>
              <w:rPr>
                <w:sz w:val="20"/>
                <w:szCs w:val="20"/>
                <w:color w:val="auto"/>
              </w:rPr>
            </w:pPr>
            <w:r>
              <w:rPr>
                <w:rFonts w:ascii="Arial" w:cs="Arial" w:eastAsia="Arial" w:hAnsi="Arial"/>
                <w:sz w:val="18"/>
                <w:szCs w:val="18"/>
                <w:color w:val="auto"/>
              </w:rPr>
              <w:t>As Reclassified</w:t>
            </w:r>
          </w:p>
        </w:tc>
        <w:tc>
          <w:tcPr>
            <w:tcW w:w="30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Historical</w:t>
            </w:r>
          </w:p>
        </w:tc>
      </w:tr>
      <w:tr>
        <w:trPr>
          <w:trHeight w:val="27"/>
        </w:trPr>
        <w:tc>
          <w:tcPr>
            <w:tcW w:w="128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14,755</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Regional passenger</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485</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1,901</w:t>
            </w:r>
          </w:p>
        </w:tc>
      </w:tr>
      <w:tr>
        <w:trPr>
          <w:trHeight w:val="237"/>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19,338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19,338</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6,558</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792</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1,013</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813</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r>
      <w:tr>
        <w:trPr>
          <w:trHeight w:val="237"/>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18,130</w:t>
            </w:r>
          </w:p>
        </w:tc>
      </w:tr>
      <w:tr>
        <w:trPr>
          <w:trHeight w:val="27"/>
        </w:trPr>
        <w:tc>
          <w:tcPr>
            <w:tcW w:w="128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12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5180" w:type="dxa"/>
            <w:vAlign w:val="bottom"/>
            <w:gridSpan w:val="2"/>
          </w:tcPr>
          <w:p>
            <w:pPr>
              <w:ind w:left="28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r>
    </w:tbl>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Additionally, on the condensed consolidated statement of cash flows, American reclassified $84 million in deferred financing charges from operating to financing cash flow activities for the nine months ended September 30, 2013 in order to conform to the current year financial statement presentation.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8"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Emergence from Chapter 11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Airlines, Inc.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that certain Agreement and Plan of Merger (as amended, the Merger Agreement), dated as of February 13, 2013, by and among AAG, AMR Merger Sub, Inc. (Merger Sub) and US Airways Group, Inc. (US Airways Group), pursuant to which Merger Sub merged with and into US Airways Group (the Merger), with US Airways Group surviving as a wholly-owned subsidiary of AAG following the Merger. Pursuant to the Merger Agreement, each share of common stock, par value $0.01 per share, of US Airways Group was converted into the right to receive one share of American Airlines Group Inc. common stock, par value $0.01 per share (AAG Common Stock).</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IAP) authorizes the grant of awards for the issuance of 40 million shares of AAG Common Stock plus any shares underlying awards granted under the 2013 IAP, or any pre-existing US Airways Group plan, that are forfeited, terminate or are cash settled (in whole or in part) without a payment being made in the form of shares. Any shares that are available for issuance under the US Airways Group 2011 Incentive Award Plan (the 2011 IAP) as of the effective date of the Merger may be used for awards under the 2013 IAP; provided, that awards using such available shares shall not be made after the date awards or grants could have been made under 2011 IAP and shall only be made to individuals who were not providing services to American Airlines Group prior to the Merger.</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contains the following provisions relating to the treatment of pre-petition claims against the Debtors and other holders of allowed interests in the Debtors:</w:t>
      </w:r>
    </w:p>
    <w:p>
      <w:pPr>
        <w:spacing w:after="0" w:line="11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127" w:lineRule="exact"/>
        <w:rPr>
          <w:rFonts w:ascii="Arial" w:cs="Arial" w:eastAsia="Arial" w:hAnsi="Arial"/>
          <w:sz w:val="18"/>
          <w:szCs w:val="18"/>
          <w:color w:val="auto"/>
        </w:rPr>
      </w:pPr>
    </w:p>
    <w:p>
      <w:pPr>
        <w:ind w:left="1460" w:hanging="723"/>
        <w:spacing w:after="0" w:line="264" w:lineRule="auto"/>
        <w:tabs>
          <w:tab w:leader="none" w:pos="105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060" w:right="20"/>
        <w:spacing w:after="0" w:line="324" w:lineRule="auto"/>
        <w:rPr>
          <w:sz w:val="20"/>
          <w:szCs w:val="20"/>
          <w:color w:val="auto"/>
        </w:rPr>
      </w:pPr>
      <w:r>
        <w:rPr>
          <w:rFonts w:ascii="Arial" w:cs="Arial" w:eastAsia="Arial" w:hAnsi="Arial"/>
          <w:sz w:val="18"/>
          <w:szCs w:val="18"/>
          <w:color w:val="auto"/>
        </w:rPr>
        <w:t>of AAG Series A Preferred Stock with a stated amount equal to the allowed amount of their claims, including post-petition interest at the non-default rate;</w:t>
      </w:r>
    </w:p>
    <w:p>
      <w:pPr>
        <w:spacing w:after="0" w:line="89" w:lineRule="exact"/>
        <w:rPr>
          <w:sz w:val="20"/>
          <w:szCs w:val="20"/>
          <w:color w:val="auto"/>
        </w:rPr>
      </w:pPr>
    </w:p>
    <w:p>
      <w:pPr>
        <w:ind w:left="1460" w:hanging="723"/>
        <w:spacing w:after="0" w:line="297" w:lineRule="auto"/>
        <w:tabs>
          <w:tab w:leader="none" w:pos="10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104" w:lineRule="exact"/>
        <w:rPr>
          <w:rFonts w:ascii="Arial" w:cs="Arial" w:eastAsia="Arial" w:hAnsi="Arial"/>
          <w:sz w:val="16"/>
          <w:szCs w:val="16"/>
          <w:color w:val="auto"/>
        </w:rPr>
      </w:pPr>
    </w:p>
    <w:p>
      <w:pPr>
        <w:ind w:left="1460" w:hanging="723"/>
        <w:spacing w:after="0" w:line="255" w:lineRule="auto"/>
        <w:tabs>
          <w:tab w:leader="none" w:pos="10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American making a cash payment of approximately $300 million for certain required withholding taxes;</w:t>
      </w:r>
    </w:p>
    <w:p>
      <w:pPr>
        <w:spacing w:after="0" w:line="135" w:lineRule="exact"/>
        <w:rPr>
          <w:rFonts w:ascii="Arial" w:cs="Arial" w:eastAsia="Arial" w:hAnsi="Arial"/>
          <w:sz w:val="18"/>
          <w:szCs w:val="18"/>
          <w:color w:val="auto"/>
        </w:rPr>
      </w:pPr>
    </w:p>
    <w:p>
      <w:pPr>
        <w:ind w:left="1460" w:hanging="723"/>
        <w:spacing w:after="0" w:line="259" w:lineRule="auto"/>
        <w:tabs>
          <w:tab w:leader="none" w:pos="10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132" w:lineRule="exact"/>
        <w:rPr>
          <w:rFonts w:ascii="Arial" w:cs="Arial" w:eastAsia="Arial" w:hAnsi="Arial"/>
          <w:sz w:val="18"/>
          <w:szCs w:val="18"/>
          <w:color w:val="auto"/>
        </w:rPr>
      </w:pPr>
    </w:p>
    <w:p>
      <w:pPr>
        <w:ind w:left="1460" w:hanging="723"/>
        <w:spacing w:after="0" w:line="297" w:lineRule="auto"/>
        <w:tabs>
          <w:tab w:leader="none" w:pos="10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AAG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has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American repurchased 0.4 million shares of AAG Common Stock for an aggregate of $19 million from the Disputed Claim Reserve at the then prevailing market price in order to fund cash tax obligations resulting from distributions by the Disputed Claim Reserve. As of September 30, 2014, there were approximately 27.5 million shares of AAG Common Stock remaining in the Disputed Claims Reserve. These shares are reserved for distributions to holders of disputed Single-Dip Unsecured Claims (Single-Dip Equity Obligations) whose claims ultimately become allowed as well as to certain AMR labor groups and employees who received a deemed claim amount based upon a fixed percentage of the distributions to be made to general unsecured claimholders. As disputed claims are resolved, the claimants will receive distributions of shares from the Disputed Claims Reserve on the same basis as if such distributions had been made on or about the Effective Date. To the extent that any of the reserved shares remain undistributed upon resolution of all remaining disputed claims, such shares will not be returned to AAG but rather will be distributed to former AMR shareholders as of the Effective Date. AAG is not required to distribute additional shares above the limits contemplated by the Plan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September 30, 2014, American made the following cash disbursements under the Plan:</w:t>
      </w:r>
    </w:p>
    <w:p>
      <w:pPr>
        <w:spacing w:after="0" w:line="171" w:lineRule="exact"/>
        <w:rPr>
          <w:sz w:val="20"/>
          <w:szCs w:val="20"/>
          <w:color w:val="auto"/>
        </w:rPr>
      </w:pPr>
    </w:p>
    <w:p>
      <w:pPr>
        <w:ind w:left="660" w:right="14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$561 million for payroll and other taxes associated with equity distributions to employees.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14 for more information.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noted above, the reconciliation process with respect to the remaining claims will take considerable time post-emergence. American's estimate of the amounts of disputed claims that will ultimately become allowed Single-Dip Unsecured Claims are included in Bankruptcy settlement obligations on American's condensed consolidated balance sheet as of September 30, 2014. As these claims are resolved, or where better information becomes available and is evaluated, American will make adjustments to the liabilities recorded in American's condensed consolidated financial statements as appropriate. Any such adjustments could be material to American's financial position or results of operations in any given period.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7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Upon emergence from bankruptcy, American experienced an "ownership change" as defined in Section 382 of the Internal Revenue Code of 1986, as amended (Section 382), which could potentially limit the ability to utilize certain tax attributes including American's substantial net operating losses (NOLs). The general limitation rules for a debtor in a bankruptcy case are liberalized where the ownership change occurs upon emergence from bankruptcy. American elected to be covered by certain special rules for federal income tax purposes that permit approximately $9.5 billion of the federal NOL Carryforwards to be utilized without regard to the annual limitation generally imposed by Section 382.</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AAG with the SEC on December 9, 2013.</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and nine months ended September 30, 2013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920" w:type="dxa"/>
            <w:vAlign w:val="bottom"/>
          </w:tcPr>
          <w:p>
            <w:pPr>
              <w:jc w:val="right"/>
              <w:ind w:right="250"/>
              <w:spacing w:after="0"/>
              <w:rPr>
                <w:sz w:val="20"/>
                <w:szCs w:val="20"/>
                <w:color w:val="auto"/>
              </w:rPr>
            </w:pPr>
            <w:r>
              <w:rPr>
                <w:rFonts w:ascii="Arial" w:cs="Arial" w:eastAsia="Arial" w:hAnsi="Arial"/>
                <w:sz w:val="18"/>
                <w:szCs w:val="18"/>
                <w:color w:val="auto"/>
                <w:w w:val="98"/>
              </w:rPr>
              <w:t>Nine Months Ended</w:t>
            </w:r>
          </w:p>
        </w:tc>
      </w:tr>
      <w:tr>
        <w:trPr>
          <w:trHeight w:val="230"/>
        </w:trPr>
        <w:tc>
          <w:tcPr>
            <w:tcW w:w="7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September 30, 2013</w:t>
            </w:r>
          </w:p>
        </w:tc>
        <w:tc>
          <w:tcPr>
            <w:tcW w:w="22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September 30, 2013</w:t>
            </w:r>
          </w:p>
        </w:tc>
      </w:tr>
      <w:tr>
        <w:trPr>
          <w:trHeight w:val="27"/>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7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7020" w:type="dxa"/>
            <w:vAlign w:val="bottom"/>
          </w:tcPr>
          <w:p>
            <w:pPr>
              <w:ind w:left="40"/>
              <w:spacing w:after="0"/>
              <w:rPr>
                <w:sz w:val="20"/>
                <w:szCs w:val="20"/>
                <w:color w:val="auto"/>
              </w:rPr>
            </w:pPr>
            <w:r>
              <w:rPr>
                <w:rFonts w:ascii="Arial" w:cs="Arial" w:eastAsia="Arial" w:hAnsi="Arial"/>
                <w:sz w:val="18"/>
                <w:szCs w:val="18"/>
                <w:color w:val="auto"/>
              </w:rPr>
              <w:t>Total reorganization items,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 and reflect those included in AAG's consolidated financial statements. The settlement of these claims through the issuance of AAG Common Stock will result in an increase in additional paid-in capital for American.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w w:val="96"/>
              </w:rPr>
              <w:t>September 30, 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December 31, 2013</w:t>
            </w:r>
          </w:p>
        </w:tc>
      </w:tr>
      <w:tr>
        <w:trPr>
          <w:trHeight w:val="27"/>
        </w:trPr>
        <w:tc>
          <w:tcPr>
            <w:tcW w:w="70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Single-Dip and Double-Dip Equity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4,575</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Labor-related deemed claim</w:t>
            </w:r>
          </w:p>
        </w:tc>
        <w:tc>
          <w:tcPr>
            <w:tcW w:w="170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706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r>
      <w:tr>
        <w:trPr>
          <w:trHeight w:val="20"/>
        </w:trPr>
        <w:tc>
          <w:tcPr>
            <w:tcW w:w="70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AAG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amount of the remaining Single-Dip Equity Obligations at September 30, 2014 is American’s estimate of its obligation for disputed claims of $183 million and is calculated based on the fair value of the shares expected to be issued, measured as if the obligations were settled using the closing price of AAG Common Stock at September 30, 2014. Additional allowed claims will receive 30.7553 shares, subject to reduction for expenses of the Disputed Claims Reserve, including tax liabilities, for each $1,000 of allowed claims. For accounting purposes, the value of the shares expected to be issued are marked-to-market each period until issued. Accordingly, changes in the value of AAG Common Stock could result in future increases and decreases in this obligation.</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September 30, 2014, AAG has made distributions of $981 million in AAG Common Stock and paid approximately $561 million in cash to cover payroll and other taxes related to the equity distributions. As of September 30, 2014, the liability to certain AMR labor groups and employees of $56 million represents the estimated fair value of the remaining shares expected to be issued in satisfaction of such obligation, measured as if the obligation were settled using the closing price of AAG Common Stock at September 30, 2014. For accounting purposes, the value of the remaining shares expected to be issued to satisfy the labor claim are marked-to-market each period until issued. Accordingly, changes in the value of AAG Common Stock could result in future increases and decreases in this obligation.</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1, 2014, approximately 2.9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The next planned distribution will be in November 2014 for any disputed Single-Dip Unsecured Claims that become allowed after July 1, 2014.</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stipulation for the Merger to be approved by the Department of Justice (DOJ), American was required to divest certain slots at Ronald Reagan Washington National Airport (DCA). As of December 31, 2013, the DCA slots to be divested were recorded as assets held for sale and included in Prepaid expenses and other on the consolidated balance sheet. In the first quarter of 2014, American divested the required DCA slots and received $299 million in cash as well as 24 slots at John F. Kennedy Airport. American recognized a gain of $305 million related to the divestiture, which has been included in Special items, net in the condensed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 30,</w:t>
            </w:r>
          </w:p>
        </w:tc>
        <w:tc>
          <w:tcPr>
            <w:tcW w:w="160" w:type="dxa"/>
            <w:vAlign w:val="bottom"/>
          </w:tcPr>
          <w:p>
            <w:pPr>
              <w:spacing w:after="0"/>
              <w:rPr>
                <w:sz w:val="20"/>
                <w:szCs w:val="20"/>
                <w:color w:val="auto"/>
              </w:rPr>
            </w:pPr>
          </w:p>
        </w:tc>
        <w:tc>
          <w:tcPr>
            <w:tcW w:w="280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5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2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bl>
    <w:p>
      <w:pPr>
        <w:spacing w:after="0" w:line="40" w:lineRule="exact"/>
        <w:rPr>
          <w:sz w:val="20"/>
          <w:szCs w:val="20"/>
          <w:color w:val="auto"/>
        </w:rPr>
      </w:pPr>
    </w:p>
    <w:p>
      <w:pPr>
        <w:jc w:val="both"/>
        <w:ind w:left="340" w:hanging="332"/>
        <w:spacing w:after="0" w:line="257"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The 2014 third quarter mainline operating special items totaled a net charge of $164 million, which principally included $103 million of merger integration expenses related to information technology, alignment of labor union contracts, professional fees, severance and retention, share-based compensation expense, re-branding of aircraft and airport facilities, relocation and training, as well as $99 million in other charges, including an $81 million charge to revise prior estimates of certain aircraft residual values, and other asset impairments. These charges were offset in part by a net $40 million credit for bankruptcy related items primarily consisting of fair value adjustments for bankruptcy settlement obligations. The 2014 nine month period mainline operating special items totaled a net charge of $127 million, which principally included $337 million of merger integration expenses as described above, $99 million in other charges, including an $81 million charge to revise prior estimates of certain aircraft residual values, and other asset impairments, as well as $35 million in charges primarily relating to the buyout of certain aircraft leases. These charges were offset in part by a $305 million gain on the sale of slots at DCA and a net $57 million credit for bankruptcy related items as described above.</w:t>
      </w:r>
    </w:p>
    <w:p>
      <w:pPr>
        <w:spacing w:after="0" w:line="28" w:lineRule="exact"/>
        <w:rPr>
          <w:rFonts w:ascii="Arial" w:cs="Arial" w:eastAsia="Arial" w:hAnsi="Arial"/>
          <w:sz w:val="24"/>
          <w:szCs w:val="24"/>
          <w:color w:val="auto"/>
          <w:vertAlign w:val="superscript"/>
        </w:rPr>
      </w:pPr>
    </w:p>
    <w:p>
      <w:pPr>
        <w:jc w:val="both"/>
        <w:ind w:left="340"/>
        <w:spacing w:after="0" w:line="264" w:lineRule="auto"/>
        <w:rPr>
          <w:rFonts w:ascii="Arial" w:cs="Arial" w:eastAsia="Arial" w:hAnsi="Arial"/>
          <w:sz w:val="24"/>
          <w:szCs w:val="24"/>
          <w:color w:val="auto"/>
          <w:vertAlign w:val="superscript"/>
        </w:rPr>
      </w:pPr>
      <w:r>
        <w:rPr>
          <w:rFonts w:ascii="Arial" w:cs="Arial" w:eastAsia="Arial" w:hAnsi="Arial"/>
          <w:sz w:val="18"/>
          <w:szCs w:val="18"/>
          <w:color w:val="auto"/>
        </w:rPr>
        <w:t>The 2013 third quarter mainline operating special items primarily consisted of merger related expenses. The 2013 nine month period mainline operating special items totaled a net charge of $98 million, which included $55 million in merger related expenses and a $43 million charge for workers' compensation claims.</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additional amounts are also included in the condensed consolidated statements of operations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3360" w:type="dxa"/>
            <w:vAlign w:val="bottom"/>
            <w:gridSpan w:val="7"/>
          </w:tcPr>
          <w:p>
            <w:pPr>
              <w:ind w:left="260"/>
              <w:spacing w:after="0"/>
              <w:rPr>
                <w:sz w:val="20"/>
                <w:szCs w:val="20"/>
                <w:color w:val="auto"/>
              </w:rPr>
            </w:pPr>
            <w:r>
              <w:rPr>
                <w:rFonts w:ascii="Arial" w:cs="Arial" w:eastAsia="Arial" w:hAnsi="Arial"/>
                <w:sz w:val="18"/>
                <w:szCs w:val="18"/>
                <w:color w:val="auto"/>
              </w:rPr>
              <w:t>Three Months Ended September 30,</w:t>
            </w:r>
          </w:p>
        </w:tc>
        <w:tc>
          <w:tcPr>
            <w:tcW w:w="280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5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106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w:t>
            </w:r>
          </w:p>
        </w:tc>
      </w:tr>
      <w:tr>
        <w:trPr>
          <w:trHeight w:val="270"/>
        </w:trPr>
        <w:tc>
          <w:tcPr>
            <w:tcW w:w="5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10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r>
      <w:tr>
        <w:trPr>
          <w:trHeight w:val="320"/>
        </w:trPr>
        <w:tc>
          <w:tcPr>
            <w:tcW w:w="524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1060" w:type="dxa"/>
            <w:vAlign w:val="bottom"/>
          </w:tcPr>
          <w:p>
            <w:pPr>
              <w:spacing w:after="0"/>
              <w:rPr>
                <w:sz w:val="24"/>
                <w:szCs w:val="24"/>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jc w:val="both"/>
        <w:ind w:left="340" w:hanging="332"/>
        <w:spacing w:after="0" w:line="229"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The 2014 third quarter nonoperating special items totaled a net charge of $48 million, which was primarily due to early debt extinguishment costs related to the prepayment of American's 7.50% senior secured notes and other indebtedness. The 2014 nine month period nonoperating special items totaled a net charge of $89 million, which primarily included $46 million of early debt extinguishment costs as described above and $29 million of non-cash interest accretion on the bankruptcy settlement obligations.</w:t>
      </w:r>
    </w:p>
    <w:p>
      <w:pPr>
        <w:spacing w:after="0" w:line="41" w:lineRule="exact"/>
        <w:rPr>
          <w:rFonts w:ascii="Arial" w:cs="Arial" w:eastAsia="Arial" w:hAnsi="Arial"/>
          <w:sz w:val="25"/>
          <w:szCs w:val="25"/>
          <w:color w:val="auto"/>
          <w:vertAlign w:val="superscript"/>
        </w:rPr>
      </w:pPr>
    </w:p>
    <w:p>
      <w:pPr>
        <w:jc w:val="both"/>
        <w:ind w:left="340"/>
        <w:spacing w:after="0" w:line="279" w:lineRule="auto"/>
        <w:rPr>
          <w:rFonts w:ascii="Arial" w:cs="Arial" w:eastAsia="Arial" w:hAnsi="Arial"/>
          <w:sz w:val="25"/>
          <w:szCs w:val="25"/>
          <w:color w:val="auto"/>
          <w:vertAlign w:val="superscript"/>
        </w:rPr>
      </w:pPr>
      <w:r>
        <w:rPr>
          <w:rFonts w:ascii="Arial" w:cs="Arial" w:eastAsia="Arial" w:hAnsi="Arial"/>
          <w:sz w:val="17"/>
          <w:szCs w:val="17"/>
          <w:color w:val="auto"/>
        </w:rPr>
        <w:t>The 2013 third quarter nonoperating special items totaled a net charge of $75 million, which principally related to debt extinguishment costs incurred in connection with the repayment of existing high-interest aircraft financings. The 2013 nine month period nonoperating special items totaled a net charge of $102 million, which principally included interest charges of $27 million to recognize post-petition interest expense on unsecured obligations pursuant to the Plan and the $75 million in charges primarily related to debt extinguishment costs as described above.</w:t>
      </w:r>
    </w:p>
    <w:p>
      <w:pPr>
        <w:spacing w:after="0" w:line="9"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 the 2013 third quarter and nine month periods, American recognized reorganization expenses as a result of the filing of the Chapter 11 Cases. These amounts consisted primarily of estimated allowed claim amounts and professional fees.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jc w:val="both"/>
        <w:ind w:left="340" w:hanging="332"/>
        <w:spacing w:after="0" w:line="241"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During the 2014 third quarter, American recorded a special $7 million non-cash deferred income tax provision related to certain indefinite-lived intangible assets. During the 2014 nine month period, American sold its portfolio of fuel hedging contracts that were scheduled to settle on or after June 30, 2014. In connection with this sale, American recorded a special non-cash tax provision of $328 million in the statement of operations for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the 2014 nine month period included a special $21 million non-cash deferred income tax provision related to certain indefinite-lived intangible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spacing w:after="0"/>
              <w:rPr>
                <w:sz w:val="17"/>
                <w:szCs w:val="17"/>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w w:val="91"/>
              </w:rPr>
              <w:t>December 31, 2013</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1,876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Aircraft enhanced equipment trust certificates (EETCs), fixed interest rates ranging from 3.70% to 7.00%, maturing from</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to 2026</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w:t>
            </w: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5"/>
              </w:rPr>
              <w:t>Equipment loans and other notes payable, fixed and variable interest rates ranging from 1.43% to 8.10%, maturing from</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2014 to 2026</w:t>
            </w:r>
          </w:p>
        </w:tc>
        <w:tc>
          <w:tcPr>
            <w:tcW w:w="12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2,140</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Special facility revenue bonds, fixed interest rates ranging from 5.50% to 8.50%, maturing from 2016 to 2035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7.50% senior secured notes</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secured obligations, fixed interest rates ranging from 4.19% to 12.24%, maturing from 2014 to 2028</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Unsecured</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Affiliate unsecured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8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Less: Total unamortized debt discount</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Current maturities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9,255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9,852</w:t>
            </w:r>
          </w:p>
        </w:tc>
      </w:tr>
      <w:tr>
        <w:trPr>
          <w:trHeight w:val="33"/>
        </w:trPr>
        <w:tc>
          <w:tcPr>
            <w:tcW w:w="8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2014-1 EETCs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Aircraft Financing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American prepaid $61 million principal amount of outstanding debt secured by certain aircraft.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and third quarters of 2014, American entered into loan agreements to borrow $141 million in connection with financing certain aircraft deliveries. The notes mature in 2026 and bear interest at a rate of LIBOR plus an applicable margin.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during the nine months ended September 30, 2014, American paid $37 million of cash premiums and recorded a $5 million non-cash write off of unamortized deferred issuance costs.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nine months of 2014, American prepaid $98 million of obligations, of which $62 million was reflected as debt on its balance sheet, associated with special facility revenue bonds issued by municipalities to build or improve certain airport and maintenance facilities. The off-balance sheet portion of these obligations was accounted for as an operating lease.</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emergence from bankruptcy resulted in a statutory "ownership change" on December 9, 2013, as defined in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2013, American had approximately $9.5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Alternative Minimum Tax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2014, American recorded a special $7 million and $21 million, respectively, non-cash deferred income tax provision related to certain indefinite-lived intangible assets. In addition for the 2014 nine month period, American recorded a special $328 million non-cash tax provision related to the settlement of fuel hedges discussed below and $3 million of tax expense principally related to certain states and countries where NOLs were limited or unavailable to be used.</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second quarter of 2014, American sold its portfolio of fuel hedging contracts that were scheduled to settle on or after June 30, 2014. In connection with this sale, American recorded a special non-cash tax provision of $328 million in the statement of operations for the nine months ended September 30,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American did not record an income tax provision in the 2013 third quarter. For the nine months ended September 30, 2013, American recorded an income tax benefit of approximately $30 million as a result of the American Taxpayer Relief Act of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No changes in valuation techniques or inputs occurred during the nine months ended September 30, 2014.</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20" w:type="dxa"/>
            <w:vAlign w:val="bottom"/>
            <w:gridSpan w:val="9"/>
          </w:tcPr>
          <w:p>
            <w:pPr>
              <w:jc w:val="right"/>
              <w:ind w:right="30"/>
              <w:spacing w:after="0"/>
              <w:rPr>
                <w:sz w:val="20"/>
                <w:szCs w:val="20"/>
                <w:color w:val="auto"/>
              </w:rPr>
            </w:pPr>
            <w:r>
              <w:rPr>
                <w:rFonts w:ascii="Arial" w:cs="Arial" w:eastAsia="Arial" w:hAnsi="Arial"/>
                <w:sz w:val="18"/>
                <w:szCs w:val="18"/>
                <w:color w:val="auto"/>
              </w:rPr>
              <w:t>Fair Value Measurements as of September 30, 2014</w:t>
            </w:r>
          </w:p>
        </w:tc>
        <w:tc>
          <w:tcPr>
            <w:tcW w:w="116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Level 2</w:t>
            </w:r>
          </w:p>
        </w:tc>
        <w:tc>
          <w:tcPr>
            <w:tcW w:w="34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auto"/>
              </w:rPr>
              <w:t>Level 3</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0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17145</wp:posOffset>
            </wp:positionV>
            <wp:extent cx="4004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25"/>
          <w:szCs w:val="25"/>
          <w:color w:val="auto"/>
          <w:vertAlign w:val="superscript"/>
        </w:rPr>
      </w:pPr>
    </w:p>
    <w:p>
      <w:pPr>
        <w:ind w:left="220" w:hanging="212"/>
        <w:spacing w:after="0" w:line="187"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American's short-term investments mature in one year or less except for $790 million of corporate obligations and $400 million of bank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-419100</wp:posOffset>
            </wp:positionV>
            <wp:extent cx="40049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Level 1 to Level 2 transfers during the nine months ended September 30, 2014. American's policy regarding the recording of transfers between levels is to reflect any such transfers at the end of the reporting period.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American's short-term investments are classified as available-for-sale and stated at fair value. Unrealized gains and losses are reflected as a component of Accumulated other comprehensive loss.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2014, $721 million of American's unrestricted cash balance was held in Venezuelan bolivars, valued at the weighted average applicable exchange rate of 6.41 bolivars to the dollar. American's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American's significant reduction in capacity in this market, pending further repatriation of funds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a decrease in demand for air travel resulting from the effective devaluation of the bolivar. American's September 30, 2014 cash balance includes approximately $94 million valued at 4.3 bolivars, approximately $580 million valued at 6.3 bolivars, and approximately $47 million valued at 12.0 bolivars, with the rate depending on the date American submitted its repatriation request to the Venezuelan government. American is continuing to work with Venezuelan authorities regarding the timing and exchange rate applicable to the repatriation of funds held in local currency. American is monitoring this situation closely and continues to evaluate its holdings of Venezuelan bolivars for potential impairment. See Part II, Item 1A - Risk Factors "</w:t>
      </w:r>
      <w:r>
        <w:rPr>
          <w:rFonts w:ascii="Arial" w:cs="Arial" w:eastAsia="Arial" w:hAnsi="Arial"/>
          <w:sz w:val="16"/>
          <w:szCs w:val="16"/>
          <w:i w:val="1"/>
          <w:iCs w:val="1"/>
          <w:color w:val="auto"/>
        </w:rPr>
        <w:t>We operate 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Arial" w:cs="Arial" w:eastAsia="Arial" w:hAnsi="Arial"/>
                <w:sz w:val="18"/>
                <w:szCs w:val="18"/>
                <w:color w:val="auto"/>
              </w:rPr>
              <w:t>September 30, 2014</w:t>
            </w:r>
          </w:p>
        </w:tc>
        <w:tc>
          <w:tcPr>
            <w:tcW w:w="300" w:type="dxa"/>
            <w:vAlign w:val="bottom"/>
          </w:tcPr>
          <w:p>
            <w:pPr>
              <w:spacing w:after="0"/>
              <w:rPr>
                <w:sz w:val="20"/>
                <w:szCs w:val="20"/>
                <w:color w:val="auto"/>
              </w:rPr>
            </w:pPr>
          </w:p>
        </w:tc>
        <w:tc>
          <w:tcPr>
            <w:tcW w:w="3020" w:type="dxa"/>
            <w:vAlign w:val="bottom"/>
            <w:gridSpan w:val="4"/>
          </w:tcPr>
          <w:p>
            <w:pPr>
              <w:jc w:val="right"/>
              <w:ind w:right="850"/>
              <w:spacing w:after="0"/>
              <w:rPr>
                <w:sz w:val="20"/>
                <w:szCs w:val="20"/>
                <w:color w:val="auto"/>
              </w:rPr>
            </w:pPr>
            <w:r>
              <w:rPr>
                <w:rFonts w:ascii="Arial" w:cs="Arial" w:eastAsia="Arial" w:hAnsi="Arial"/>
                <w:sz w:val="18"/>
                <w:szCs w:val="18"/>
                <w:color w:val="auto"/>
              </w:rPr>
              <w:t>December 31, 2013</w:t>
            </w:r>
          </w:p>
        </w:tc>
      </w:tr>
      <w:tr>
        <w:trPr>
          <w:trHeight w:val="27"/>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36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Fair</w:t>
            </w:r>
          </w:p>
        </w:tc>
        <w:tc>
          <w:tcPr>
            <w:tcW w:w="3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Carrying</w:t>
            </w:r>
          </w:p>
        </w:tc>
        <w:tc>
          <w:tcPr>
            <w:tcW w:w="360" w:type="dxa"/>
            <w:vAlign w:val="bottom"/>
          </w:tcPr>
          <w:p>
            <w:pPr>
              <w:spacing w:after="0"/>
              <w:rPr>
                <w:sz w:val="19"/>
                <w:szCs w:val="19"/>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r>
      <w:tr>
        <w:trPr>
          <w:trHeight w:val="230"/>
        </w:trPr>
        <w:tc>
          <w:tcPr>
            <w:tcW w:w="4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c>
          <w:tcPr>
            <w:tcW w:w="36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Value</w:t>
            </w: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86"/>
              </w:rPr>
              <w:t>Value</w:t>
            </w:r>
          </w:p>
        </w:tc>
      </w:tr>
      <w:tr>
        <w:trPr>
          <w:trHeight w:val="27"/>
        </w:trPr>
        <w:tc>
          <w:tcPr>
            <w:tcW w:w="4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11,045</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components of net periodic benefit cost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w w:val="91"/>
              </w:rPr>
              <w:t>Pension Benefits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6"/>
          </w:tcPr>
          <w:p>
            <w:pPr>
              <w:jc w:val="right"/>
              <w:ind w:right="310"/>
              <w:spacing w:after="0"/>
              <w:rPr>
                <w:sz w:val="20"/>
                <w:szCs w:val="20"/>
                <w:color w:val="auto"/>
              </w:rPr>
            </w:pPr>
            <w:r>
              <w:rPr>
                <w:rFonts w:ascii="Arial" w:cs="Arial" w:eastAsia="Arial" w:hAnsi="Arial"/>
                <w:sz w:val="18"/>
                <w:szCs w:val="18"/>
                <w:color w:val="auto"/>
                <w:w w:val="96"/>
              </w:rPr>
              <w:t>Retiree Medical and Other Benefits</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return on assets</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50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Unrecognized net loss (gain)</w:t>
            </w: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56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1040" w:type="dxa"/>
            <w:vAlign w:val="bottom"/>
            <w:tcBorders>
              <w:top w:val="single" w:sz="8" w:color="auto"/>
            </w:tcBorders>
            <w:gridSpan w:val="2"/>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w w:val="93"/>
              </w:rPr>
              <w:t>Pension Benefits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6"/>
          </w:tcPr>
          <w:p>
            <w:pPr>
              <w:jc w:val="right"/>
              <w:ind w:right="310"/>
              <w:spacing w:after="0"/>
              <w:rPr>
                <w:sz w:val="20"/>
                <w:szCs w:val="20"/>
                <w:color w:val="auto"/>
              </w:rPr>
            </w:pPr>
            <w:r>
              <w:rPr>
                <w:rFonts w:ascii="Arial" w:cs="Arial" w:eastAsia="Arial" w:hAnsi="Arial"/>
                <w:sz w:val="18"/>
                <w:szCs w:val="18"/>
                <w:color w:val="auto"/>
                <w:w w:val="96"/>
              </w:rPr>
              <w:t>Retiree Medical and Other Benefits</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w w:val="94"/>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cost</w:t>
            </w:r>
          </w:p>
        </w:tc>
        <w:tc>
          <w:tcPr>
            <w:tcW w:w="104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490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Expected return on assets</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(587)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50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Unrecognized net loss (gain)</w:t>
            </w:r>
          </w:p>
        </w:tc>
        <w:tc>
          <w:tcPr>
            <w:tcW w:w="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56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(151)</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American's defined benefit pension plans were frozen.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the Employee Retirement Income Security Act of 1974 (ERISA), the Pension Funding Equity Act of 2004, the Pension Protection Act of 2006, the Pension Relief Act of 2010 and the Moving Ahead for Progress in the 21st Century Act of 2012. In the first nine months of 2014, American has made its aggregate minimum required contributions for 2014 of $168 million, and has made $613 million in supplemental contributions to its pension plans, above and beyond the $168 million of minimum required contributions.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Fuel Hedging Contracts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American has not entered into any fuel hedges since December 9, 2013. As of September 30, 2014, American does not have any fuel hedging contracts outstanding. During the second quarter of 2014, American sold its portfolio of fuel hedging contracts that were scheduled to settle on or after June 30, 2014. The cash proceeds on these sales totaled $71 million which exceeded the current value of the portfolio. Approximately $25 million of the resulting gain was credited to OCI and will be recognized as a credit to fuel expense in the period the hedged fuel is scheduled to be consumed (the third quarter of 2014 through the second quarter of 2015). For the three months ended September 30, 2014 and 2013, American recognized a net gain of $7 million and $25 million, respectively, and for the nine months ended September 30, 2014 and 2013, American recognized a net gain of $7 million and $2 million, respectively, as a component of aircraft fuel expense on the accompanying condensed consolidated statements of operations related to its fuel hedging agreements, including the ineffective portion of the hedges.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aircraft fuel derivative instruments on American's condensed consolidated statements of operations is depicted below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Location in condensed</w:t>
            </w: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color w:val="auto"/>
                <w:w w:val="98"/>
              </w:rPr>
              <w:t>Three Months Ended September 30,</w:t>
            </w:r>
          </w:p>
        </w:tc>
        <w:tc>
          <w:tcPr>
            <w:tcW w:w="180" w:type="dxa"/>
            <w:vAlign w:val="bottom"/>
          </w:tcPr>
          <w:p>
            <w:pPr>
              <w:spacing w:after="0"/>
              <w:rPr>
                <w:sz w:val="16"/>
                <w:szCs w:val="16"/>
                <w:color w:val="auto"/>
              </w:rPr>
            </w:pPr>
          </w:p>
        </w:tc>
        <w:tc>
          <w:tcPr>
            <w:tcW w:w="2580" w:type="dxa"/>
            <w:vAlign w:val="bottom"/>
            <w:gridSpan w:val="4"/>
          </w:tcPr>
          <w:p>
            <w:pPr>
              <w:jc w:val="right"/>
              <w:ind w:right="139"/>
              <w:spacing w:after="0"/>
              <w:rPr>
                <w:sz w:val="20"/>
                <w:szCs w:val="20"/>
                <w:color w:val="auto"/>
              </w:rPr>
            </w:pPr>
            <w:r>
              <w:rPr>
                <w:rFonts w:ascii="Arial" w:cs="Arial" w:eastAsia="Arial" w:hAnsi="Arial"/>
                <w:sz w:val="16"/>
                <w:szCs w:val="16"/>
                <w:color w:val="auto"/>
                <w:w w:val="93"/>
              </w:rPr>
              <w:t>Nine Months Ended September 30,</w:t>
            </w:r>
          </w:p>
        </w:tc>
        <w:tc>
          <w:tcPr>
            <w:tcW w:w="0" w:type="dxa"/>
            <w:vAlign w:val="bottom"/>
          </w:tcPr>
          <w:p>
            <w:pPr>
              <w:spacing w:after="0"/>
              <w:rPr>
                <w:sz w:val="1"/>
                <w:szCs w:val="1"/>
                <w:color w:val="auto"/>
              </w:rPr>
            </w:pPr>
          </w:p>
        </w:tc>
      </w:tr>
      <w:tr>
        <w:trPr>
          <w:trHeight w:val="59"/>
        </w:trPr>
        <w:tc>
          <w:tcPr>
            <w:tcW w:w="3920" w:type="dxa"/>
            <w:vAlign w:val="bottom"/>
          </w:tcPr>
          <w:p>
            <w:pPr>
              <w:spacing w:after="0"/>
              <w:rPr>
                <w:sz w:val="5"/>
                <w:szCs w:val="5"/>
                <w:color w:val="auto"/>
              </w:rPr>
            </w:pPr>
          </w:p>
        </w:tc>
        <w:tc>
          <w:tcPr>
            <w:tcW w:w="19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392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right"/>
              <w:ind w:right="35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restart"/>
          </w:tcPr>
          <w:p>
            <w:pPr>
              <w:jc w:val="right"/>
              <w:ind w:right="41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39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operations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Amount of gain (loss) reclassified from accumulated OCI</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into income </w:t>
            </w:r>
            <w:r>
              <w:rPr>
                <w:rFonts w:ascii="Arial" w:cs="Arial" w:eastAsia="Arial" w:hAnsi="Arial"/>
                <w:sz w:val="21"/>
                <w:szCs w:val="21"/>
                <w:color w:val="auto"/>
                <w:vertAlign w:val="superscript"/>
              </w:rPr>
              <w:t>(1)</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3"/>
              </w:rPr>
              <w:t>taxes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0"/>
        </w:trPr>
        <w:tc>
          <w:tcPr>
            <w:tcW w:w="392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Amount of gain recognized in income on derivative </w:t>
            </w:r>
            <w:r>
              <w:rPr>
                <w:rFonts w:ascii="Arial" w:cs="Arial" w:eastAsia="Arial" w:hAnsi="Arial"/>
                <w:sz w:val="21"/>
                <w:szCs w:val="21"/>
                <w:color w:val="auto"/>
                <w:vertAlign w:val="superscript"/>
              </w:rPr>
              <w:t>(2)</w:t>
            </w: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color w:val="auto"/>
                <w:w w:val="83"/>
              </w:rPr>
              <w:t>taxes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3920" w:type="dxa"/>
            <w:vAlign w:val="bottom"/>
          </w:tcPr>
          <w:p>
            <w:pPr>
              <w:ind w:left="40"/>
              <w:spacing w:after="0"/>
              <w:rPr>
                <w:sz w:val="20"/>
                <w:szCs w:val="20"/>
                <w:color w:val="auto"/>
              </w:rPr>
            </w:pPr>
            <w:r>
              <w:rPr>
                <w:rFonts w:ascii="Arial" w:cs="Arial" w:eastAsia="Arial" w:hAnsi="Arial"/>
                <w:sz w:val="16"/>
                <w:szCs w:val="16"/>
                <w:color w:val="auto"/>
              </w:rPr>
              <w:t>Amount of gain recognized in condensed consolidated</w:t>
            </w: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Aircraft fuel and related</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920" w:type="dxa"/>
            <w:vAlign w:val="bottom"/>
          </w:tcPr>
          <w:p>
            <w:pPr>
              <w:ind w:left="40"/>
              <w:spacing w:after="0" w:line="235" w:lineRule="exact"/>
              <w:rPr>
                <w:sz w:val="20"/>
                <w:szCs w:val="20"/>
                <w:color w:val="auto"/>
              </w:rPr>
            </w:pPr>
            <w:r>
              <w:rPr>
                <w:rFonts w:ascii="Arial" w:cs="Arial" w:eastAsia="Arial" w:hAnsi="Arial"/>
                <w:sz w:val="16"/>
                <w:szCs w:val="16"/>
                <w:color w:val="auto"/>
              </w:rPr>
              <w:t xml:space="preserve">statements of operations </w:t>
            </w:r>
            <w:r>
              <w:rPr>
                <w:rFonts w:ascii="Arial" w:cs="Arial" w:eastAsia="Arial" w:hAnsi="Arial"/>
                <w:sz w:val="21"/>
                <w:szCs w:val="21"/>
                <w:color w:val="auto"/>
                <w:vertAlign w:val="superscript"/>
              </w:rPr>
              <w:t>(3)</w:t>
            </w:r>
          </w:p>
        </w:tc>
        <w:tc>
          <w:tcPr>
            <w:tcW w:w="1980" w:type="dxa"/>
            <w:vAlign w:val="bottom"/>
            <w:gridSpan w:val="2"/>
          </w:tcPr>
          <w:p>
            <w:pPr>
              <w:jc w:val="center"/>
              <w:ind w:right="100"/>
              <w:spacing w:after="0"/>
              <w:rPr>
                <w:sz w:val="20"/>
                <w:szCs w:val="20"/>
                <w:color w:val="auto"/>
              </w:rPr>
            </w:pPr>
            <w:r>
              <w:rPr>
                <w:rFonts w:ascii="Arial" w:cs="Arial" w:eastAsia="Arial" w:hAnsi="Arial"/>
                <w:sz w:val="16"/>
                <w:szCs w:val="16"/>
                <w:color w:val="auto"/>
                <w:w w:val="83"/>
              </w:rPr>
              <w:t>taxes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291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hanging="332"/>
        <w:spacing w:after="0" w:line="183"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6"/>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impact of aircraft fuel derivative instruments on American's condensed consolidated statements of comprehensive income (loss) is depicted below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60" w:type="dxa"/>
            <w:vAlign w:val="bottom"/>
            <w:gridSpan w:val="5"/>
          </w:tcPr>
          <w:p>
            <w:pPr>
              <w:ind w:left="40"/>
              <w:spacing w:after="0"/>
              <w:rPr>
                <w:sz w:val="20"/>
                <w:szCs w:val="20"/>
                <w:color w:val="auto"/>
              </w:rPr>
            </w:pPr>
            <w:r>
              <w:rPr>
                <w:rFonts w:ascii="Arial" w:cs="Arial" w:eastAsia="Arial" w:hAnsi="Arial"/>
                <w:sz w:val="16"/>
                <w:szCs w:val="16"/>
                <w:color w:val="auto"/>
              </w:rPr>
              <w:t>Three Months Ended September 30,</w:t>
            </w:r>
          </w:p>
        </w:tc>
        <w:tc>
          <w:tcPr>
            <w:tcW w:w="180" w:type="dxa"/>
            <w:vAlign w:val="bottom"/>
          </w:tcPr>
          <w:p>
            <w:pPr>
              <w:spacing w:after="0"/>
              <w:rPr>
                <w:sz w:val="17"/>
                <w:szCs w:val="17"/>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color w:val="auto"/>
                <w:w w:val="94"/>
              </w:rPr>
              <w:t>Nine Months Ended September 30,</w:t>
            </w:r>
          </w:p>
        </w:tc>
      </w:tr>
      <w:tr>
        <w:trPr>
          <w:trHeight w:val="33"/>
        </w:trPr>
        <w:tc>
          <w:tcPr>
            <w:tcW w:w="4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Location</w:t>
            </w:r>
          </w:p>
        </w:tc>
        <w:tc>
          <w:tcPr>
            <w:tcW w:w="160" w:type="dxa"/>
            <w:vAlign w:val="bottom"/>
          </w:tcPr>
          <w:p>
            <w:pPr>
              <w:spacing w:after="0"/>
              <w:rPr>
                <w:sz w:val="20"/>
                <w:szCs w:val="20"/>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color w:val="auto"/>
              </w:rPr>
              <w:t>2013</w:t>
            </w:r>
          </w:p>
        </w:tc>
      </w:tr>
      <w:tr>
        <w:trPr>
          <w:trHeight w:val="33"/>
        </w:trPr>
        <w:tc>
          <w:tcPr>
            <w:tcW w:w="4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Amount of (gain) loss reclassified from accumulated OCI into</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Reclassification into</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9"/>
        </w:trPr>
        <w:tc>
          <w:tcPr>
            <w:tcW w:w="424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income </w:t>
            </w:r>
            <w:r>
              <w:rPr>
                <w:rFonts w:ascii="Arial" w:cs="Arial" w:eastAsia="Arial" w:hAnsi="Arial"/>
                <w:sz w:val="21"/>
                <w:szCs w:val="21"/>
                <w:color w:val="auto"/>
                <w:vertAlign w:val="superscript"/>
              </w:rPr>
              <w:t>(1)</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 xml:space="preserve">Amount of gain (loss) recognized in OCI on derivative </w:t>
            </w:r>
            <w:r>
              <w:rPr>
                <w:rFonts w:ascii="Arial" w:cs="Arial" w:eastAsia="Arial" w:hAnsi="Arial"/>
                <w:sz w:val="21"/>
                <w:szCs w:val="21"/>
                <w:color w:val="auto"/>
                <w:vertAlign w:val="superscript"/>
              </w:rPr>
              <w:t>(1)</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Change in fair value</w:t>
            </w:r>
          </w:p>
        </w:tc>
        <w:tc>
          <w:tcPr>
            <w:tcW w:w="160" w:type="dxa"/>
            <w:vAlign w:val="bottom"/>
          </w:tcPr>
          <w:p>
            <w:pPr>
              <w:spacing w:after="0"/>
              <w:rPr>
                <w:sz w:val="23"/>
                <w:szCs w:val="23"/>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w:t>
            </w:r>
          </w:p>
        </w:tc>
      </w:tr>
      <w:tr>
        <w:trPr>
          <w:trHeight w:val="200"/>
        </w:trPr>
        <w:tc>
          <w:tcPr>
            <w:tcW w:w="4240" w:type="dxa"/>
            <w:vAlign w:val="bottom"/>
          </w:tcPr>
          <w:p>
            <w:pPr>
              <w:ind w:left="40"/>
              <w:spacing w:after="0"/>
              <w:rPr>
                <w:sz w:val="20"/>
                <w:szCs w:val="20"/>
                <w:color w:val="auto"/>
              </w:rPr>
            </w:pPr>
            <w:r>
              <w:rPr>
                <w:rFonts w:ascii="Arial" w:cs="Arial" w:eastAsia="Arial" w:hAnsi="Arial"/>
                <w:sz w:val="16"/>
                <w:szCs w:val="16"/>
                <w:color w:val="auto"/>
                <w:w w:val="97"/>
              </w:rPr>
              <w:t>Amount of gain (loss) recognized in condensed consolidated</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06"/>
        </w:trPr>
        <w:tc>
          <w:tcPr>
            <w:tcW w:w="4240" w:type="dxa"/>
            <w:vAlign w:val="bottom"/>
          </w:tcPr>
          <w:p>
            <w:pPr>
              <w:ind w:left="40"/>
              <w:spacing w:after="0"/>
              <w:rPr>
                <w:sz w:val="20"/>
                <w:szCs w:val="20"/>
                <w:color w:val="auto"/>
              </w:rPr>
            </w:pPr>
            <w:r>
              <w:rPr>
                <w:rFonts w:ascii="Arial" w:cs="Arial" w:eastAsia="Arial" w:hAnsi="Arial"/>
                <w:sz w:val="16"/>
                <w:szCs w:val="16"/>
                <w:color w:val="auto"/>
              </w:rPr>
              <w:t>statements of comprehensive income</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40" w:hanging="332"/>
        <w:spacing w:after="0" w:line="207"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of American's fuel derivatives were subject to enforceable master netting agreements with its counterparties, American did not offset its fuel derivative assets and liabilities in its condensed consolidated balance sheets. American had a gross asset of $109 million as of December 31, 2013 for its aircraft fuel derivative instruments, which was reflected in Prepaid expenses and other on the accompanying condensed consolidated balance sheet. American had no cash collateral posted or received as of December 31,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Net unrealized</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940" w:type="dxa"/>
            <w:vAlign w:val="bottom"/>
          </w:tcPr>
          <w:p>
            <w:pPr>
              <w:spacing w:after="0"/>
              <w:rPr>
                <w:sz w:val="17"/>
                <w:szCs w:val="17"/>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Pension and retiree</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change on</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financial</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Income tax</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4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medical liability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investments</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instruments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w w:val="98"/>
              </w:rPr>
              <w:t>benefit(expense)</w:t>
            </w:r>
          </w:p>
        </w:tc>
        <w:tc>
          <w:tcPr>
            <w:tcW w:w="240" w:type="dxa"/>
            <w:vAlign w:val="bottom"/>
          </w:tcPr>
          <w:p>
            <w:pPr>
              <w:spacing w:after="0"/>
              <w:rPr>
                <w:sz w:val="17"/>
                <w:szCs w:val="17"/>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color w:val="auto"/>
              </w:rPr>
              <w:t>Total</w:t>
            </w:r>
          </w:p>
        </w:tc>
      </w:tr>
      <w:tr>
        <w:trPr>
          <w:trHeight w:val="33"/>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r>
      <w:tr>
        <w:trPr>
          <w:trHeight w:val="237"/>
        </w:trPr>
        <w:tc>
          <w:tcPr>
            <w:tcW w:w="4940" w:type="dxa"/>
            <w:vAlign w:val="bottom"/>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September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and nine months ended September 30, 2014 and 2013 are as follows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right="380"/>
        <w:spacing w:after="0" w:line="277" w:lineRule="auto"/>
        <w:rPr>
          <w:sz w:val="20"/>
          <w:szCs w:val="20"/>
          <w:color w:val="auto"/>
        </w:rPr>
      </w:pPr>
      <w:r>
        <w:rPr>
          <w:rFonts w:ascii="Arial" w:cs="Arial" w:eastAsia="Arial" w:hAnsi="Arial"/>
          <w:sz w:val="18"/>
          <w:szCs w:val="18"/>
          <w:color w:val="auto"/>
        </w:rPr>
        <w:t>Details about accumulated other comprehensive income (loss) components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pension and retiree medical liability: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Amount reclassified from accumulated other</w:t>
      </w:r>
    </w:p>
    <w:p>
      <w:pPr>
        <w:spacing w:after="0" w:line="23"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2769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2100" w:type="dxa"/>
            <w:vAlign w:val="bottom"/>
            <w:gridSpan w:val="3"/>
          </w:tcPr>
          <w:p>
            <w:pPr>
              <w:ind w:left="360"/>
              <w:spacing w:after="0"/>
              <w:rPr>
                <w:sz w:val="20"/>
                <w:szCs w:val="20"/>
                <w:color w:val="auto"/>
              </w:rPr>
            </w:pPr>
            <w:r>
              <w:rPr>
                <w:rFonts w:ascii="Arial" w:cs="Arial" w:eastAsia="Arial" w:hAnsi="Arial"/>
                <w:sz w:val="18"/>
                <w:szCs w:val="18"/>
                <w:color w:val="auto"/>
              </w:rPr>
              <w:t>Nine Months Ended</w:t>
            </w:r>
          </w:p>
        </w:tc>
      </w:tr>
      <w:tr>
        <w:trPr>
          <w:trHeight w:val="230"/>
        </w:trPr>
        <w:tc>
          <w:tcPr>
            <w:tcW w:w="21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2100" w:type="dxa"/>
            <w:vAlign w:val="bottom"/>
            <w:gridSpan w:val="3"/>
          </w:tcPr>
          <w:p>
            <w:pPr>
              <w:ind w:left="560"/>
              <w:spacing w:after="0"/>
              <w:rPr>
                <w:sz w:val="20"/>
                <w:szCs w:val="20"/>
                <w:color w:val="auto"/>
              </w:rPr>
            </w:pPr>
            <w:r>
              <w:rPr>
                <w:rFonts w:ascii="Arial" w:cs="Arial" w:eastAsia="Arial" w:hAnsi="Arial"/>
                <w:sz w:val="18"/>
                <w:szCs w:val="18"/>
                <w:color w:val="auto"/>
              </w:rPr>
              <w:t>September 30,</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20" w:type="dxa"/>
            <w:vAlign w:val="bottom"/>
          </w:tcPr>
          <w:p>
            <w:pPr>
              <w:ind w:left="34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2013</w:t>
            </w:r>
          </w:p>
        </w:tc>
      </w:tr>
      <w:tr>
        <w:trPr>
          <w:trHeight w:val="27"/>
        </w:trPr>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-8255</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0"/>
        <w:spacing w:after="0" w:line="342" w:lineRule="auto"/>
        <w:rPr>
          <w:sz w:val="20"/>
          <w:szCs w:val="20"/>
          <w:color w:val="auto"/>
        </w:rPr>
      </w:pPr>
      <w:r>
        <w:rPr>
          <w:rFonts w:ascii="Arial" w:cs="Arial" w:eastAsia="Arial" w:hAnsi="Arial"/>
          <w:sz w:val="16"/>
          <w:szCs w:val="16"/>
          <w:color w:val="auto"/>
        </w:rPr>
        <w:t>Affected line item in the statement where net income (loss) is presented</w:t>
      </w:r>
    </w:p>
    <w:p>
      <w:pPr>
        <w:spacing w:after="0" w:line="245" w:lineRule="exact"/>
        <w:rPr>
          <w:sz w:val="20"/>
          <w:szCs w:val="20"/>
          <w:color w:val="auto"/>
        </w:rPr>
      </w:pPr>
    </w:p>
    <w:p>
      <w:pPr>
        <w:sectPr>
          <w:pgSz w:w="11900" w:h="16838" w:orient="portrait"/>
          <w:cols w:equalWidth="0" w:num="3">
            <w:col w:w="3880" w:space="300"/>
            <w:col w:w="4260" w:space="220"/>
            <w:col w:w="27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280"/>
              <w:spacing w:after="0"/>
              <w:rPr>
                <w:sz w:val="20"/>
                <w:szCs w:val="20"/>
                <w:color w:val="auto"/>
              </w:rPr>
            </w:pPr>
            <w:r>
              <w:rPr>
                <w:rFonts w:ascii="Arial" w:cs="Arial" w:eastAsia="Arial" w:hAnsi="Arial"/>
                <w:sz w:val="18"/>
                <w:szCs w:val="18"/>
                <w:color w:val="auto"/>
              </w:rPr>
              <w:t>Prior service cost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(162)</w:t>
            </w:r>
          </w:p>
        </w:tc>
        <w:tc>
          <w:tcPr>
            <w:tcW w:w="298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Aircraft fuel and related taxes</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Net unrealized change on investments:</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value</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Reversal of non-cash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provision (benefit)</w:t>
            </w: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980" w:type="dxa"/>
            <w:vAlign w:val="bottom"/>
          </w:tcPr>
          <w:p>
            <w:pPr>
              <w:spacing w:after="0"/>
              <w:rPr>
                <w:sz w:val="22"/>
                <w:szCs w:val="22"/>
                <w:color w:val="auto"/>
              </w:rPr>
            </w:pPr>
          </w:p>
        </w:tc>
      </w:tr>
      <w:tr>
        <w:trPr>
          <w:trHeight w:val="20"/>
        </w:trPr>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2014 nine month period,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Regional Expenses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color w:val="auto"/>
                <w:w w:val="98"/>
              </w:rPr>
              <w:t>Three Months Ended September 30,</w:t>
            </w:r>
          </w:p>
        </w:tc>
        <w:tc>
          <w:tcPr>
            <w:tcW w:w="180" w:type="dxa"/>
            <w:vAlign w:val="bottom"/>
          </w:tcPr>
          <w:p>
            <w:pPr>
              <w:spacing w:after="0"/>
              <w:rPr>
                <w:sz w:val="20"/>
                <w:szCs w:val="20"/>
                <w:color w:val="auto"/>
              </w:rPr>
            </w:pPr>
          </w:p>
        </w:tc>
        <w:tc>
          <w:tcPr>
            <w:tcW w:w="280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Nine Months Ended September 30,</w:t>
            </w:r>
          </w:p>
        </w:tc>
      </w:tr>
      <w:tr>
        <w:trPr>
          <w:trHeight w:val="27"/>
        </w:trPr>
        <w:tc>
          <w:tcPr>
            <w:tcW w:w="5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2013</w:t>
            </w:r>
          </w:p>
        </w:tc>
      </w:tr>
      <w:tr>
        <w:trPr>
          <w:trHeight w:val="27"/>
        </w:trPr>
        <w:tc>
          <w:tcPr>
            <w:tcW w:w="5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9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 carriers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9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111</w:t>
            </w:r>
          </w:p>
        </w:tc>
      </w:tr>
      <w:tr>
        <w:trPr>
          <w:trHeight w:val="27"/>
        </w:trPr>
        <w:tc>
          <w:tcPr>
            <w:tcW w:w="5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
        </w:trPr>
        <w:tc>
          <w:tcPr>
            <w:tcW w:w="5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American invests funds, including funds of certain affiliates, if any, in a combined short-term investment portfolio and passes through interest income on such funds at the average rate earned on the portfolio. These amounts are classified as Payable to affiliates on the accompanying condensed consolidated balance sheets.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300" w:type="dxa"/>
            <w:vAlign w:val="bottom"/>
          </w:tcPr>
          <w:p>
            <w:pPr>
              <w:ind w:left="640"/>
              <w:spacing w:after="0"/>
              <w:rPr>
                <w:sz w:val="20"/>
                <w:szCs w:val="20"/>
                <w:color w:val="auto"/>
              </w:rPr>
            </w:pPr>
            <w:r>
              <w:rPr>
                <w:rFonts w:ascii="Arial" w:cs="Arial" w:eastAsia="Arial" w:hAnsi="Arial"/>
                <w:sz w:val="18"/>
                <w:szCs w:val="18"/>
                <w:color w:val="auto"/>
              </w:rPr>
              <w:t>The following represents the net payables to related parties (in millions):</w:t>
            </w: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color w:val="auto"/>
              </w:rPr>
              <w:t>September 30, 2014</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2013</w:t>
            </w:r>
          </w:p>
        </w:tc>
      </w:tr>
      <w:tr>
        <w:trPr>
          <w:trHeight w:val="27"/>
        </w:trPr>
        <w:tc>
          <w:tcPr>
            <w:tcW w:w="7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American Airlines Group Parent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US Airways Group, Inc.</w:t>
            </w:r>
          </w:p>
        </w:tc>
        <w:tc>
          <w:tcPr>
            <w:tcW w:w="22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Envoy Aviation Group Inc.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other subsidiaries</w:t>
            </w:r>
          </w:p>
        </w:tc>
        <w:tc>
          <w:tcPr>
            <w:tcW w:w="2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37"/>
        </w:trPr>
        <w:tc>
          <w:tcPr>
            <w:tcW w:w="73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17145</wp:posOffset>
            </wp:positionV>
            <wp:extent cx="25901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3" w:lineRule="exact"/>
        <w:rPr>
          <w:sz w:val="20"/>
          <w:szCs w:val="20"/>
          <w:color w:val="auto"/>
        </w:rPr>
      </w:pPr>
    </w:p>
    <w:p>
      <w:pPr>
        <w:ind w:left="540" w:right="700" w:hanging="532"/>
        <w:spacing w:after="0" w:line="216" w:lineRule="auto"/>
        <w:tabs>
          <w:tab w:leader="none" w:pos="216"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Formerly known as AMR Eagle Holding Corporation, the net payable to AAG's wholly-owned regional airline operating under the brand name of American Eagle consists principally of amounts due under regional capacity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-281305</wp:posOffset>
            </wp:positionV>
            <wp:extent cx="25901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the Chapter 11 Cases. On October 21,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American repurchased 0.4 million shares of AAG Common Stock for an aggregate of $19 million from the Disputed Claim Reserve at the then prevailing market price in order to fund cash tax obligations resulting from distributions by the Disputed Claim Reserve. As of September 30, 2014, there were approximately 27.5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AAG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 Separately, both the Association of Professional Flight Attendants and Transport Workers Union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American has denied both grievances and intends to defend these matters vigorously.</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American believes this lawsuit is without merit and intends to vigorously defend against the allegations.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to 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10, 2014, American and AAG entered into a Credit and Guaranty Agreement (the 2014 Credit Agreement), with certain lenders. The 2014 Credit Agreement provides for a $750 million term loan facility (the 2014 Term Loan Facility), which was fully drawn on October 10, 2014, and a $400 million revolving credit facility (the 2014 Revolving Facility and, together with the 2014 Term Loan Facility, the 2014 Credit Facilities). The 2014 Revolving Facility provides that American may from time to time borrow, repay and reborrow loans thereunder. American may have letters of credit issued under the 2014 Revolving Facility in an aggregate amount outstanding at any time up to $300 million. There are currently no borrowings or letters of credit outstanding under the 2014 Revolving Facility.</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Mandatory prepayments at par of term loans and revolving loans may be required to the extent necessary to comply with American's covenants regarding the collateral coverage ratio.</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Amendment to 2013 Credit Agreement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10, 2014, American and AAG amended the Credit and Guaranty Agreement, dated as of June 27, 2013 (the 2013 Credit Agreement) to extend the maturity date of the $1.0 billion revolving credit facility under the 2013 Credit Agreement to October 10, 2019 and increase the commitments thereunder to an aggregate amount of $1.4 billion while reducing the letter of credit commitments thereunder to $300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2013 (the 2013 Form 10-K). The information contained herein is not a comprehensive discussion and analysis of the financial condition and results of operations of the Company, but rather updates disclosures made in the 2013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 Airlines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AAG continues to move toward operating under the single brand name of "American Airlines" through its mainline operations, American and US Airways. Until a single operating certificate is issued by the Federal Aviation Administration (FAA) and the operational integration is complete, American and US Airways will continue to operate as separate airlines. This integration process is expected to continue for the next 18 months. Together with our wholly-owned regional airline subsidiaries and third-party regional carriers operating as American Eagle and US Airways Express, our airlines operate an average of nearly 6,700 flights per day to 339 destinations in 54 countries from our hubs in Charlotte, Chicago, Dallas/Fort Worth (DFW), Los Angeles, Miami, New York, Philadelphia, Phoenix and Washington, D.C. In the third quarter of 2014, we had approximately 51 million passengers boarding our mainline and regional flights. As of September 30, 2014, we operated 978 mainline jets and were supported by our regional airline subsidiaries and third-party regional carriers which operated an additional 557 regional aircraft.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third quarter of 2014, the U.S. airline industry experienced year-over-year growth in passenger revenues driven by strong demand for air travel. In its most recent data available, Airlines for America, the trade association for U.S. airlines, reported the following changes in U.S. industry passenger revenues and yields: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gridSpan w:val="2"/>
          </w:tcPr>
          <w:p>
            <w:pPr>
              <w:ind w:left="40"/>
              <w:spacing w:after="0"/>
              <w:rPr>
                <w:sz w:val="20"/>
                <w:szCs w:val="20"/>
                <w:color w:val="auto"/>
              </w:rPr>
            </w:pPr>
            <w:r>
              <w:rPr>
                <w:rFonts w:ascii="Arial" w:cs="Arial" w:eastAsia="Arial" w:hAnsi="Arial"/>
                <w:sz w:val="18"/>
                <w:szCs w:val="18"/>
                <w:i w:val="1"/>
                <w:iCs w:val="1"/>
                <w:color w:val="auto"/>
              </w:rPr>
              <w:t>2014 vs 2013</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July</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August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September</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94"/>
        </w:trPr>
        <w:tc>
          <w:tcPr>
            <w:tcW w:w="6620" w:type="dxa"/>
            <w:vAlign w:val="bottom"/>
            <w:gridSpan w:val="2"/>
          </w:tcPr>
          <w:p>
            <w:pPr>
              <w:ind w:left="40"/>
              <w:spacing w:after="0"/>
              <w:rPr>
                <w:sz w:val="20"/>
                <w:szCs w:val="20"/>
                <w:color w:val="auto"/>
              </w:rPr>
            </w:pPr>
            <w:r>
              <w:rPr>
                <w:rFonts w:ascii="Arial" w:cs="Arial" w:eastAsia="Arial" w:hAnsi="Arial"/>
                <w:sz w:val="18"/>
                <w:szCs w:val="18"/>
                <w:i w:val="1"/>
                <w:iCs w:val="1"/>
                <w:color w:val="auto"/>
              </w:rPr>
              <w:t>2013 vs 2012</w:t>
            </w:r>
          </w:p>
        </w:tc>
        <w:tc>
          <w:tcPr>
            <w:tcW w:w="1620" w:type="dxa"/>
            <w:vAlign w:val="bottom"/>
            <w:gridSpan w:val="2"/>
          </w:tcPr>
          <w:p>
            <w:pPr>
              <w:ind w:left="600"/>
              <w:spacing w:after="0"/>
              <w:rPr>
                <w:sz w:val="20"/>
                <w:szCs w:val="20"/>
                <w:color w:val="auto"/>
              </w:rPr>
            </w:pPr>
            <w:r>
              <w:rPr>
                <w:rFonts w:ascii="Arial" w:cs="Arial" w:eastAsia="Arial" w:hAnsi="Arial"/>
                <w:sz w:val="18"/>
                <w:szCs w:val="18"/>
                <w:color w:val="auto"/>
              </w:rPr>
              <w:t>July</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August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September</w:t>
            </w:r>
          </w:p>
        </w:tc>
      </w:tr>
      <w:tr>
        <w:trPr>
          <w:trHeight w:val="27"/>
        </w:trPr>
        <w:tc>
          <w:tcPr>
            <w:tcW w:w="6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Airlines for America reported the following year-over-year changes in passenger revenues by region. Domestic markets outperformed international markets overall in the third quarter of 2014.</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i w:val="1"/>
                <w:iCs w:val="1"/>
                <w:color w:val="auto"/>
              </w:rPr>
              <w:t>2014 vs 2013</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July</w:t>
            </w:r>
          </w:p>
        </w:tc>
        <w:tc>
          <w:tcPr>
            <w:tcW w:w="1620" w:type="dxa"/>
            <w:vAlign w:val="bottom"/>
            <w:gridSpan w:val="2"/>
          </w:tcPr>
          <w:p>
            <w:pPr>
              <w:ind w:left="480"/>
              <w:spacing w:after="0"/>
              <w:rPr>
                <w:sz w:val="20"/>
                <w:szCs w:val="20"/>
                <w:color w:val="auto"/>
              </w:rPr>
            </w:pPr>
            <w:r>
              <w:rPr>
                <w:rFonts w:ascii="Arial" w:cs="Arial" w:eastAsia="Arial" w:hAnsi="Arial"/>
                <w:sz w:val="18"/>
                <w:szCs w:val="18"/>
                <w:color w:val="auto"/>
              </w:rPr>
              <w:t>August</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September</w:t>
            </w:r>
          </w:p>
        </w:tc>
      </w:tr>
      <w:tr>
        <w:trPr>
          <w:trHeight w:val="27"/>
        </w:trPr>
        <w:tc>
          <w:tcPr>
            <w:tcW w:w="6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Atlantic</w:t>
            </w:r>
          </w:p>
        </w:tc>
        <w:tc>
          <w:tcPr>
            <w:tcW w:w="154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Latin</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Pacific</w:t>
            </w:r>
          </w:p>
        </w:tc>
        <w:tc>
          <w:tcPr>
            <w:tcW w:w="15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Jet fuel prices continue to follow the price of Brent crude oil more closely than the price of West Texas Intermediate crude oil. On average, fuel costs were lower in the third quarter of 2014 as compared to the third quarter 2013. The average daily spot price for Brent crude oil during the third quarter of 2014 was $102 per barrel as compared to an average daily spot price of $110 per barrel during the third quarter of 2013. On a daily basis, Brent crude oil prices fluctuated during the quarter between a high of $111 per barrel to a low of $95 per barrel at the close of the quarter on September 30, 2014.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26" w:right="239" w:bottom="1440" w:gutter="0" w:footer="0" w:header="0"/>
        </w:sectPr>
      </w:pPr>
    </w:p>
    <w:bookmarkStart w:id="59" w:name="page60"/>
    <w:bookmarkEnd w:id="59"/>
    <w:p>
      <w:pPr>
        <w:jc w:val="both"/>
        <w:ind w:firstLine="648"/>
        <w:spacing w:after="0" w:line="302" w:lineRule="auto"/>
        <w:rPr>
          <w:sz w:val="20"/>
          <w:szCs w:val="20"/>
          <w:color w:val="auto"/>
        </w:rPr>
      </w:pPr>
      <w:r>
        <w:rPr>
          <w:rFonts w:ascii="Arial" w:cs="Arial" w:eastAsia="Arial" w:hAnsi="Arial"/>
          <w:sz w:val="16"/>
          <w:szCs w:val="16"/>
          <w:color w:val="auto"/>
        </w:rPr>
        <w:t xml:space="preserve">While the U.S. airline industry is currently benefiting from a favorable revenue environment and lower fuel prices as described above, uncertainty exists regarding the economic conditions driving these factors. See Part II, Item 1A - Risk Factors - </w:t>
      </w:r>
      <w:r>
        <w:rPr>
          <w:rFonts w:ascii="Arial" w:cs="Arial" w:eastAsia="Arial" w:hAnsi="Arial"/>
          <w:sz w:val="16"/>
          <w:szCs w:val="16"/>
          <w:i w:val="1"/>
          <w:iCs w:val="1"/>
          <w:color w:val="auto"/>
        </w:rPr>
        <w:t>"Downturns in economic conditions adversely affect 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w:t>
      </w:r>
      <w:r>
        <w:rPr>
          <w:rFonts w:ascii="Arial" w:cs="Arial" w:eastAsia="Arial" w:hAnsi="Arial"/>
          <w:sz w:val="16"/>
          <w:szCs w:val="16"/>
          <w:color w:val="auto"/>
        </w:rPr>
        <w:t>and</w:t>
      </w:r>
      <w:r>
        <w:rPr>
          <w:rFonts w:ascii="Arial" w:cs="Arial" w:eastAsia="Arial" w:hAnsi="Arial"/>
          <w:sz w:val="16"/>
          <w:szCs w:val="16"/>
          <w:i w:val="1"/>
          <w:iCs w:val="1"/>
          <w:color w:val="auto"/>
        </w:rPr>
        <w:t xml:space="preserve"> "Our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third quarter 2014 GAAP results are not comparable to the GAAP results for the third quarter of 2013. AAG’s third quarter 2013 results do not include the financial results of US Airways Group as the closing of the Merger occurred on December 9, 2013. Additionally, US Airways Group applied acquisition accounting as of December 9, 2013 and its financial statements after December 9, 2013 are deemed not comparable to its financial statements for periods prior to the Merger. To provide a basis for comparison to prior year results, we have presented in the table below certain "combined" third quarter 2013 financial data which includes the financial results of AAG and US Airways Group, each on a standalone basis. While this is a non-GAAP measure, management believes this presentation provides a more meaningful quarter-over-quarter comparison.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20" w:type="dxa"/>
            <w:vAlign w:val="bottom"/>
            <w:gridSpan w:val="8"/>
          </w:tcPr>
          <w:p>
            <w:pPr>
              <w:spacing w:after="0"/>
              <w:rPr>
                <w:sz w:val="20"/>
                <w:szCs w:val="20"/>
                <w:color w:val="auto"/>
              </w:rPr>
            </w:pPr>
            <w:r>
              <w:rPr>
                <w:rFonts w:ascii="Arial" w:cs="Arial" w:eastAsia="Arial" w:hAnsi="Arial"/>
                <w:sz w:val="18"/>
                <w:szCs w:val="18"/>
                <w:color w:val="auto"/>
                <w:w w:val="89"/>
              </w:rPr>
              <w:t>Three Months Ended September 30, 2013</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US Airways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w w:val="86"/>
              </w:rPr>
              <w:t>Percent Change</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8"/>
              </w:rPr>
              <w:t>September 30, 2014</w:t>
            </w:r>
          </w:p>
        </w:tc>
        <w:tc>
          <w:tcPr>
            <w:tcW w:w="280" w:type="dxa"/>
            <w:vAlign w:val="bottom"/>
          </w:tcPr>
          <w:p>
            <w:pPr>
              <w:spacing w:after="0"/>
              <w:rPr>
                <w:sz w:val="5"/>
                <w:szCs w:val="5"/>
                <w:color w:val="auto"/>
              </w:rPr>
            </w:pPr>
          </w:p>
        </w:tc>
        <w:tc>
          <w:tcPr>
            <w:tcW w:w="960" w:type="dxa"/>
            <w:vAlign w:val="bottom"/>
            <w:vMerge w:val="restart"/>
          </w:tcPr>
          <w:p>
            <w:pPr>
              <w:jc w:val="right"/>
              <w:ind w:right="331"/>
              <w:spacing w:after="0"/>
              <w:rPr>
                <w:sz w:val="20"/>
                <w:szCs w:val="20"/>
                <w:color w:val="auto"/>
              </w:rPr>
            </w:pPr>
            <w:r>
              <w:rPr>
                <w:rFonts w:ascii="Arial" w:cs="Arial" w:eastAsia="Arial" w:hAnsi="Arial"/>
                <w:sz w:val="18"/>
                <w:szCs w:val="18"/>
                <w:color w:val="auto"/>
              </w:rPr>
              <w:t>AAG</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91"/>
              </w:rPr>
              <w:t>Group</w:t>
            </w:r>
          </w:p>
        </w:tc>
        <w:tc>
          <w:tcPr>
            <w:tcW w:w="180" w:type="dxa"/>
            <w:vAlign w:val="bottom"/>
          </w:tcPr>
          <w:p>
            <w:pPr>
              <w:spacing w:after="0"/>
              <w:rPr>
                <w:sz w:val="5"/>
                <w:szCs w:val="5"/>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auto"/>
              </w:rPr>
              <w:t>Combined</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and regional passenger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9,477</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Total operating revenues</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11,139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Mainline and regional aircraft fuel and related taxes</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3,400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9,879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9,540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942</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Special items: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special charges, net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Nonoperating special charges, net</w:t>
            </w:r>
          </w:p>
        </w:tc>
        <w:tc>
          <w:tcPr>
            <w:tcW w:w="16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special charges (credits), net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Reorganization items, net</w:t>
            </w:r>
          </w:p>
        </w:tc>
        <w:tc>
          <w:tcPr>
            <w:tcW w:w="160" w:type="dxa"/>
            <w:vAlign w:val="bottom"/>
          </w:tcPr>
          <w:p>
            <w:pPr>
              <w:spacing w:after="0"/>
              <w:rPr>
                <w:sz w:val="21"/>
                <w:szCs w:val="21"/>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Total net special charges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00" w:hanging="192"/>
        <w:spacing w:after="0"/>
        <w:tabs>
          <w:tab w:leader="none" w:pos="20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Percent change is a comparison of the combined results.</w:t>
      </w:r>
    </w:p>
    <w:p>
      <w:pPr>
        <w:spacing w:after="0" w:line="147" w:lineRule="exact"/>
        <w:rPr>
          <w:rFonts w:ascii="Arial" w:cs="Arial" w:eastAsia="Arial" w:hAnsi="Arial"/>
          <w:sz w:val="23"/>
          <w:szCs w:val="23"/>
          <w:color w:val="auto"/>
          <w:vertAlign w:val="superscript"/>
        </w:rPr>
      </w:pPr>
    </w:p>
    <w:p>
      <w:pPr>
        <w:jc w:val="both"/>
        <w:ind w:firstLine="8"/>
        <w:spacing w:after="0" w:line="245" w:lineRule="auto"/>
        <w:tabs>
          <w:tab w:leader="none" w:pos="205"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AAG's third quarter 2014 results were significantly impacted by net special charges of $281 million, consisting principally of $168 million of merger integration expenses, $99 million in other charges, including an $81 million charge to revise prior estimates of certain aircraft residual values, and other asset impairments, and $50 million in debt extinguishment charges, offset in part by net credits of $40 million for bankruptcy related items. See Part I, Item 2 - “</w:t>
      </w:r>
      <w:r>
        <w:rPr>
          <w:rFonts w:ascii="Arial" w:cs="Arial" w:eastAsia="Arial" w:hAnsi="Arial"/>
          <w:sz w:val="17"/>
          <w:szCs w:val="17"/>
          <w:i w:val="1"/>
          <w:iCs w:val="1"/>
          <w:color w:val="auto"/>
        </w:rPr>
        <w:t>AAG's Results of Operations”</w:t>
      </w:r>
      <w:r>
        <w:rPr>
          <w:rFonts w:ascii="Arial" w:cs="Arial" w:eastAsia="Arial" w:hAnsi="Arial"/>
          <w:sz w:val="17"/>
          <w:szCs w:val="17"/>
          <w:color w:val="auto"/>
        </w:rPr>
        <w:t xml:space="preserve"> of this report for more information on net special items.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Third Quarter 2014 Results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Driven by growth in revenues resulting from strong demand for air travel, we realized operating income of $1.3 billion and net income of $942 million in the third quarter of 2014. This compares to combined operating income of $1.1 billion and combined net income of $505 million in the third quarter of 2013. Our third quarter 2014 net income included net operating and total net special charges of $223 million and $281 million, respectively, while the third quarter of 2013 included combined net operating and total net special charges of $41 million and $266 million, respectively. Excluding the effects of net operating special charges, we recognized operating income of $1.5 billion in the third quarter of 2014, which is a $314 million, or 27%</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30"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improvement as compared to combined operating income of $1.2 billion excluding net operating special charges in the third quarter of 2013. Excluding the effects of total net special charges, we recognized net income of $1.2 billion in the third quarter of 2014, which is a $452 million, or 59% improvement as compared to combined net income of $771 million excluding total net special charges in the third quarter of 2013. See Part I, Item 2 “</w:t>
      </w:r>
      <w:r>
        <w:rPr>
          <w:rFonts w:ascii="Arial" w:cs="Arial" w:eastAsia="Arial" w:hAnsi="Arial"/>
          <w:sz w:val="18"/>
          <w:szCs w:val="18"/>
          <w:i w:val="1"/>
          <w:iCs w:val="1"/>
          <w:color w:val="auto"/>
        </w:rPr>
        <w:t>AAG's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of this report for more information on net special charges.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third quarter of 2014, we reported operating revenues of $11.1 billion. Mainline and regional passenger revenues were $9.8 billion, an increase of $281 million, or 2.9%, as compared to the combined third quarter of 2013 mainline and regional passenger revenues of $9.5 billion. The growth in revenues was driven by a 2.6% increase in yield. Our mainline and regional passenger revenue per available seat mile (PRASM) was 14.12 cents in the third quarter of 2014, a 1.0% increase as compared to a combined 13.98 cents in the third quarter of 2013.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Fuel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Mainline and regional fuel expense was $3.4 billion in the third quarter of 2014, which was $33 million, or 1.0%, lower as compared to the combined mainline and regional fuel expense in the third quarter of 2013. This decrease was driven by a 1.6% decrease in the average price per gallon to $2.98 in the third quarter of 2014 from a combined average price per gallon of $3.03 for the third quarter of 2013. This decrease was offset in part by a 0.6% increase in consumption.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As of September 30, 2014, we do not have any fuel hedging contracts outstanding. We have not entered into any fuel hedges since December 9, 2013 and it is our current policy to not do so.</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Capacity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system capacity for the combined company increased 2.0% in the third quarter of 2014 as compared to the combined third quarter of 2013 primarily due to more active aircraft and larger gauge aircraft replacing smaller legacy aircraft.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remain committed to maintaining a low cost structure, which we believe is necessary in an industry whose economic prospects are heavily dependent upon two variables we cannot control: the health of the economy and the price of fuel. Our 2014 third quarter mainline cost per available seat mile (CASM) excluding special items and fuel was 8.35 cents. When compared to the 2013 third quarter combined results, mainline CASM excluding special items and fuel increased 0.7% in the third quarter of 2014. The increase was primarily due to higher salaries, wages and benefits driven by merger related labor contracts and higher maintenance costs driven by an increase in the number of engine overhauls. See below for the </w:t>
      </w:r>
      <w:r>
        <w:rPr>
          <w:rFonts w:ascii="Arial" w:cs="Arial" w:eastAsia="Arial" w:hAnsi="Arial"/>
          <w:sz w:val="18"/>
          <w:szCs w:val="18"/>
          <w:i w:val="1"/>
          <w:iCs w:val="1"/>
          <w:color w:val="auto"/>
        </w:rPr>
        <w:t>"Reconciliation of 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to Non-GAAP Financial Information."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Customer Service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Our third quarter 2014 operating performance was negatively impacted in part by severe weather conditions at our hubs as well as the September 2014 fire at the FAA's Chicago Air Route Traffic Control Center, which caused significant flight delays and cancellations.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reported the following combined operating statistics to the U.S. Department of Transportation (DOT) for mainline operations for the third quarter of 2014 and 2013:</w:t>
      </w:r>
    </w:p>
    <w:p>
      <w:pPr>
        <w:spacing w:after="0" w:line="176"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2013(a)</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Better (Worse) 2014-2013</w:t>
            </w:r>
          </w:p>
        </w:tc>
      </w:tr>
      <w:tr>
        <w:trPr>
          <w:trHeight w:val="250"/>
        </w:trPr>
        <w:tc>
          <w:tcPr>
            <w:tcW w:w="2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July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August</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September </w:t>
            </w:r>
            <w:r>
              <w:rPr>
                <w:rFonts w:ascii="Arial" w:cs="Arial" w:eastAsia="Arial" w:hAnsi="Arial"/>
                <w:sz w:val="8"/>
                <w:szCs w:val="8"/>
                <w:b w:val="1"/>
                <w:bCs w:val="1"/>
                <w:color w:val="auto"/>
                <w:w w:val="94"/>
              </w:rPr>
              <w:t>(f)</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July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August</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w:t>
            </w:r>
          </w:p>
        </w:tc>
        <w:tc>
          <w:tcPr>
            <w:tcW w:w="1100" w:type="dxa"/>
            <w:vAlign w:val="bottom"/>
          </w:tcPr>
          <w:p>
            <w:pPr>
              <w:ind w:left="420"/>
              <w:spacing w:after="0"/>
              <w:rPr>
                <w:sz w:val="20"/>
                <w:szCs w:val="20"/>
                <w:color w:val="auto"/>
              </w:rPr>
            </w:pPr>
            <w:r>
              <w:rPr>
                <w:rFonts w:ascii="Arial" w:cs="Arial" w:eastAsia="Arial" w:hAnsi="Arial"/>
                <w:sz w:val="14"/>
                <w:szCs w:val="14"/>
                <w:b w:val="1"/>
                <w:bCs w:val="1"/>
                <w:color w:val="auto"/>
              </w:rPr>
              <w:t>July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August</w:t>
            </w: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September</w:t>
            </w:r>
          </w:p>
        </w:tc>
      </w:tr>
      <w:tr>
        <w:trPr>
          <w:trHeight w:val="270"/>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On-time performance </w:t>
            </w:r>
            <w:r>
              <w:rPr>
                <w:rFonts w:ascii="Arial" w:cs="Arial" w:eastAsia="Arial" w:hAnsi="Arial"/>
                <w:sz w:val="8"/>
                <w:szCs w:val="8"/>
                <w:color w:val="auto"/>
              </w:rPr>
              <w:t>(b)</w:t>
            </w: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74.2</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77.3</w:t>
            </w:r>
          </w:p>
        </w:tc>
        <w:tc>
          <w:tcPr>
            <w:tcW w:w="1120" w:type="dxa"/>
            <w:vAlign w:val="bottom"/>
            <w:tcBorders>
              <w:top w:val="single" w:sz="8" w:color="auto"/>
            </w:tcBorders>
            <w:shd w:val="clear" w:color="auto" w:fill="CCEEFF"/>
          </w:tcPr>
          <w:p>
            <w:pPr>
              <w:jc w:val="center"/>
              <w:ind w:right="34"/>
              <w:spacing w:after="0"/>
              <w:rPr>
                <w:sz w:val="20"/>
                <w:szCs w:val="20"/>
                <w:color w:val="auto"/>
              </w:rPr>
            </w:pPr>
            <w:r>
              <w:rPr>
                <w:rFonts w:ascii="Arial" w:cs="Arial" w:eastAsia="Arial" w:hAnsi="Arial"/>
                <w:sz w:val="18"/>
                <w:szCs w:val="18"/>
                <w:color w:val="auto"/>
                <w:w w:val="91"/>
              </w:rPr>
              <w:t>82.7</w:t>
            </w:r>
          </w:p>
        </w:tc>
        <w:tc>
          <w:tcPr>
            <w:tcW w:w="12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73.8</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81.2</w:t>
            </w:r>
          </w:p>
        </w:tc>
        <w:tc>
          <w:tcPr>
            <w:tcW w:w="940" w:type="dxa"/>
            <w:vAlign w:val="bottom"/>
            <w:tcBorders>
              <w:top w:val="single" w:sz="8" w:color="auto"/>
            </w:tcBorders>
            <w:shd w:val="clear" w:color="auto" w:fill="CCEEFF"/>
          </w:tcPr>
          <w:p>
            <w:pPr>
              <w:jc w:val="center"/>
              <w:ind w:right="14"/>
              <w:spacing w:after="0"/>
              <w:rPr>
                <w:sz w:val="20"/>
                <w:szCs w:val="20"/>
                <w:color w:val="auto"/>
              </w:rPr>
            </w:pPr>
            <w:r>
              <w:rPr>
                <w:rFonts w:ascii="Arial" w:cs="Arial" w:eastAsia="Arial" w:hAnsi="Arial"/>
                <w:sz w:val="18"/>
                <w:szCs w:val="18"/>
                <w:color w:val="auto"/>
                <w:w w:val="91"/>
              </w:rPr>
              <w:t>85.7</w:t>
            </w:r>
          </w:p>
        </w:tc>
        <w:tc>
          <w:tcPr>
            <w:tcW w:w="14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0.4 pts</w:t>
            </w: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(3.9) pts</w:t>
            </w:r>
          </w:p>
        </w:tc>
        <w:tc>
          <w:tcPr>
            <w:tcW w:w="10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(3.0) pts</w:t>
            </w:r>
          </w:p>
        </w:tc>
      </w:tr>
      <w:tr>
        <w:trPr>
          <w:trHeight w:val="264"/>
        </w:trPr>
        <w:tc>
          <w:tcPr>
            <w:tcW w:w="2160" w:type="dxa"/>
            <w:vAlign w:val="bottom"/>
          </w:tcPr>
          <w:p>
            <w:pPr>
              <w:ind w:left="20"/>
              <w:spacing w:after="0"/>
              <w:rPr>
                <w:sz w:val="20"/>
                <w:szCs w:val="20"/>
                <w:color w:val="auto"/>
              </w:rPr>
            </w:pPr>
            <w:r>
              <w:rPr>
                <w:rFonts w:ascii="Arial" w:cs="Arial" w:eastAsia="Arial" w:hAnsi="Arial"/>
                <w:sz w:val="14"/>
                <w:szCs w:val="14"/>
                <w:color w:val="auto"/>
              </w:rPr>
              <w:t xml:space="preserve">Completion factor </w:t>
            </w:r>
            <w:r>
              <w:rPr>
                <w:rFonts w:ascii="Arial" w:cs="Arial" w:eastAsia="Arial" w:hAnsi="Arial"/>
                <w:sz w:val="8"/>
                <w:szCs w:val="8"/>
                <w:color w:val="auto"/>
              </w:rPr>
              <w:t>(c)</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98.5</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120" w:type="dxa"/>
            <w:vAlign w:val="bottom"/>
          </w:tcPr>
          <w:p>
            <w:pPr>
              <w:jc w:val="center"/>
              <w:ind w:right="34"/>
              <w:spacing w:after="0"/>
              <w:rPr>
                <w:sz w:val="20"/>
                <w:szCs w:val="20"/>
                <w:color w:val="auto"/>
              </w:rPr>
            </w:pPr>
            <w:r>
              <w:rPr>
                <w:rFonts w:ascii="Arial" w:cs="Arial" w:eastAsia="Arial" w:hAnsi="Arial"/>
                <w:sz w:val="18"/>
                <w:szCs w:val="18"/>
                <w:color w:val="auto"/>
                <w:w w:val="91"/>
              </w:rPr>
              <w:t>99.4</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98.5</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940" w:type="dxa"/>
            <w:vAlign w:val="bottom"/>
          </w:tcPr>
          <w:p>
            <w:pPr>
              <w:jc w:val="center"/>
              <w:ind w:right="14"/>
              <w:spacing w:after="0"/>
              <w:rPr>
                <w:sz w:val="20"/>
                <w:szCs w:val="20"/>
                <w:color w:val="auto"/>
              </w:rPr>
            </w:pPr>
            <w:r>
              <w:rPr>
                <w:rFonts w:ascii="Arial" w:cs="Arial" w:eastAsia="Arial" w:hAnsi="Arial"/>
                <w:sz w:val="18"/>
                <w:szCs w:val="18"/>
                <w:color w:val="auto"/>
                <w:w w:val="91"/>
              </w:rPr>
              <w:t>99.3</w:t>
            </w:r>
          </w:p>
        </w:tc>
        <w:tc>
          <w:tcPr>
            <w:tcW w:w="1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360"/>
              <w:spacing w:after="0"/>
              <w:rPr>
                <w:sz w:val="20"/>
                <w:szCs w:val="20"/>
                <w:color w:val="auto"/>
              </w:rPr>
            </w:pPr>
            <w:r>
              <w:rPr>
                <w:rFonts w:ascii="Arial" w:cs="Arial" w:eastAsia="Arial" w:hAnsi="Arial"/>
                <w:sz w:val="18"/>
                <w:szCs w:val="18"/>
                <w:color w:val="auto"/>
              </w:rPr>
              <w:t>0.1 pts</w:t>
            </w:r>
          </w:p>
        </w:tc>
      </w:tr>
      <w:tr>
        <w:trPr>
          <w:trHeight w:val="276"/>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Mishandled baggage </w:t>
            </w:r>
            <w:r>
              <w:rPr>
                <w:rFonts w:ascii="Arial" w:cs="Arial" w:eastAsia="Arial" w:hAnsi="Arial"/>
                <w:sz w:val="8"/>
                <w:szCs w:val="8"/>
                <w:color w:val="auto"/>
              </w:rPr>
              <w:t>(d)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3.87</w:t>
            </w:r>
          </w:p>
        </w:tc>
        <w:tc>
          <w:tcPr>
            <w:tcW w:w="112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91"/>
              </w:rPr>
              <w:t>3.12</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2.68</w:t>
            </w:r>
          </w:p>
        </w:tc>
        <w:tc>
          <w:tcPr>
            <w:tcW w:w="94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1"/>
              </w:rPr>
              <w:t>2.29</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(44.4)%</w:t>
            </w:r>
          </w:p>
        </w:tc>
        <w:tc>
          <w:tcPr>
            <w:tcW w:w="1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(36.2)%</w:t>
            </w:r>
          </w:p>
        </w:tc>
      </w:tr>
      <w:tr>
        <w:trPr>
          <w:trHeight w:val="258"/>
        </w:trPr>
        <w:tc>
          <w:tcPr>
            <w:tcW w:w="2160" w:type="dxa"/>
            <w:vAlign w:val="bottom"/>
          </w:tcPr>
          <w:p>
            <w:pPr>
              <w:ind w:left="20"/>
              <w:spacing w:after="0"/>
              <w:rPr>
                <w:sz w:val="20"/>
                <w:szCs w:val="20"/>
                <w:color w:val="auto"/>
              </w:rPr>
            </w:pPr>
            <w:r>
              <w:rPr>
                <w:rFonts w:ascii="Arial" w:cs="Arial" w:eastAsia="Arial" w:hAnsi="Arial"/>
                <w:sz w:val="14"/>
                <w:szCs w:val="14"/>
                <w:color w:val="auto"/>
              </w:rPr>
              <w:t xml:space="preserve">Customer complaints </w:t>
            </w:r>
            <w:r>
              <w:rPr>
                <w:rFonts w:ascii="Arial" w:cs="Arial" w:eastAsia="Arial" w:hAnsi="Arial"/>
                <w:sz w:val="8"/>
                <w:szCs w:val="8"/>
                <w:color w:val="auto"/>
              </w:rPr>
              <w:t>(e)</w:t>
            </w: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2.57</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2.39</w:t>
            </w:r>
          </w:p>
        </w:tc>
        <w:tc>
          <w:tcPr>
            <w:tcW w:w="1120" w:type="dxa"/>
            <w:vAlign w:val="bottom"/>
          </w:tcPr>
          <w:p>
            <w:pPr>
              <w:jc w:val="center"/>
              <w:ind w:right="34"/>
              <w:spacing w:after="0"/>
              <w:rPr>
                <w:sz w:val="20"/>
                <w:szCs w:val="20"/>
                <w:color w:val="auto"/>
              </w:rPr>
            </w:pPr>
            <w:r>
              <w:rPr>
                <w:rFonts w:ascii="Arial" w:cs="Arial" w:eastAsia="Arial" w:hAnsi="Arial"/>
                <w:sz w:val="18"/>
                <w:szCs w:val="18"/>
                <w:color w:val="auto"/>
                <w:w w:val="91"/>
              </w:rPr>
              <w:t>2.00</w:t>
            </w:r>
          </w:p>
        </w:tc>
        <w:tc>
          <w:tcPr>
            <w:tcW w:w="1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2.41</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1.95</w:t>
            </w:r>
          </w:p>
        </w:tc>
        <w:tc>
          <w:tcPr>
            <w:tcW w:w="940" w:type="dxa"/>
            <w:vAlign w:val="bottom"/>
          </w:tcPr>
          <w:p>
            <w:pPr>
              <w:jc w:val="center"/>
              <w:ind w:right="14"/>
              <w:spacing w:after="0"/>
              <w:rPr>
                <w:sz w:val="20"/>
                <w:szCs w:val="20"/>
                <w:color w:val="auto"/>
              </w:rPr>
            </w:pPr>
            <w:r>
              <w:rPr>
                <w:rFonts w:ascii="Arial" w:cs="Arial" w:eastAsia="Arial" w:hAnsi="Arial"/>
                <w:sz w:val="18"/>
                <w:szCs w:val="18"/>
                <w:color w:val="auto"/>
                <w:w w:val="91"/>
              </w:rPr>
              <w:t>1.63</w:t>
            </w:r>
          </w:p>
        </w:tc>
        <w:tc>
          <w:tcPr>
            <w:tcW w:w="1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(22.6)%</w:t>
            </w:r>
          </w:p>
        </w:tc>
        <w:tc>
          <w:tcPr>
            <w:tcW w:w="1060" w:type="dxa"/>
            <w:vAlign w:val="bottom"/>
          </w:tcPr>
          <w:p>
            <w:pPr>
              <w:ind w:left="240"/>
              <w:spacing w:after="0"/>
              <w:rPr>
                <w:sz w:val="20"/>
                <w:szCs w:val="20"/>
                <w:color w:val="auto"/>
              </w:rPr>
            </w:pPr>
            <w:r>
              <w:rPr>
                <w:rFonts w:ascii="Arial" w:cs="Arial" w:eastAsia="Arial" w:hAnsi="Arial"/>
                <w:sz w:val="18"/>
                <w:szCs w:val="18"/>
                <w:color w:val="auto"/>
              </w:rPr>
              <w:t>(22.7)%</w:t>
            </w:r>
          </w:p>
        </w:tc>
      </w:tr>
    </w:tbl>
    <w:p>
      <w:pPr>
        <w:spacing w:after="0" w:line="18" w:lineRule="exact"/>
        <w:rPr>
          <w:sz w:val="20"/>
          <w:szCs w:val="20"/>
          <w:color w:val="auto"/>
        </w:rPr>
      </w:pPr>
    </w:p>
    <w:p>
      <w:pPr>
        <w:ind w:left="200" w:hanging="192"/>
        <w:spacing w:after="0"/>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Represents the combined historical operating statistics for American and US Airways.</w:t>
      </w:r>
    </w:p>
    <w:p>
      <w:pPr>
        <w:spacing w:after="0" w:line="55"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Percentage of reported flight operations arriving on time as defined by the DOT.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30" w:right="239" w:bottom="1440" w:gutter="0" w:footer="0" w:header="0"/>
        </w:sectPr>
      </w:pPr>
    </w:p>
    <w:bookmarkStart w:id="61" w:name="page62"/>
    <w:bookmarkEnd w:id="61"/>
    <w:p>
      <w:pPr>
        <w:ind w:left="200" w:hanging="192"/>
        <w:spacing w:after="0"/>
        <w:tabs>
          <w:tab w:leader="none" w:pos="20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Percentage of scheduled flight operations completed.</w:t>
      </w:r>
    </w:p>
    <w:p>
      <w:pPr>
        <w:spacing w:after="0" w:line="55" w:lineRule="exact"/>
        <w:rPr>
          <w:rFonts w:ascii="Arial" w:cs="Arial" w:eastAsia="Arial" w:hAnsi="Arial"/>
          <w:sz w:val="24"/>
          <w:szCs w:val="24"/>
          <w:color w:val="auto"/>
          <w:vertAlign w:val="superscript"/>
        </w:rPr>
      </w:pPr>
    </w:p>
    <w:p>
      <w:pPr>
        <w:ind w:left="200" w:hanging="192"/>
        <w:spacing w:after="0" w:line="194"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Rate of mishandled baggage reports per 1,000 passengers.</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Rate of customer complaints filed with the DOT per 100,000 enplanements.</w:t>
      </w:r>
    </w:p>
    <w:p>
      <w:pPr>
        <w:spacing w:after="0" w:line="56" w:lineRule="exact"/>
        <w:rPr>
          <w:rFonts w:ascii="Arial" w:cs="Arial" w:eastAsia="Arial" w:hAnsi="Arial"/>
          <w:sz w:val="23"/>
          <w:szCs w:val="23"/>
          <w:color w:val="auto"/>
          <w:vertAlign w:val="superscript"/>
        </w:rPr>
      </w:pPr>
    </w:p>
    <w:p>
      <w:pPr>
        <w:ind w:left="180" w:hanging="172"/>
        <w:spacing w:after="0" w:line="203" w:lineRule="auto"/>
        <w:tabs>
          <w:tab w:leader="none" w:pos="18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September 2014 operating statistics are preliminary as the DOT has not issued its September 2014 Air Travel Consumer Report as of the date of this filing.</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2014, AAG's total cash and short-term investments was $8.8 billion, of which $875 million was restricted. We also had a $1.0 billion undrawn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66040</wp:posOffset>
            </wp:positionV>
            <wp:extent cx="2075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5"/>
              </w:rPr>
              <w:t>December 31,</w:t>
            </w:r>
          </w:p>
        </w:tc>
      </w:tr>
      <w:tr>
        <w:trPr>
          <w:trHeight w:val="230"/>
        </w:trPr>
        <w:tc>
          <w:tcPr>
            <w:tcW w:w="8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3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2013</w:t>
            </w:r>
          </w:p>
        </w:tc>
      </w:tr>
      <w:tr>
        <w:trPr>
          <w:trHeight w:val="27"/>
        </w:trPr>
        <w:tc>
          <w:tcPr>
            <w:tcW w:w="8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4"/>
          </w:tcPr>
          <w:p>
            <w:pPr>
              <w:spacing w:after="0"/>
              <w:rPr>
                <w:sz w:val="2"/>
                <w:szCs w:val="2"/>
                <w:color w:val="auto"/>
              </w:rPr>
            </w:pPr>
          </w:p>
        </w:tc>
      </w:tr>
      <w:tr>
        <w:trPr>
          <w:trHeight w:val="244"/>
        </w:trPr>
        <w:tc>
          <w:tcPr>
            <w:tcW w:w="8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80" w:type="dxa"/>
            <w:vAlign w:val="bottom"/>
            <w:gridSpan w:val="4"/>
          </w:tcPr>
          <w:p>
            <w:pPr>
              <w:jc w:val="right"/>
              <w:ind w:right="1170"/>
              <w:spacing w:after="0"/>
              <w:rPr>
                <w:sz w:val="20"/>
                <w:szCs w:val="20"/>
                <w:color w:val="auto"/>
              </w:rPr>
            </w:pPr>
            <w:r>
              <w:rPr>
                <w:rFonts w:ascii="Arial" w:cs="Arial" w:eastAsia="Arial" w:hAnsi="Arial"/>
                <w:sz w:val="14"/>
                <w:szCs w:val="14"/>
                <w:color w:val="auto"/>
              </w:rPr>
              <w:t>(In millions)</w:t>
            </w:r>
          </w:p>
        </w:tc>
      </w:tr>
      <w:tr>
        <w:trPr>
          <w:trHeight w:val="276"/>
        </w:trPr>
        <w:tc>
          <w:tcPr>
            <w:tcW w:w="81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short-term investments </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9,251</w:t>
            </w:r>
          </w:p>
        </w:tc>
      </w:tr>
      <w:tr>
        <w:trPr>
          <w:trHeight w:val="270"/>
        </w:trPr>
        <w:tc>
          <w:tcPr>
            <w:tcW w:w="8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r>
    </w:tbl>
    <w:p>
      <w:pPr>
        <w:spacing w:after="0" w:line="13" w:lineRule="exact"/>
        <w:rPr>
          <w:sz w:val="20"/>
          <w:szCs w:val="20"/>
          <w:color w:val="auto"/>
        </w:rPr>
      </w:pPr>
    </w:p>
    <w:p>
      <w:pPr>
        <w:jc w:val="both"/>
        <w:ind w:left="340" w:hanging="332"/>
        <w:spacing w:after="0" w:line="244"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As of September 30, 2014, $721 million of our unrestricted cash balance was held in Venezuelan bolivars, valued at the weighted average applicable exchange rate of 6.41 bolivars to the dollar. Our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our significant reduction in capacity in this market, pending further repatriation of funds and due to a decrease in demand for air travel resulting from the effective devaluation of the bolivar. Our September 30, 2014 cash balance includes approximately $94 million valued at 4.3 bolivars, approximately $580 million valued at 6.3 bolivars, and approximately $47 million valued at 12.0 bolivars, with the rate depending on the date we submitted our repatriation request to the Venezuelan government. We are continuing to work with Venezuelan authorities regarding the timing and exchange rate applicable to the repatriation of funds held in local currency. We are monitoring this situation closely and continue to evaluate our holdings of Venezuelan bolivars for potential impairment. See Part II, Item 1A - Risk Factors "</w:t>
      </w:r>
      <w:r>
        <w:rPr>
          <w:rFonts w:ascii="Arial" w:cs="Arial" w:eastAsia="Arial" w:hAnsi="Arial"/>
          <w:sz w:val="18"/>
          <w:szCs w:val="18"/>
          <w:i w:val="1"/>
          <w:iCs w:val="1"/>
          <w:color w:val="auto"/>
        </w:rPr>
        <w:t>We operate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risks.</w:t>
      </w: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Restricted cash and investments primarily include cash collateral to secure workers’ compensation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-1791335</wp:posOffset>
            </wp:positionV>
            <wp:extent cx="2075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In the first nine months of 2014, we utilized cash generated from operations to pay down certain higher rate debt obligations, reduce our diluted share count and make supplemental contributions to our pension plans. Additionally, we declared our first cash dividend since 1980 of $0.10 per share for shareholders of record on August 4, 2014. These cash outflows were offset in part by certain new debt issuances to strengthen our liquidity position. Further information on our significant transactions affecting our liquidity position for the first nine months of 2014 is as follows:</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Debt Repayments</w:t>
      </w:r>
    </w:p>
    <w:p>
      <w:pPr>
        <w:spacing w:after="0" w:line="2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prepaid $1.0 billion of American's 7.50% senior secured notes.</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prepaid or repurchased $532 million of obligations associated with special facility revenue bonds issued by municipalities to build or improve certain airport and maintenance facilities. Of this amount, $355 million was reflected as debt on our balance sheet. The off-balance sheet portion of these obligations was accounted for as an operating lease.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Reductions in Diluted Share Count</w:t>
      </w:r>
    </w:p>
    <w:p>
      <w:pPr>
        <w:spacing w:after="0" w:line="50" w:lineRule="exact"/>
        <w:rPr>
          <w:sz w:val="20"/>
          <w:szCs w:val="20"/>
          <w:color w:val="auto"/>
        </w:rPr>
      </w:pPr>
    </w:p>
    <w:p>
      <w:pPr>
        <w:jc w:val="both"/>
        <w:ind w:left="660" w:hanging="328"/>
        <w:spacing w:after="0" w:line="25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2014, we paid $265 million for tax withholdings associated with distributions to employees in lieu of issuing 7 million shares of AAG Common Stock under the Plan. This brings the total cash paid since the Effective Date for tax withholdings in lieu of the issuance of approximately 20 million shares of AAG Common Stock under the Plan to $561 million. We also paid $42 million for tax withholdings associated with equity awards in lieu of issuing 1.2 million shares of AAG Common Stock.</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redeemed US Airways Group's 7.25% convertible notes for $175 million in cash in lieu of issuing 4 million shares of AAG Common Stock.</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repurchased 2.9 million shares of AAG Common Stock for $113 million in the third quarter of 2014 pursuant to our $1.0 billion share repurchase program to be completed no later than December 31, 2015.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77"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u w:val="single" w:color="auto"/>
          <w:color w:val="auto"/>
        </w:rPr>
        <w:t>Pension Prefunding</w:t>
      </w:r>
    </w:p>
    <w:p>
      <w:pPr>
        <w:spacing w:after="0" w:line="50"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September 2014, we made $613 million in supplemental contributions to fund our pension plans. These contributions are above and beyond the $168 million aggregate amount of minimum required contributions made in 2014.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New Debt Issuances:</w:t>
      </w:r>
    </w:p>
    <w:p>
      <w:pPr>
        <w:spacing w:after="0" w:line="50" w:lineRule="exact"/>
        <w:rPr>
          <w:sz w:val="20"/>
          <w:szCs w:val="20"/>
          <w:color w:val="auto"/>
        </w:rPr>
      </w:pPr>
    </w:p>
    <w:p>
      <w:pPr>
        <w:ind w:left="66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September 2014, we issued $750 million aggregate principal 5.50% Senior Notes due 2019. We also issued $957 million in equipment notes pursuant to the 2014-1 Enhanced Equipment Trust Certificates to finance unencumbered aircraft.</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October 2014, subsequent to the close of the quarter, we borrowed $750 million under a new term loan facility due in 2021 and arranged a $400 million revolving credit facility due in 2019. We also increased our existing revolving credit facility from $1.0 billion to $1.4 billion and extended its maturity date from 2018 to 2019.</w:t>
      </w:r>
    </w:p>
    <w:p>
      <w:pPr>
        <w:spacing w:after="0" w:line="29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2014 Outlook</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taken significant actions in the last year to restore our competitiveness, including the completion of our restructuring and the Merger. Although it is difficult to predict the price of oil or the strength of the economy, we believe that our third quarter 2014 financial results are evidence of the strong foundation we have in place and can build 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Reconciliation of GAAP Financial Information to Non-GAAP Financial Information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presentation of mainline CASM excluding fuel is useful to investors as both the cost and availability of fuel are subject to many economic and political factors beyond our control, and the exclusion of special items provides investors the ability to measure financial performance in a way that is more indicative of our ongoing performance and is more comparable to measures reported by other major airlines. Management uses mainline CASM excluding special items and fuel to evaluate our operating performance. Amounts may not recalculate due to rounding.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40" w:type="dxa"/>
            <w:vAlign w:val="bottom"/>
            <w:gridSpan w:val="8"/>
          </w:tcPr>
          <w:p>
            <w:pPr>
              <w:ind w:left="20"/>
              <w:spacing w:after="0"/>
              <w:rPr>
                <w:sz w:val="20"/>
                <w:szCs w:val="20"/>
                <w:color w:val="auto"/>
              </w:rPr>
            </w:pPr>
            <w:r>
              <w:rPr>
                <w:rFonts w:ascii="Arial" w:cs="Arial" w:eastAsia="Arial" w:hAnsi="Arial"/>
                <w:sz w:val="18"/>
                <w:szCs w:val="18"/>
                <w:color w:val="auto"/>
              </w:rPr>
              <w:t>Three Months Ended September 30, 2013</w:t>
            </w:r>
          </w:p>
        </w:tc>
        <w:tc>
          <w:tcPr>
            <w:tcW w:w="0" w:type="dxa"/>
            <w:vAlign w:val="bottom"/>
          </w:tcPr>
          <w:p>
            <w:pPr>
              <w:spacing w:after="0"/>
              <w:rPr>
                <w:sz w:val="1"/>
                <w:szCs w:val="1"/>
                <w:color w:val="auto"/>
              </w:rPr>
            </w:pPr>
          </w:p>
        </w:tc>
      </w:tr>
      <w:tr>
        <w:trPr>
          <w:trHeight w:val="27"/>
        </w:trPr>
        <w:tc>
          <w:tcPr>
            <w:tcW w:w="550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5"/>
              </w:rPr>
              <w:t>Reconciliation of Operating Cost per ASM Excluding Special Items</w:t>
            </w: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ind w:right="31"/>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US Airways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and Fuel - Mainline Only</w:t>
            </w:r>
          </w:p>
        </w:tc>
        <w:tc>
          <w:tcPr>
            <w:tcW w:w="120" w:type="dxa"/>
            <w:vAlign w:val="bottom"/>
          </w:tcPr>
          <w:p>
            <w:pPr>
              <w:spacing w:after="0"/>
              <w:rPr>
                <w:sz w:val="20"/>
                <w:szCs w:val="20"/>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w w:val="89"/>
              </w:rPr>
              <w:t>September 30, 2014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AAG</w:t>
            </w:r>
          </w:p>
        </w:tc>
        <w:tc>
          <w:tcPr>
            <w:tcW w:w="140" w:type="dxa"/>
            <w:vAlign w:val="bottom"/>
          </w:tcPr>
          <w:p>
            <w:pPr>
              <w:spacing w:after="0"/>
              <w:rPr>
                <w:sz w:val="20"/>
                <w:szCs w:val="20"/>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Group</w:t>
            </w: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9"/>
              </w:rPr>
              <w:t>Combined</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8"/>
          </w:tcPr>
          <w:p>
            <w:pPr>
              <w:jc w:val="right"/>
              <w:ind w:right="300"/>
              <w:spacing w:after="0"/>
              <w:rPr>
                <w:sz w:val="20"/>
                <w:szCs w:val="20"/>
                <w:color w:val="auto"/>
              </w:rPr>
            </w:pPr>
            <w:r>
              <w:rPr>
                <w:rFonts w:ascii="Arial" w:cs="Arial" w:eastAsia="Arial" w:hAnsi="Arial"/>
                <w:sz w:val="16"/>
                <w:szCs w:val="16"/>
                <w:color w:val="auto"/>
              </w:rPr>
              <w:t>(In millions, except per ASM amounts)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9,879</w:t>
            </w:r>
          </w:p>
        </w:tc>
        <w:tc>
          <w:tcPr>
            <w:tcW w:w="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regional expenses:</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mainline 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Less: Special items, net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Mainline operating expenses, excluding special items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Less: Aircraft fuel and related taxes</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(2,829)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operating expenses, excluding special items and fuel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5,161</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Seat Miles (ASM)</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61,851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60,595</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(In cents)</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Mainline operating expenses per ASM</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13.28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Special items, net per ASM</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Mainline operating expenses per ASM, excluding special items</w:t>
            </w: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Aircraft fuel and related taxes per ASM</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w w:val="95"/>
              </w:rPr>
              <w:t>Mainline operating expenses per ASM, excluding special items and fuel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760" w:type="dxa"/>
            <w:vAlign w:val="bottom"/>
            <w:gridSpan w:val="2"/>
          </w:tcPr>
          <w:p>
            <w:pPr>
              <w:jc w:val="right"/>
              <w:ind w:right="1411"/>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AAG's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third quarter of 2014, we realized operating income of $1.3 billion and net income of $942 million. Our third quarter 2014 net income included net special operating charges of $223 million and total net special charges of $281 million. Excluding the effects of these special charges, we realized operating income of $1.5 billion and net income of $1.2 billion.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nine months of 2014, we realized operating income of $3.4 billion and net income of $2.3 billion. Our 2014 nine month period net income included net special operating charges of $342 million and total net special charges of $795 million. Excluding the effects of these special charges, we realized operating income of $3.7 billion and net income of $3.1 billion.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GAAP, AAG’s results do not include the financial results of US Airways Group prior to the closing of the Merger. Accordingly, our 2014 third quarter and nine month period GAAP results are not comparable to the GAAP results for the 2013 third quarter and nine month period as the 2013 periods exclude the results of US Airways Group.</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compared to the combined separate company results of AAG and US Airways Group for the third quarter of 2013, our third quarter 2014 net income excluding net special charges improved $452 million. In the third quarter of 2013, on a standalone basis, AAG reported net income of $289 million and US Airways Group reported net income of $216 million. Excluding the effects of net special charges, AAG and US Airways Group reported net income of $530 million and $241 million, respectively.</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compared to the combined separate company results of AAG and US Airways Group for the first nine months of 2013, our 2014 nine month period net income excluding net special charges improved $1.6 billion. In the first nine months of 2013, on a standalone basis, AAG reported net income of $167 million and US Airways Group reported net income of $547 million. Excluding the effects of net special charges, AAG and US Airways Group reported net income of $894 million and $619 million, respectively.</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our net special charges included in our accompanying condensed consolidated statements of operations are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right"/>
              <w:ind w:right="480"/>
              <w:spacing w:after="0"/>
              <w:rPr>
                <w:sz w:val="20"/>
                <w:szCs w:val="20"/>
                <w:color w:val="auto"/>
              </w:rPr>
            </w:pPr>
            <w:r>
              <w:rPr>
                <w:rFonts w:ascii="Arial" w:cs="Arial" w:eastAsia="Arial" w:hAnsi="Arial"/>
                <w:sz w:val="18"/>
                <w:szCs w:val="18"/>
                <w:color w:val="auto"/>
                <w:w w:val="98"/>
              </w:rPr>
              <w:t>Three Months Ended</w:t>
            </w:r>
          </w:p>
        </w:tc>
        <w:tc>
          <w:tcPr>
            <w:tcW w:w="240" w:type="dxa"/>
            <w:vAlign w:val="bottom"/>
          </w:tcPr>
          <w:p>
            <w:pPr>
              <w:spacing w:after="0"/>
              <w:rPr>
                <w:sz w:val="18"/>
                <w:szCs w:val="18"/>
                <w:color w:val="auto"/>
              </w:rPr>
            </w:pPr>
          </w:p>
        </w:tc>
        <w:tc>
          <w:tcPr>
            <w:tcW w:w="2020" w:type="dxa"/>
            <w:vAlign w:val="bottom"/>
            <w:gridSpan w:val="4"/>
          </w:tcPr>
          <w:p>
            <w:pPr>
              <w:jc w:val="right"/>
              <w:ind w:right="310"/>
              <w:spacing w:after="0"/>
              <w:rPr>
                <w:sz w:val="20"/>
                <w:szCs w:val="20"/>
                <w:color w:val="auto"/>
              </w:rPr>
            </w:pPr>
            <w:r>
              <w:rPr>
                <w:rFonts w:ascii="Arial" w:cs="Arial" w:eastAsia="Arial" w:hAnsi="Arial"/>
                <w:sz w:val="18"/>
                <w:szCs w:val="18"/>
                <w:color w:val="auto"/>
              </w:rPr>
              <w:t>Nine Months Ended</w:t>
            </w:r>
          </w:p>
        </w:tc>
      </w:tr>
      <w:tr>
        <w:trPr>
          <w:trHeight w:val="230"/>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ind w:left="4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020" w:type="dxa"/>
            <w:vAlign w:val="bottom"/>
            <w:gridSpan w:val="4"/>
          </w:tcPr>
          <w:p>
            <w:pPr>
              <w:jc w:val="right"/>
              <w:ind w:right="510"/>
              <w:spacing w:after="0"/>
              <w:rPr>
                <w:sz w:val="20"/>
                <w:szCs w:val="20"/>
                <w:color w:val="auto"/>
              </w:rPr>
            </w:pPr>
            <w:r>
              <w:rPr>
                <w:rFonts w:ascii="Arial" w:cs="Arial" w:eastAsia="Arial" w:hAnsi="Arial"/>
                <w:sz w:val="18"/>
                <w:szCs w:val="18"/>
                <w:color w:val="auto"/>
              </w:rPr>
              <w:t>September 30,</w:t>
            </w:r>
          </w:p>
        </w:tc>
      </w:tr>
      <w:tr>
        <w:trPr>
          <w:trHeight w:val="27"/>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2013</w:t>
            </w: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70"/>
        </w:trPr>
        <w:tc>
          <w:tcPr>
            <w:tcW w:w="6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0"/>
        </w:trPr>
        <w:tc>
          <w:tcPr>
            <w:tcW w:w="6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66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7" w:lineRule="auto"/>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The 2014 third quarter mainline operating special items totaled a net charge of $221 million, which principally included $166 million of merger integration expenses related to information technology, alignment of labor union contracts, professional fees, severance and retention, share-based compensation expense, re-branding of aircraft and airport facilities, relocation and training, as well as $99 million in other charges, including an $81 million charge to revise prior estimates of certain aircraft residual values, and other asset impairments. These charges were offset in part by a net $40 million credit for bankruptcy related items primarily consisting of fair value adjustments for bankruptcy settlement obligations. The 2014 nine month period mainline operating special items totaled a net charge of $335 million, which principally included $530 million of merger integration expenses as described above, $99 million in other charges, including an $81 million charge to revise prior estimates of certain aircraft residual values, and other asset impairments, as well as $46 million in charges primarily relating to the buyout of certain aircraft leases. These charges were offset in part by a $309 million gain on the sale of slots at DCA and a net $35 million credit for bankruptcy related items as described above.</w:t>
      </w:r>
    </w:p>
    <w:p>
      <w:pPr>
        <w:spacing w:after="0" w:line="28" w:lineRule="exact"/>
        <w:rPr>
          <w:rFonts w:ascii="Arial" w:cs="Arial" w:eastAsia="Arial" w:hAnsi="Arial"/>
          <w:sz w:val="24"/>
          <w:szCs w:val="24"/>
          <w:color w:val="auto"/>
          <w:vertAlign w:val="superscript"/>
        </w:rPr>
      </w:pPr>
    </w:p>
    <w:p>
      <w:pPr>
        <w:jc w:val="both"/>
        <w:ind w:left="340"/>
        <w:spacing w:after="0" w:line="264" w:lineRule="auto"/>
        <w:rPr>
          <w:rFonts w:ascii="Arial" w:cs="Arial" w:eastAsia="Arial" w:hAnsi="Arial"/>
          <w:sz w:val="24"/>
          <w:szCs w:val="24"/>
          <w:color w:val="auto"/>
          <w:vertAlign w:val="superscript"/>
        </w:rPr>
      </w:pPr>
      <w:r>
        <w:rPr>
          <w:rFonts w:ascii="Arial" w:cs="Arial" w:eastAsia="Arial" w:hAnsi="Arial"/>
          <w:sz w:val="18"/>
          <w:szCs w:val="18"/>
          <w:color w:val="auto"/>
        </w:rPr>
        <w:t>The 2013 third quarter mainline operating special items primarily consisted of merger related expenses. The 2013 nine month period mainline operating special items totaled a net charge of $98 million, which included $55 million in merger related expenses and a $43 million charge for workers' compensation claims.</w:t>
      </w:r>
    </w:p>
    <w:p>
      <w:pPr>
        <w:spacing w:after="0" w:line="19"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The 2014 third quarter nonoperating special items totaled a net charge of $50 million, which was primarily due to early debt extinguishment costs related to the prepayment of American's 7.50% senior secured notes and other indebtedness. The 2014 nine month period nonoperating special items totaled a net charge of $101 million, which primarily included $54 million of early debt extinguishment costs as described above and $33 million of non-cash interest accretion on the bankruptcy settlement obligations.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4" w:name="page65"/>
    <w:bookmarkEnd w:id="64"/>
    <w:p>
      <w:pPr>
        <w:jc w:val="both"/>
        <w:ind w:left="340"/>
        <w:spacing w:after="0" w:line="279" w:lineRule="auto"/>
        <w:rPr>
          <w:sz w:val="20"/>
          <w:szCs w:val="20"/>
          <w:color w:val="auto"/>
        </w:rPr>
      </w:pPr>
      <w:r>
        <w:rPr>
          <w:rFonts w:ascii="Arial" w:cs="Arial" w:eastAsia="Arial" w:hAnsi="Arial"/>
          <w:sz w:val="17"/>
          <w:szCs w:val="17"/>
          <w:color w:val="auto"/>
        </w:rPr>
        <w:t>The 2013 third quarter nonoperating special items totaled a net charge of $75 million, which principally related to debt extinguishment costs incurred in connection with the repayment of existing high-interest aircraft financings. The 2013 nine month period nonoperating special items totaled a net charge of $191 million, which principally included interest charges of $116 million to recognize post-petition interest expense on unsecured obligations pursuant to the Plan and the $75 million in charges primarily related to debt extinguishment costs as described above.</w:t>
      </w:r>
    </w:p>
    <w:p>
      <w:pPr>
        <w:spacing w:after="0" w:line="9" w:lineRule="exact"/>
        <w:rPr>
          <w:sz w:val="20"/>
          <w:szCs w:val="20"/>
          <w:color w:val="auto"/>
        </w:rPr>
      </w:pPr>
    </w:p>
    <w:p>
      <w:pPr>
        <w:ind w:left="340" w:hanging="332"/>
        <w:spacing w:after="0" w:line="216"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 the 2013 third quarter and nine month periods, we recognized reorganization expenses as a result of the filing of voluntary petitions for relief under Chapter 11. These amounts consisted primarily of estimated allowed claim amounts and professional fees.</w:t>
      </w:r>
    </w:p>
    <w:p>
      <w:pPr>
        <w:spacing w:after="0" w:line="41" w:lineRule="exact"/>
        <w:rPr>
          <w:rFonts w:ascii="Arial" w:cs="Arial" w:eastAsia="Arial" w:hAnsi="Arial"/>
          <w:sz w:val="25"/>
          <w:szCs w:val="25"/>
          <w:color w:val="auto"/>
          <w:vertAlign w:val="superscript"/>
        </w:rPr>
      </w:pPr>
    </w:p>
    <w:p>
      <w:pPr>
        <w:jc w:val="both"/>
        <w:ind w:left="340" w:hanging="332"/>
        <w:spacing w:after="0" w:line="241"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During the 2014 third quarter, we recorded a special $8 million non-cash deferred income tax provision related to certain indefinite-lived intangible assets. During the 2014 nine month period, we sold our portfolio of fuel hedging contracts that were scheduled to settle on or after June 30, 2014. In connection with this sale, we recorded a special non-cash tax provision of $330 million in the statement of operations for the second quarter of 2014 that reversed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 In addition, the 2014 nine month period included a special $22 million non-cash deferred income tax provision related to certain indefinite-lived intangible assets.</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a result of the Merger, US Airways Group and its subsidiaries are included in the AAG consolidated federal and state income tax returns for the three and nine months ended September 30, 2014. The Merger resulted in a statutory "ownership change" on December 9, 2013, as defined in Section 382 of the Internal Revenue Code of 1986, as amended (Section 382), which limits our future ability to utilize net operating losses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Our ability to utilize any new NOLs arising after the ownership change is not affected.</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2013, we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We also had approximately $4.7 billion of gross NOLs to reduce future state taxable income at December 31, 2013, which will expire in years 2014 through 2033 if unused. At December 31, 2013, we had an Alternative Minimum Tax (AMT) credit carryforward of approximately $370 million available for federal income tax purposes, which is available for an indefinite period. Our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our tax provision dollar for dollar.</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provide a valuation allowance for deferred tax assets when it is more likely than not that some portion, or all of our deferred tax assets, will not be realized. The ultimate realization of deferred tax assets is dependent upon the generation of future taxable income (primarily reversals of deferred tax liabilities) during the periods in which those temporary differences will become deductible. We consider many factors in evaluating the realizability of our deferred tax assets including risks associated with merger integration as well as other factors, which continue to be affected by conditions beyond our control, such as the condition of the economy, the level and volatility of fuel prices and travel demand.</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2014, we recorded a special $8 million and $22 million, respectively, non-cash deferred income tax provision related to certain indefinite-lived intangible assets. In addition, for the 2014 nine month period, we recorded a special $330 million non-cash tax provision related to the settlement of fuel hedges discussed above and $8 million of tax expense principally related to certain states and countries where NOLs were limited or unavailable to be used.</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record an income tax provision in the 2013 third quarter. For the nine months ended September 30, 2013, we recorded an income tax benefit of approximately $22 million as a result of the American Taxpayer Relief Act of 2012.</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22"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selected mainline and regional operating data for the three and nine months ended September 30, 2014 and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1840" w:type="dxa"/>
            <w:vAlign w:val="bottom"/>
            <w:gridSpan w:val="3"/>
          </w:tcPr>
          <w:p>
            <w:pPr>
              <w:jc w:val="right"/>
              <w:ind w:right="139"/>
              <w:spacing w:after="0"/>
              <w:rPr>
                <w:sz w:val="20"/>
                <w:szCs w:val="20"/>
                <w:color w:val="auto"/>
              </w:rPr>
            </w:pPr>
            <w:r>
              <w:rPr>
                <w:rFonts w:ascii="Arial" w:cs="Arial" w:eastAsia="Arial" w:hAnsi="Arial"/>
                <w:sz w:val="16"/>
                <w:szCs w:val="16"/>
                <w:color w:val="auto"/>
              </w:rPr>
              <w:t>Three Months Ended</w:t>
            </w:r>
          </w:p>
        </w:tc>
        <w:tc>
          <w:tcPr>
            <w:tcW w:w="1320" w:type="dxa"/>
            <w:vAlign w:val="bottom"/>
          </w:tcPr>
          <w:p>
            <w:pPr>
              <w:spacing w:after="0"/>
              <w:rPr>
                <w:sz w:val="17"/>
                <w:szCs w:val="17"/>
                <w:color w:val="auto"/>
              </w:rPr>
            </w:pPr>
          </w:p>
        </w:tc>
        <w:tc>
          <w:tcPr>
            <w:tcW w:w="1920" w:type="dxa"/>
            <w:vAlign w:val="bottom"/>
            <w:gridSpan w:val="3"/>
          </w:tcPr>
          <w:p>
            <w:pPr>
              <w:jc w:val="right"/>
              <w:ind w:right="199"/>
              <w:spacing w:after="0"/>
              <w:rPr>
                <w:sz w:val="20"/>
                <w:szCs w:val="20"/>
                <w:color w:val="auto"/>
              </w:rPr>
            </w:pPr>
            <w:r>
              <w:rPr>
                <w:rFonts w:ascii="Arial" w:cs="Arial" w:eastAsia="Arial" w:hAnsi="Arial"/>
                <w:sz w:val="16"/>
                <w:szCs w:val="16"/>
                <w:color w:val="auto"/>
              </w:rPr>
              <w:t>Nine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1840" w:type="dxa"/>
            <w:vAlign w:val="bottom"/>
            <w:gridSpan w:val="3"/>
          </w:tcPr>
          <w:p>
            <w:pPr>
              <w:jc w:val="right"/>
              <w:ind w:right="359"/>
              <w:spacing w:after="0"/>
              <w:rPr>
                <w:sz w:val="20"/>
                <w:szCs w:val="20"/>
                <w:color w:val="auto"/>
              </w:rPr>
            </w:pPr>
            <w:r>
              <w:rPr>
                <w:rFonts w:ascii="Arial" w:cs="Arial" w:eastAsia="Arial" w:hAnsi="Arial"/>
                <w:sz w:val="16"/>
                <w:szCs w:val="16"/>
                <w:color w:val="auto"/>
              </w:rPr>
              <w:t>September 30,</w:t>
            </w:r>
          </w:p>
        </w:tc>
        <w:tc>
          <w:tcPr>
            <w:tcW w:w="1320" w:type="dxa"/>
            <w:vAlign w:val="bottom"/>
          </w:tcPr>
          <w:p>
            <w:pPr>
              <w:spacing w:after="0"/>
              <w:rPr>
                <w:sz w:val="17"/>
                <w:szCs w:val="17"/>
                <w:color w:val="auto"/>
              </w:rPr>
            </w:pPr>
          </w:p>
        </w:tc>
        <w:tc>
          <w:tcPr>
            <w:tcW w:w="1920" w:type="dxa"/>
            <w:vAlign w:val="bottom"/>
            <w:gridSpan w:val="3"/>
          </w:tcPr>
          <w:p>
            <w:pPr>
              <w:jc w:val="right"/>
              <w:ind w:right="399"/>
              <w:spacing w:after="0"/>
              <w:rPr>
                <w:sz w:val="20"/>
                <w:szCs w:val="20"/>
                <w:color w:val="auto"/>
              </w:rPr>
            </w:pPr>
            <w:r>
              <w:rPr>
                <w:rFonts w:ascii="Arial" w:cs="Arial" w:eastAsia="Arial" w:hAnsi="Arial"/>
                <w:sz w:val="16"/>
                <w:szCs w:val="16"/>
                <w:color w:val="auto"/>
              </w:rPr>
              <w:t>September 30,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8"/>
              </w:rPr>
              <w:t>2013 (Note</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Increase</w:t>
            </w:r>
          </w:p>
        </w:tc>
        <w:tc>
          <w:tcPr>
            <w:tcW w:w="920" w:type="dxa"/>
            <w:vAlign w:val="bottom"/>
          </w:tcPr>
          <w:p>
            <w:pPr>
              <w:jc w:val="right"/>
              <w:ind w:right="21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2013 (Note</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5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(Decrease)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33"/>
        </w:trPr>
        <w:tc>
          <w:tcPr>
            <w:tcW w:w="5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Mainline</w:t>
            </w: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51,895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51,887</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149,129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147,136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Available seat miles (ASM) (millions) </w:t>
            </w:r>
            <w:r>
              <w:rPr>
                <w:rFonts w:ascii="Arial" w:cs="Arial" w:eastAsia="Arial" w:hAnsi="Arial"/>
                <w:sz w:val="21"/>
                <w:szCs w:val="21"/>
                <w:color w:val="auto"/>
                <w:vertAlign w:val="superscript"/>
              </w:rPr>
              <w:t>(b)</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61,851</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60,595</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2.1 %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179,682</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174,864</w:t>
            </w: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 pts</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 pts</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3.1 %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15.02</w:t>
            </w:r>
          </w:p>
        </w:tc>
        <w:tc>
          <w:tcPr>
            <w:tcW w:w="1220" w:type="dxa"/>
            <w:vAlign w:val="bottom"/>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12.95</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13.35</w:t>
            </w: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37,516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37,089</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110,270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108,509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Departures (thousands)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Block hours (thousands) </w:t>
            </w:r>
            <w:r>
              <w:rPr>
                <w:rFonts w:ascii="Arial" w:cs="Arial" w:eastAsia="Arial" w:hAnsi="Arial"/>
                <w:sz w:val="21"/>
                <w:szCs w:val="21"/>
                <w:color w:val="auto"/>
                <w:vertAlign w:val="superscript"/>
              </w:rPr>
              <w:t>(h)</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885</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2,608</w:t>
            </w: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Average stage length (miles) </w:t>
            </w:r>
            <w:r>
              <w:rPr>
                <w:rFonts w:ascii="Arial" w:cs="Arial" w:eastAsia="Arial" w:hAnsi="Arial"/>
                <w:sz w:val="21"/>
                <w:szCs w:val="21"/>
                <w:color w:val="auto"/>
                <w:vertAlign w:val="superscript"/>
              </w:rPr>
              <w:t>(i)</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1,210</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0.6 %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2,763</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22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Full-time equivalent employees at end of period</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93,424</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91,564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93,424</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91,564</w:t>
            </w: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Regional </w:t>
            </w:r>
            <w:r>
              <w:rPr>
                <w:rFonts w:ascii="Arial" w:cs="Arial" w:eastAsia="Arial" w:hAnsi="Arial"/>
                <w:sz w:val="21"/>
                <w:szCs w:val="21"/>
                <w:b w:val="1"/>
                <w:bCs w:val="1"/>
                <w:color w:val="auto"/>
                <w:vertAlign w:val="superscript"/>
              </w:rPr>
              <w:t>(j)</w:t>
            </w: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5,755</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5,562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3.5 %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16,601</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16,148</w:t>
            </w: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7,269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7,198</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21,093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77.3</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1.9 pts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76.6</w:t>
            </w:r>
          </w:p>
        </w:tc>
        <w:tc>
          <w:tcPr>
            <w:tcW w:w="1220" w:type="dxa"/>
            <w:vAlign w:val="bottom"/>
          </w:tcPr>
          <w:p>
            <w:pPr>
              <w:jc w:val="right"/>
              <w:ind w:right="139"/>
              <w:spacing w:after="0"/>
              <w:rPr>
                <w:sz w:val="20"/>
                <w:szCs w:val="20"/>
                <w:color w:val="auto"/>
              </w:rPr>
            </w:pPr>
            <w:r>
              <w:rPr>
                <w:rFonts w:ascii="Arial" w:cs="Arial" w:eastAsia="Arial" w:hAnsi="Arial"/>
                <w:sz w:val="16"/>
                <w:szCs w:val="16"/>
                <w:color w:val="auto"/>
              </w:rPr>
              <w:t>2.7 pts</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29.32</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22.65</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22.84</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22.34</w:t>
            </w:r>
          </w:p>
        </w:tc>
        <w:tc>
          <w:tcPr>
            <w:tcW w:w="122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22.20</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22.76</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13,483</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12,897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4.5 %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38,745</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37,522</w:t>
            </w:r>
          </w:p>
        </w:tc>
        <w:tc>
          <w:tcPr>
            <w:tcW w:w="122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0.5 %</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0.7 %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Full-time equivalent employees at end of period </w:t>
            </w:r>
            <w:r>
              <w:rPr>
                <w:rFonts w:ascii="Arial" w:cs="Arial" w:eastAsia="Arial" w:hAnsi="Arial"/>
                <w:sz w:val="21"/>
                <w:szCs w:val="21"/>
                <w:color w:val="auto"/>
                <w:vertAlign w:val="superscript"/>
              </w:rPr>
              <w:t>(k)</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18,428</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17,883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18,428</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17,883</w:t>
            </w:r>
          </w:p>
        </w:tc>
        <w:tc>
          <w:tcPr>
            <w:tcW w:w="122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Mainline and Regional</w:t>
            </w: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57,650</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57,449</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0.3 %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165,730</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163,284</w:t>
            </w:r>
          </w:p>
        </w:tc>
        <w:tc>
          <w:tcPr>
            <w:tcW w:w="122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69,120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67,793</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200,604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195,957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Cargo ton miles (millions) </w:t>
            </w:r>
            <w:r>
              <w:rPr>
                <w:rFonts w:ascii="Arial" w:cs="Arial" w:eastAsia="Arial" w:hAnsi="Arial"/>
                <w:sz w:val="21"/>
                <w:szCs w:val="21"/>
                <w:color w:val="auto"/>
                <w:vertAlign w:val="superscript"/>
              </w:rPr>
              <w:t>(l)</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4.5 %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1,601</w:t>
            </w:r>
          </w:p>
        </w:tc>
        <w:tc>
          <w:tcPr>
            <w:tcW w:w="122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84.7</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 pts</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83.3</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 pts</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16.50</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2.6 %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17.10</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1220" w:type="dxa"/>
            <w:vAlign w:val="bottom"/>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13.98</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Total revenue per ASM (cents) </w:t>
            </w:r>
            <w:r>
              <w:rPr>
                <w:rFonts w:ascii="Arial" w:cs="Arial" w:eastAsia="Arial" w:hAnsi="Arial"/>
                <w:sz w:val="21"/>
                <w:szCs w:val="21"/>
                <w:color w:val="auto"/>
                <w:vertAlign w:val="superscript"/>
              </w:rPr>
              <w:t>(m)</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15.74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2.4 %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15.53</w:t>
            </w:r>
          </w:p>
        </w:tc>
        <w:tc>
          <w:tcPr>
            <w:tcW w:w="122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Cargo yield per ton mile (cents) </w:t>
            </w:r>
            <w:r>
              <w:rPr>
                <w:rFonts w:ascii="Arial" w:cs="Arial" w:eastAsia="Arial" w:hAnsi="Arial"/>
                <w:sz w:val="21"/>
                <w:szCs w:val="21"/>
                <w:color w:val="auto"/>
                <w:vertAlign w:val="superscript"/>
              </w:rPr>
              <w:t>(n)</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37.98</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37.09</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2.4 %</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70"/>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50,999</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49,986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2.0 %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149,015</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146,031</w:t>
            </w: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0.6 %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3,243</w:t>
            </w:r>
          </w:p>
        </w:tc>
        <w:tc>
          <w:tcPr>
            <w:tcW w:w="1220" w:type="dxa"/>
            <w:vAlign w:val="bottom"/>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2"/>
        </w:trPr>
        <w:tc>
          <w:tcPr>
            <w:tcW w:w="5120" w:type="dxa"/>
            <w:vAlign w:val="bottom"/>
          </w:tcPr>
          <w:p>
            <w:pPr>
              <w:ind w:left="280"/>
              <w:spacing w:after="0"/>
              <w:rPr>
                <w:sz w:val="20"/>
                <w:szCs w:val="20"/>
                <w:color w:val="auto"/>
              </w:rPr>
            </w:pPr>
            <w:r>
              <w:rPr>
                <w:rFonts w:ascii="Arial" w:cs="Arial" w:eastAsia="Arial" w:hAnsi="Arial"/>
                <w:sz w:val="16"/>
                <w:szCs w:val="16"/>
                <w:color w:val="auto"/>
              </w:rPr>
              <w:t xml:space="preserve">Full-time equivalent employees at end of period </w:t>
            </w:r>
            <w:r>
              <w:rPr>
                <w:rFonts w:ascii="Arial" w:cs="Arial" w:eastAsia="Arial" w:hAnsi="Arial"/>
                <w:sz w:val="21"/>
                <w:szCs w:val="21"/>
                <w:color w:val="auto"/>
                <w:vertAlign w:val="superscript"/>
              </w:rPr>
              <w:t>(k)</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111,852</w:t>
            </w:r>
          </w:p>
        </w:tc>
        <w:tc>
          <w:tcPr>
            <w:tcW w:w="10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109,447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2.2 %</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111,852</w:t>
            </w:r>
          </w:p>
        </w:tc>
        <w:tc>
          <w:tcPr>
            <w:tcW w:w="1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109,447</w:t>
            </w:r>
          </w:p>
        </w:tc>
        <w:tc>
          <w:tcPr>
            <w:tcW w:w="122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Represents the combined historical operating statistics of American and US Airways Group.</w:t>
      </w:r>
    </w:p>
    <w:p>
      <w:pPr>
        <w:sectPr>
          <w:pgSz w:w="11900" w:h="16838" w:orient="portrait"/>
          <w:cols w:equalWidth="0" w:num="1">
            <w:col w:w="11420"/>
          </w:cols>
          <w:pgMar w:left="240" w:top="503"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03" w:right="239" w:bottom="1440" w:gutter="0" w:footer="0" w:header="0"/>
          <w:type w:val="continuous"/>
        </w:sectPr>
      </w:pPr>
    </w:p>
    <w:bookmarkStart w:id="66" w:name="page67"/>
    <w:bookmarkEnd w:id="66"/>
    <w:p>
      <w:pPr>
        <w:ind w:left="340" w:hanging="332"/>
        <w:spacing w:after="0"/>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Available seat mile (ASM) — A basic measure of production. One ASM represents one seat flown one mile.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Passenger load factor — The percentage of available seats that are filled with revenue passengers.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Yield — A measure of airline revenue derived by dividing passenger revenue by RPMs.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Passenger revenue per available seat mile (PRASM) — Passenger revenues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Operating cost per available seat mile (CASM) — Operating expenses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Passenger enplanements — The number of passengers on board an aircraft, including local, connecting and through passengers.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Average stage length — The average of the distances flown on each segment of every route.</w:t>
      </w:r>
    </w:p>
    <w:p>
      <w:pPr>
        <w:spacing w:after="0" w:line="2" w:lineRule="exact"/>
        <w:rPr>
          <w:rFonts w:ascii="Arial" w:cs="Arial" w:eastAsia="Arial" w:hAnsi="Arial"/>
          <w:sz w:val="25"/>
          <w:szCs w:val="25"/>
          <w:color w:val="auto"/>
          <w:vertAlign w:val="superscript"/>
        </w:rPr>
      </w:pPr>
    </w:p>
    <w:p>
      <w:pPr>
        <w:jc w:val="both"/>
        <w:ind w:left="340" w:hanging="332"/>
        <w:spacing w:after="0" w:line="249"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Regional statistics include our subsidiaries, Envoy Aviation Group Inc. (Envoy, formerly known as AMR Eagle Holding Corporation), Piedmont Airlines, Inc. (Piedmont) and PSA Airlines, Inc. (PSA), and operating and financial results from our capacity purchase agreements with Air Wisconsin Airlines Corporation, Chautauqua Airlines, Inc., ExpressJet Airlines, Inc., Mesa Airlines, Inc., Republic Airline Inc. and SkyWest Airlines, Inc.</w:t>
      </w:r>
    </w:p>
    <w:p>
      <w:pPr>
        <w:spacing w:after="0" w:line="2"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Regional full-time equivalent employees only include our wholly owned regional airline subsidiaries, Envoy, Piedmont and PSA.</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Cargo ton miles — A basic measure of cargo transportation. One cargo ton mile represents one ton of cargo transported one mile.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Total revenue per available seat mile (RASM) — Total revenues divided by total mainline and regional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Cargo yield per ton mile — Cargo revenues divided by total mainline and regional cargo ton miles.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1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AAG's condensed consolidated financial statements in Part I, Item 1A for additional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color w:val="auto"/>
                <w:w w:val="96"/>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7"/>
              </w:rPr>
              <w:t>$ Change</w:t>
            </w:r>
          </w:p>
        </w:tc>
        <w:tc>
          <w:tcPr>
            <w:tcW w:w="120" w:type="dxa"/>
            <w:vAlign w:val="bottom"/>
          </w:tcPr>
          <w:p>
            <w:pPr>
              <w:spacing w:after="0"/>
              <w:rPr>
                <w:sz w:val="24"/>
                <w:szCs w:val="24"/>
                <w:color w:val="auto"/>
              </w:rPr>
            </w:pPr>
          </w:p>
        </w:tc>
        <w:tc>
          <w:tcPr>
            <w:tcW w:w="204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4"/>
            <w:vMerge w:val="restart"/>
          </w:tcPr>
          <w:p>
            <w:pPr>
              <w:jc w:val="right"/>
              <w:ind w:right="45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left="510"/>
              <w:spacing w:after="0"/>
              <w:rPr>
                <w:sz w:val="20"/>
                <w:szCs w:val="20"/>
                <w:color w:val="auto"/>
              </w:rPr>
            </w:pPr>
            <w:r>
              <w:rPr>
                <w:rFonts w:ascii="Arial" w:cs="Arial" w:eastAsia="Arial" w:hAnsi="Arial"/>
                <w:sz w:val="18"/>
                <w:szCs w:val="18"/>
                <w:color w:val="auto"/>
                <w:w w:val="92"/>
              </w:rPr>
              <w:t>Impact</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line="190" w:lineRule="exact"/>
              <w:rPr>
                <w:sz w:val="20"/>
                <w:szCs w:val="20"/>
                <w:color w:val="auto"/>
              </w:rPr>
            </w:pPr>
            <w:r>
              <w:rPr>
                <w:rFonts w:ascii="Arial" w:cs="Arial" w:eastAsia="Arial" w:hAnsi="Arial"/>
                <w:sz w:val="18"/>
                <w:szCs w:val="18"/>
                <w:color w:val="auto"/>
                <w:w w:val="90"/>
              </w:rPr>
              <w:t>Due to</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Merger</w:t>
            </w: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00" w:type="dxa"/>
            <w:vAlign w:val="bottom"/>
            <w:gridSpan w:val="8"/>
          </w:tcPr>
          <w:p>
            <w:pPr>
              <w:jc w:val="right"/>
              <w:spacing w:after="0"/>
              <w:rPr>
                <w:sz w:val="20"/>
                <w:szCs w:val="20"/>
                <w:color w:val="auto"/>
              </w:rPr>
            </w:pPr>
            <w:r>
              <w:rPr>
                <w:rFonts w:ascii="Arial" w:cs="Arial" w:eastAsia="Arial" w:hAnsi="Arial"/>
                <w:sz w:val="14"/>
                <w:szCs w:val="14"/>
                <w:color w:val="auto"/>
                <w:w w:val="96"/>
              </w:rPr>
              <w:t>(In millions, except percentage changes)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4,067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quarter-over-quarter comparison.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revenues in the third quarter of 2014 increased $244 million, or 3.6%, from the 2013 period which was driven by strong demand for air travel. Significant changes in the components of operating revenues, excluding the results of US Airways Group, are as follows:</w:t>
      </w:r>
    </w:p>
    <w:p>
      <w:pPr>
        <w:spacing w:after="0" w:line="62" w:lineRule="exact"/>
        <w:rPr>
          <w:sz w:val="20"/>
          <w:szCs w:val="20"/>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Mainline passenger revenues increased $68 million, or 1.3%, in the third quarter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Cargo revenues increased $11 million, or 6.1% in the third quarter of 2014 from the 2013 period driven primarily by an increase in transatlantic and pacific freight volumes.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revenues increased $183 million, or 28.6%, in the third quarter of 2014 from the 2013 period driven primarily by higher revenues associated with our frequent flyer programs.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1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jc w:val="center"/>
              <w:ind w:right="1860"/>
              <w:spacing w:after="0"/>
              <w:rPr>
                <w:sz w:val="20"/>
                <w:szCs w:val="20"/>
                <w:color w:val="auto"/>
              </w:rPr>
            </w:pPr>
            <w:r>
              <w:rPr>
                <w:rFonts w:ascii="Arial" w:cs="Arial" w:eastAsia="Arial" w:hAnsi="Arial"/>
                <w:sz w:val="18"/>
                <w:szCs w:val="18"/>
                <w:i w:val="1"/>
                <w:iCs w:val="1"/>
                <w:color w:val="auto"/>
                <w:w w:val="89"/>
              </w:rPr>
              <w:t>Operating 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7"/>
              </w:rPr>
              <w:t>$ Change</w:t>
            </w:r>
          </w:p>
        </w:tc>
        <w:tc>
          <w:tcPr>
            <w:tcW w:w="160" w:type="dxa"/>
            <w:vAlign w:val="bottom"/>
          </w:tcPr>
          <w:p>
            <w:pPr>
              <w:spacing w:after="0"/>
              <w:rPr>
                <w:sz w:val="24"/>
                <w:szCs w:val="24"/>
                <w:color w:val="auto"/>
              </w:rPr>
            </w:pPr>
          </w:p>
        </w:tc>
        <w:tc>
          <w:tcPr>
            <w:tcW w:w="2100" w:type="dxa"/>
            <w:vAlign w:val="bottom"/>
            <w:gridSpan w:val="3"/>
          </w:tcPr>
          <w:p>
            <w:pPr>
              <w:jc w:val="center"/>
              <w:ind w:right="30"/>
              <w:spacing w:after="0"/>
              <w:rPr>
                <w:sz w:val="20"/>
                <w:szCs w:val="20"/>
                <w:color w:val="auto"/>
              </w:rPr>
            </w:pPr>
            <w:r>
              <w:rPr>
                <w:rFonts w:ascii="Arial" w:cs="Arial" w:eastAsia="Arial" w:hAnsi="Arial"/>
                <w:sz w:val="18"/>
                <w:szCs w:val="18"/>
                <w:color w:val="auto"/>
                <w:w w:val="91"/>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20" w:type="dxa"/>
            <w:vAlign w:val="bottom"/>
            <w:gridSpan w:val="4"/>
            <w:vMerge w:val="restart"/>
          </w:tcPr>
          <w:p>
            <w:pPr>
              <w:jc w:val="right"/>
              <w:ind w:right="45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left="550"/>
              <w:spacing w:after="0"/>
              <w:rPr>
                <w:sz w:val="20"/>
                <w:szCs w:val="20"/>
                <w:color w:val="auto"/>
              </w:rPr>
            </w:pPr>
            <w:r>
              <w:rPr>
                <w:rFonts w:ascii="Arial" w:cs="Arial" w:eastAsia="Arial" w:hAnsi="Arial"/>
                <w:sz w:val="18"/>
                <w:szCs w:val="18"/>
                <w:color w:val="auto"/>
                <w:w w:val="92"/>
              </w:rPr>
              <w:t>Impact</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line="190" w:lineRule="exact"/>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Merger</w:t>
            </w:r>
          </w:p>
        </w:tc>
        <w:tc>
          <w:tcPr>
            <w:tcW w:w="16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8"/>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40" w:type="dxa"/>
            <w:vAlign w:val="bottom"/>
            <w:gridSpan w:val="8"/>
          </w:tcPr>
          <w:p>
            <w:pPr>
              <w:jc w:val="right"/>
              <w:ind w:right="30"/>
              <w:spacing w:after="0"/>
              <w:rPr>
                <w:sz w:val="20"/>
                <w:szCs w:val="20"/>
                <w:color w:val="auto"/>
              </w:rPr>
            </w:pPr>
            <w:r>
              <w:rPr>
                <w:rFonts w:ascii="Arial" w:cs="Arial" w:eastAsia="Arial" w:hAnsi="Arial"/>
                <w:sz w:val="14"/>
                <w:szCs w:val="14"/>
                <w:color w:val="auto"/>
                <w:w w:val="95"/>
              </w:rPr>
              <w:t>(In millions, except percentage changes)</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4640" w:type="dxa"/>
            <w:vAlign w:val="bottom"/>
            <w:gridSpan w:val="3"/>
          </w:tcPr>
          <w:p>
            <w:pPr>
              <w:jc w:val="center"/>
              <w:ind w:right="1820"/>
              <w:spacing w:after="0"/>
              <w:rPr>
                <w:sz w:val="20"/>
                <w:szCs w:val="20"/>
                <w:color w:val="auto"/>
              </w:rPr>
            </w:pPr>
            <w:r>
              <w:rPr>
                <w:rFonts w:ascii="Arial" w:cs="Arial" w:eastAsia="Arial" w:hAnsi="Arial"/>
                <w:sz w:val="18"/>
                <w:szCs w:val="18"/>
                <w:color w:val="auto"/>
                <w:w w:val="89"/>
              </w:rPr>
              <w:t>Total mainline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4640" w:type="dxa"/>
            <w:vAlign w:val="bottom"/>
            <w:gridSpan w:val="3"/>
          </w:tcPr>
          <w:p>
            <w:pPr>
              <w:jc w:val="center"/>
              <w:ind w:right="1860"/>
              <w:spacing w:after="0"/>
              <w:rPr>
                <w:sz w:val="20"/>
                <w:szCs w:val="20"/>
                <w:color w:val="auto"/>
              </w:rPr>
            </w:pPr>
            <w:r>
              <w:rPr>
                <w:rFonts w:ascii="Arial" w:cs="Arial" w:eastAsia="Arial" w:hAnsi="Arial"/>
                <w:sz w:val="18"/>
                <w:szCs w:val="18"/>
                <w:color w:val="auto"/>
                <w:w w:val="89"/>
              </w:rPr>
              <w:t>Total regional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gridSpan w:val="3"/>
            <w:shd w:val="clear" w:color="auto" w:fill="CCEEFF"/>
          </w:tcPr>
          <w:p>
            <w:pPr>
              <w:jc w:val="center"/>
              <w:ind w:right="1860"/>
              <w:spacing w:after="0"/>
              <w:rPr>
                <w:sz w:val="20"/>
                <w:szCs w:val="20"/>
                <w:color w:val="auto"/>
              </w:rPr>
            </w:pPr>
            <w:r>
              <w:rPr>
                <w:rFonts w:ascii="Arial" w:cs="Arial" w:eastAsia="Arial" w:hAnsi="Arial"/>
                <w:sz w:val="18"/>
                <w:szCs w:val="18"/>
                <w:color w:val="auto"/>
                <w:w w:val="88"/>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expenses excludes the results of US Airways Group in order to provide a more meaningful quarter-over-quarter comparison.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in the third quarter of 2014 increased $237 million, or 3.9%, from the 2013 period. Significant changes in the components of mainline operating expenses, excluding the results of US Airways Group, are as follows:</w:t>
      </w:r>
    </w:p>
    <w:p>
      <w:pPr>
        <w:spacing w:after="0" w:line="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Aircraft fuel and related taxes decreased 2.9% primarily due to a decrease in the average price per gallon of fuel.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Maintenance, materials and repairs increased 22.1% primarily due to an increase in the volume of engine overhauls.</w:t>
      </w:r>
    </w:p>
    <w:p>
      <w:pPr>
        <w:spacing w:after="0" w:line="63"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Aircraft rent increased 9.7% primarily as a result of new leased aircraft deliveries since the end of the 2013 third quarter as we continue our fleet renewal program.</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Selling expenses decreased 5.5% primarily as a result of lower advertising expenditures in the 2014 period.</w:t>
      </w:r>
    </w:p>
    <w:p>
      <w:pPr>
        <w:spacing w:after="0" w:line="63" w:lineRule="exact"/>
        <w:rPr>
          <w:rFonts w:ascii="Arial" w:cs="Arial" w:eastAsia="Arial" w:hAnsi="Arial"/>
          <w:sz w:val="18"/>
          <w:szCs w:val="18"/>
          <w:color w:val="auto"/>
        </w:rPr>
      </w:pPr>
    </w:p>
    <w:p>
      <w:pPr>
        <w:ind w:left="660" w:right="20" w:hanging="652"/>
        <w:spacing w:after="0" w:line="277" w:lineRule="auto"/>
        <w:tabs>
          <w:tab w:leader="none" w:pos="3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Depreciation and amortization increased 12.9% primarily as a result of new purchased aircraft deliveries since the end of the 2013 third quarter as we continue our fleet renewal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regional expenses, excluding the results of US Airways Group, increased $21 million, or 2.7%, in the third quarter of 2014 from the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13"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270"/>
              <w:spacing w:after="0"/>
              <w:rPr>
                <w:sz w:val="20"/>
                <w:szCs w:val="20"/>
                <w:color w:val="auto"/>
              </w:rPr>
            </w:pPr>
            <w:r>
              <w:rPr>
                <w:rFonts w:ascii="Arial" w:cs="Arial" w:eastAsia="Arial" w:hAnsi="Arial"/>
                <w:sz w:val="16"/>
                <w:szCs w:val="16"/>
                <w:color w:val="auto"/>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center"/>
              <w:ind w:right="72"/>
              <w:spacing w:after="0"/>
              <w:rPr>
                <w:sz w:val="20"/>
                <w:szCs w:val="20"/>
                <w:color w:val="auto"/>
              </w:rPr>
            </w:pPr>
            <w:r>
              <w:rPr>
                <w:rFonts w:ascii="Arial" w:cs="Arial" w:eastAsia="Arial" w:hAnsi="Arial"/>
                <w:sz w:val="16"/>
                <w:szCs w:val="16"/>
                <w:color w:val="auto"/>
                <w:w w:val="92"/>
              </w:rPr>
              <w:t>Change Excluding Merger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4"/>
          </w:tcPr>
          <w:p>
            <w:pPr>
              <w:jc w:val="right"/>
              <w:ind w:right="490"/>
              <w:spacing w:after="0"/>
              <w:rPr>
                <w:sz w:val="20"/>
                <w:szCs w:val="20"/>
                <w:color w:val="auto"/>
              </w:rPr>
            </w:pPr>
            <w:r>
              <w:rPr>
                <w:rFonts w:ascii="Arial" w:cs="Arial" w:eastAsia="Arial" w:hAnsi="Arial"/>
                <w:sz w:val="16"/>
                <w:szCs w:val="16"/>
                <w:color w:val="auto"/>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color w:val="auto"/>
              </w:rPr>
              <w:t>Change Due</w:t>
            </w:r>
          </w:p>
        </w:tc>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left="474"/>
              <w:spacing w:after="0"/>
              <w:rPr>
                <w:sz w:val="20"/>
                <w:szCs w:val="20"/>
                <w:color w:val="auto"/>
              </w:rPr>
            </w:pPr>
            <w:r>
              <w:rPr>
                <w:rFonts w:ascii="Arial" w:cs="Arial" w:eastAsia="Arial" w:hAnsi="Arial"/>
                <w:sz w:val="16"/>
                <w:szCs w:val="16"/>
                <w:color w:val="auto"/>
                <w:w w:val="95"/>
              </w:rPr>
              <w:t>Impact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3"/>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 Change</w:t>
            </w:r>
          </w:p>
        </w:tc>
        <w:tc>
          <w:tcPr>
            <w:tcW w:w="14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color w:val="auto"/>
              </w:rPr>
              <w:t>to Merger</w:t>
            </w:r>
          </w:p>
        </w:tc>
        <w:tc>
          <w:tcPr>
            <w:tcW w:w="160" w:type="dxa"/>
            <w:vAlign w:val="bottom"/>
          </w:tcPr>
          <w:p>
            <w:pPr>
              <w:spacing w:after="0"/>
              <w:rPr>
                <w:sz w:val="20"/>
                <w:szCs w:val="20"/>
                <w:color w:val="auto"/>
              </w:rPr>
            </w:pPr>
          </w:p>
        </w:tc>
        <w:tc>
          <w:tcPr>
            <w:tcW w:w="820" w:type="dxa"/>
            <w:vAlign w:val="bottom"/>
          </w:tcPr>
          <w:p>
            <w:pPr>
              <w:jc w:val="right"/>
              <w:ind w:right="37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00" w:type="dxa"/>
            <w:vAlign w:val="bottom"/>
          </w:tcPr>
          <w:p>
            <w:pPr>
              <w:jc w:val="right"/>
              <w:ind w:right="35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360" w:type="dxa"/>
            <w:vAlign w:val="bottom"/>
            <w:gridSpan w:val="8"/>
          </w:tcPr>
          <w:p>
            <w:pPr>
              <w:ind w:left="40"/>
              <w:spacing w:after="0"/>
              <w:rPr>
                <w:sz w:val="20"/>
                <w:szCs w:val="20"/>
                <w:color w:val="auto"/>
              </w:rPr>
            </w:pPr>
            <w:r>
              <w:rPr>
                <w:rFonts w:ascii="Arial" w:cs="Arial" w:eastAsia="Arial" w:hAnsi="Arial"/>
                <w:sz w:val="14"/>
                <w:szCs w:val="14"/>
                <w:color w:val="auto"/>
                <w:w w:val="91"/>
              </w:rPr>
              <w:t>(In millions, except percentage changes)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82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was $7 million and $5 million in the third quarter of 2014 and 2013, respectively. Our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quarter-over-quarter comparison.</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Interest expense, net of capitalized interest decreased $92 million, or 41.1%, in the third quarter of 2014 from the 2013 period primarily due to special charges recognized in the third quarter of 2013 as further described below, as well as refinancing activities that resulted in lower interest expense recognized in the third quarter of 2014. In the third quarter of 2013, we recognized special charges of $46 million in debt extinguishment costs incurred as a result of the repayment of certain aircraft secured indebtedness, including cash interest charges and non-cash write offs of unamortized debt issuance costs. In addition, as a result of the 2013 refinancing activities and the early extinguishment of American's 7.50% senior secured notes in the 2014 third quarter, we recognized $30 million less interest expense in the 2014 third quarter as compared to the 2013 period.</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nonoperating expense, net increased $57 million in the third quarter of 2014 from the 2013 period primarily due to a $45 million increase in foreign currency losses driven by the strengthening of the U.S. dollar in foreign currency transactions, principally in Latin American markets, as well as a $21 million increase in special charges recognized as a result of early debt extinguishment. The third quarter of 2014 included $49 million in net foreign currency losses as compared to $4 million in net foreign currency losses in the comparable 2013 period. In addition, we recognized $50 million in special charges in the 2014 third quarter primarily related to the early extinguishment of American's 7.50% senior secured notes and other indebtedness as compared to $29 million in special charges recognized in the 2013 third quarter in conjunction with the repayment of certain aircraft related indebtedness.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AAG's condensed consolidated statement of operations for the three months ended September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30" w:right="2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1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AAG's condensed consolidated financial statements in Part I, Item 1A for additional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7"/>
              </w:rPr>
              <w:t>$ Change</w:t>
            </w:r>
          </w:p>
        </w:tc>
        <w:tc>
          <w:tcPr>
            <w:tcW w:w="120" w:type="dxa"/>
            <w:vAlign w:val="bottom"/>
          </w:tcPr>
          <w:p>
            <w:pPr>
              <w:spacing w:after="0"/>
              <w:rPr>
                <w:sz w:val="24"/>
                <w:szCs w:val="24"/>
                <w:color w:val="auto"/>
              </w:rPr>
            </w:pPr>
          </w:p>
        </w:tc>
        <w:tc>
          <w:tcPr>
            <w:tcW w:w="204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4"/>
            <w:vMerge w:val="restart"/>
          </w:tcPr>
          <w:p>
            <w:pPr>
              <w:jc w:val="right"/>
              <w:ind w:right="45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left="510"/>
              <w:spacing w:after="0"/>
              <w:rPr>
                <w:sz w:val="20"/>
                <w:szCs w:val="20"/>
                <w:color w:val="auto"/>
              </w:rPr>
            </w:pPr>
            <w:r>
              <w:rPr>
                <w:rFonts w:ascii="Arial" w:cs="Arial" w:eastAsia="Arial" w:hAnsi="Arial"/>
                <w:sz w:val="18"/>
                <w:szCs w:val="18"/>
                <w:color w:val="auto"/>
                <w:w w:val="92"/>
              </w:rPr>
              <w:t>Impact</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line="190" w:lineRule="exact"/>
              <w:rPr>
                <w:sz w:val="20"/>
                <w:szCs w:val="20"/>
                <w:color w:val="auto"/>
              </w:rPr>
            </w:pPr>
            <w:r>
              <w:rPr>
                <w:rFonts w:ascii="Arial" w:cs="Arial" w:eastAsia="Arial" w:hAnsi="Arial"/>
                <w:sz w:val="18"/>
                <w:szCs w:val="18"/>
                <w:color w:val="auto"/>
                <w:w w:val="90"/>
              </w:rPr>
              <w:t>Due to</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Merger</w:t>
            </w: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8"/>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00" w:type="dxa"/>
            <w:vAlign w:val="bottom"/>
            <w:gridSpan w:val="8"/>
          </w:tcPr>
          <w:p>
            <w:pPr>
              <w:jc w:val="right"/>
              <w:spacing w:after="0"/>
              <w:rPr>
                <w:sz w:val="20"/>
                <w:szCs w:val="20"/>
                <w:color w:val="auto"/>
              </w:rPr>
            </w:pPr>
            <w:r>
              <w:rPr>
                <w:rFonts w:ascii="Arial" w:cs="Arial" w:eastAsia="Arial" w:hAnsi="Arial"/>
                <w:sz w:val="14"/>
                <w:szCs w:val="14"/>
                <w:color w:val="auto"/>
                <w:w w:val="96"/>
              </w:rPr>
              <w:t>(In millions, except percentage changes)</w:t>
            </w: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period-over-period comparison.</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Total operating revenues in the first nine months of 2014 increased $1.3 billion, or 7.0%, from the 2013 period which was driven by strong demand for air travel. Significant changes in the components of operating revenues, excluding the results of US Airways Group, are as follows:</w:t>
      </w:r>
    </w:p>
    <w:p>
      <w:pPr>
        <w:spacing w:after="0" w:line="38" w:lineRule="exact"/>
        <w:rPr>
          <w:sz w:val="20"/>
          <w:szCs w:val="20"/>
          <w:color w:val="auto"/>
        </w:rPr>
      </w:pPr>
    </w:p>
    <w:p>
      <w:pPr>
        <w:ind w:left="340" w:right="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Mainline passenger revenues increased $824 million, or 5.6%, in the first nine months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Cargo revenues increased $32 million, or 6.4%, in the first nine months of 2014 from the 2013 period driven primarily by an increase in transatlantic and pacific freight volumes.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revenues increased $488 million, or 25.3%, in the first nine months of 2014 from the 2013 period driven primarily by higher revenues associated with our frequent flyer programs.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03"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i w:val="1"/>
                <w:iCs w:val="1"/>
                <w:color w:val="auto"/>
                <w:w w:val="89"/>
              </w:rPr>
              <w:t>Operating 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color w:val="auto"/>
                <w:w w:val="99"/>
              </w:rPr>
              <w:t>Nine Months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 Change</w:t>
            </w:r>
          </w:p>
        </w:tc>
        <w:tc>
          <w:tcPr>
            <w:tcW w:w="140" w:type="dxa"/>
            <w:vAlign w:val="bottom"/>
          </w:tcPr>
          <w:p>
            <w:pPr>
              <w:spacing w:after="0"/>
              <w:rPr>
                <w:sz w:val="24"/>
                <w:szCs w:val="24"/>
                <w:color w:val="auto"/>
              </w:rPr>
            </w:pPr>
          </w:p>
        </w:tc>
        <w:tc>
          <w:tcPr>
            <w:tcW w:w="212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4"/>
            <w:vMerge w:val="restart"/>
          </w:tcPr>
          <w:p>
            <w:pPr>
              <w:jc w:val="right"/>
              <w:ind w:right="47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restart"/>
          </w:tcPr>
          <w:p>
            <w:pPr>
              <w:jc w:val="center"/>
              <w:ind w:left="530"/>
              <w:spacing w:after="0"/>
              <w:rPr>
                <w:sz w:val="20"/>
                <w:szCs w:val="20"/>
                <w:color w:val="auto"/>
              </w:rPr>
            </w:pPr>
            <w:r>
              <w:rPr>
                <w:rFonts w:ascii="Arial" w:cs="Arial" w:eastAsia="Arial" w:hAnsi="Arial"/>
                <w:sz w:val="18"/>
                <w:szCs w:val="18"/>
                <w:color w:val="auto"/>
                <w:w w:val="92"/>
              </w:rPr>
              <w:t>Impact</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line="190" w:lineRule="exact"/>
              <w:rPr>
                <w:sz w:val="20"/>
                <w:szCs w:val="20"/>
                <w:color w:val="auto"/>
              </w:rPr>
            </w:pPr>
            <w:r>
              <w:rPr>
                <w:rFonts w:ascii="Arial" w:cs="Arial" w:eastAsia="Arial" w:hAnsi="Arial"/>
                <w:sz w:val="18"/>
                <w:szCs w:val="18"/>
                <w:color w:val="auto"/>
                <w:w w:val="94"/>
              </w:rPr>
              <w:t>Due to</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Merger</w:t>
            </w:r>
          </w:p>
        </w:tc>
        <w:tc>
          <w:tcPr>
            <w:tcW w:w="1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8"/>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20" w:type="dxa"/>
            <w:vAlign w:val="bottom"/>
            <w:gridSpan w:val="8"/>
          </w:tcPr>
          <w:p>
            <w:pPr>
              <w:jc w:val="right"/>
              <w:ind w:right="10"/>
              <w:spacing w:after="0"/>
              <w:rPr>
                <w:sz w:val="20"/>
                <w:szCs w:val="20"/>
                <w:color w:val="auto"/>
              </w:rPr>
            </w:pPr>
            <w:r>
              <w:rPr>
                <w:rFonts w:ascii="Arial" w:cs="Arial" w:eastAsia="Arial" w:hAnsi="Arial"/>
                <w:sz w:val="14"/>
                <w:szCs w:val="14"/>
                <w:color w:val="auto"/>
                <w:w w:val="95"/>
              </w:rPr>
              <w:t>(In millions, except percentage changes)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00"/>
              <w:spacing w:after="0"/>
              <w:rPr>
                <w:sz w:val="20"/>
                <w:szCs w:val="20"/>
                <w:color w:val="auto"/>
              </w:rPr>
            </w:pPr>
            <w:r>
              <w:rPr>
                <w:rFonts w:ascii="Arial" w:cs="Arial" w:eastAsia="Arial" w:hAnsi="Arial"/>
                <w:sz w:val="18"/>
                <w:szCs w:val="18"/>
                <w:color w:val="auto"/>
                <w:w w:val="89"/>
              </w:rPr>
              <w:t>Total mainline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Total regional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3"/>
            <w:shd w:val="clear" w:color="auto" w:fill="CCEEFF"/>
          </w:tcPr>
          <w:p>
            <w:pPr>
              <w:jc w:val="center"/>
              <w:ind w:right="1840"/>
              <w:spacing w:after="0"/>
              <w:rPr>
                <w:sz w:val="20"/>
                <w:szCs w:val="20"/>
                <w:color w:val="auto"/>
              </w:rPr>
            </w:pPr>
            <w:r>
              <w:rPr>
                <w:rFonts w:ascii="Arial" w:cs="Arial" w:eastAsia="Arial" w:hAnsi="Arial"/>
                <w:sz w:val="18"/>
                <w:szCs w:val="18"/>
                <w:color w:val="auto"/>
                <w:w w:val="88"/>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18,091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expenses excludes the results of US Airways Group in order to provide a more meaningful period-over-period comparison.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in the first nine months of 2014 increased $644 million, or 3.6%, from the 2013 period. Significant changes in the components of mainline operating expenses, excluding the results of US Airways Group, are as follows:</w:t>
      </w:r>
    </w:p>
    <w:p>
      <w:pPr>
        <w:spacing w:after="0" w:line="8"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fuel and related taxes decreased 1.8% primarily due to a decrease in the average price per gallon of fuel.</w:t>
      </w:r>
    </w:p>
    <w:p>
      <w:pPr>
        <w:spacing w:after="0" w:line="63"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wages and benefits increased 8.3% primarily due to merger related labor contracts as well as increased costs from certain share-based compensation programs.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materials and repairs increased 10.6% primarily due to an increase in the volume of engine overhauls.</w:t>
      </w:r>
    </w:p>
    <w:p>
      <w:pPr>
        <w:spacing w:after="0" w:line="63"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rent increased 19.0% primarily as a result of new leased aircraft deliveries since the end of the 2013 third quarter as we continue our fleet renewal program.</w:t>
      </w:r>
    </w:p>
    <w:p>
      <w:pPr>
        <w:spacing w:after="0" w:line="8"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increased 8.0% as a result of new purchased aircraft deliveries since the end of the 2013 third quarter as we continue our fleet renewal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regional expenses, excluding the results of US Airways Group, increased $70 million, or 3.0%, in the first nine months of 2014 from the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13"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120" w:type="dxa"/>
            <w:vAlign w:val="bottom"/>
            <w:gridSpan w:val="6"/>
          </w:tcPr>
          <w:p>
            <w:pPr>
              <w:ind w:left="60"/>
              <w:spacing w:after="0"/>
              <w:rPr>
                <w:sz w:val="20"/>
                <w:szCs w:val="20"/>
                <w:color w:val="auto"/>
              </w:rPr>
            </w:pPr>
            <w:r>
              <w:rPr>
                <w:rFonts w:ascii="Arial" w:cs="Arial" w:eastAsia="Arial" w:hAnsi="Arial"/>
                <w:sz w:val="16"/>
                <w:szCs w:val="16"/>
                <w:color w:val="auto"/>
                <w:w w:val="91"/>
              </w:rPr>
              <w:t>Nine Months Ended September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3"/>
          </w:tcPr>
          <w:p>
            <w:pPr>
              <w:jc w:val="center"/>
              <w:ind w:right="72"/>
              <w:spacing w:after="0"/>
              <w:rPr>
                <w:sz w:val="20"/>
                <w:szCs w:val="20"/>
                <w:color w:val="auto"/>
              </w:rPr>
            </w:pPr>
            <w:r>
              <w:rPr>
                <w:rFonts w:ascii="Arial" w:cs="Arial" w:eastAsia="Arial" w:hAnsi="Arial"/>
                <w:sz w:val="16"/>
                <w:szCs w:val="16"/>
                <w:color w:val="auto"/>
                <w:w w:val="92"/>
              </w:rPr>
              <w:t>Change Excluding Merger</w:t>
            </w:r>
          </w:p>
        </w:tc>
        <w:tc>
          <w:tcPr>
            <w:tcW w:w="0" w:type="dxa"/>
            <w:vAlign w:val="bottom"/>
          </w:tcPr>
          <w:p>
            <w:pPr>
              <w:spacing w:after="0"/>
              <w:rPr>
                <w:sz w:val="1"/>
                <w:szCs w:val="1"/>
                <w:color w:val="auto"/>
              </w:rPr>
            </w:pPr>
          </w:p>
        </w:tc>
      </w:tr>
      <w:tr>
        <w:trPr>
          <w:trHeight w:val="206"/>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6"/>
                <w:szCs w:val="16"/>
                <w:color w:val="auto"/>
                <w:w w:val="89"/>
              </w:rPr>
              <w:t>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ind w:left="20"/>
              <w:spacing w:after="0"/>
              <w:rPr>
                <w:sz w:val="20"/>
                <w:szCs w:val="20"/>
                <w:color w:val="auto"/>
              </w:rPr>
            </w:pPr>
            <w:r>
              <w:rPr>
                <w:rFonts w:ascii="Arial" w:cs="Arial" w:eastAsia="Arial" w:hAnsi="Arial"/>
                <w:sz w:val="16"/>
                <w:szCs w:val="16"/>
                <w:color w:val="auto"/>
              </w:rPr>
              <w:t>Change Due</w:t>
            </w:r>
          </w:p>
        </w:tc>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left="474"/>
              <w:spacing w:after="0"/>
              <w:rPr>
                <w:sz w:val="20"/>
                <w:szCs w:val="20"/>
                <w:color w:val="auto"/>
              </w:rPr>
            </w:pPr>
            <w:r>
              <w:rPr>
                <w:rFonts w:ascii="Arial" w:cs="Arial" w:eastAsia="Arial" w:hAnsi="Arial"/>
                <w:sz w:val="16"/>
                <w:szCs w:val="16"/>
                <w:color w:val="auto"/>
                <w:w w:val="95"/>
              </w:rPr>
              <w:t>Impact</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color w:val="auto"/>
              </w:rPr>
              <w:t>$ Change</w:t>
            </w:r>
          </w:p>
        </w:tc>
        <w:tc>
          <w:tcPr>
            <w:tcW w:w="140" w:type="dxa"/>
            <w:vAlign w:val="bottom"/>
          </w:tcPr>
          <w:p>
            <w:pPr>
              <w:spacing w:after="0"/>
              <w:rPr>
                <w:sz w:val="20"/>
                <w:szCs w:val="20"/>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color w:val="auto"/>
              </w:rPr>
              <w:t>to Merger</w:t>
            </w:r>
          </w:p>
        </w:tc>
        <w:tc>
          <w:tcPr>
            <w:tcW w:w="160" w:type="dxa"/>
            <w:vAlign w:val="bottom"/>
          </w:tcPr>
          <w:p>
            <w:pPr>
              <w:spacing w:after="0"/>
              <w:rPr>
                <w:sz w:val="20"/>
                <w:szCs w:val="20"/>
                <w:color w:val="auto"/>
              </w:rPr>
            </w:pPr>
          </w:p>
        </w:tc>
        <w:tc>
          <w:tcPr>
            <w:tcW w:w="820" w:type="dxa"/>
            <w:vAlign w:val="bottom"/>
          </w:tcPr>
          <w:p>
            <w:pPr>
              <w:jc w:val="right"/>
              <w:ind w:right="374"/>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00" w:type="dxa"/>
            <w:vAlign w:val="bottom"/>
          </w:tcPr>
          <w:p>
            <w:pPr>
              <w:jc w:val="right"/>
              <w:ind w:right="35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8"/>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360" w:type="dxa"/>
            <w:vAlign w:val="bottom"/>
            <w:gridSpan w:val="8"/>
          </w:tcPr>
          <w:p>
            <w:pPr>
              <w:ind w:left="40"/>
              <w:spacing w:after="0"/>
              <w:rPr>
                <w:sz w:val="20"/>
                <w:szCs w:val="20"/>
                <w:color w:val="auto"/>
              </w:rPr>
            </w:pPr>
            <w:r>
              <w:rPr>
                <w:rFonts w:ascii="Arial" w:cs="Arial" w:eastAsia="Arial" w:hAnsi="Arial"/>
                <w:sz w:val="14"/>
                <w:szCs w:val="14"/>
                <w:color w:val="auto"/>
                <w:w w:val="91"/>
              </w:rPr>
              <w:t>(In millions, except percentage changes)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482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196</w:t>
            </w:r>
          </w:p>
        </w:tc>
        <w:tc>
          <w:tcPr>
            <w:tcW w:w="4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$22 million and $14 million in the first nine months of 2014 and 2013, respectively. Our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period-over-period comparison.</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expense, net of capitalized interest decreased $202 million, or 31.6%, in the first nine months of 2014 from the 2013 period primarily due to a $129 million decrease in special charges recognized period-over-period as further described below as well as refinancing activities that resulted in $64 million less interest expense recognized. In the first nine months of 2014, we recognized $33 million of special charges relating to non-cash interest accretion on bankruptcy settlement obligations. In the first nine months of 2013, we recognized $116 million of special charges relating to post-petition interest expense on unsecured obligations pursuant to the Plan and special charges of $46 million in debt extinguishment costs incurred as a result of the repayment of certain aircraft secured indebtedness, including cash interest charges and non-cash write offs of unamortized debt issuance costs. In addition, as a result of the 2013 refinancing activities and the early extinguishment of American's 7.50% senior secured notes in the 2014 third quarter, we recognized $64 million less interest expense in the 2014 nine month period as compared to the 2013 period.</w:t>
      </w:r>
    </w:p>
    <w:p>
      <w:pPr>
        <w:spacing w:after="0" w:line="1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nonoperating expense, net increased $10 million during the first nine months of 2014 primarily due to a $17 million increase in special charges recognized as a result of early debt extinguishment, offset in part by a $12 million decrease in foreign currency losses. We recognized $46 million in special charges in the 2014 nine month period primarily related to the early extinguishment of American's 7.50% senior secured notes and other indebtedness as compared to $29 million in special charges recognized in the 2013 nine month period in conjunction with the repayment of certain aircraft related indebtedness. In addition, the 2014 nine month period included $34 million in net foreign currency losses as compared to $46 million in net foreign currency losses in the comparable 2013 period.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AAG's condensed consolidated statement of operations for the nine months ended September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3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third quarter of 2014, American realized operating income of $698 million and net income of $465 million. American's third quarter 2014 net income included net special operating charges of $166 million and total net special charges of $221 million. Excluding the effects of these special charges, American realized operating income of $864 million and net income of $686 million.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nine months of 2014, American realized operating income of $2.0 billion and net income of $1.1 billion. American's 2014 nine month period net income included net special operating charges of $131 million and total net special charges of $569 million. Excluding the effects of these special charges, American realized operating income of $2.1 billion and net income of $1.7 billion.</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American's net special charges included in the accompanying condensed consolidated statements of operations are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250"/>
              <w:spacing w:after="0"/>
              <w:rPr>
                <w:sz w:val="20"/>
                <w:szCs w:val="20"/>
                <w:color w:val="auto"/>
              </w:rPr>
            </w:pPr>
            <w:r>
              <w:rPr>
                <w:rFonts w:ascii="Arial" w:cs="Arial" w:eastAsia="Arial" w:hAnsi="Arial"/>
                <w:sz w:val="18"/>
                <w:szCs w:val="18"/>
                <w:color w:val="auto"/>
              </w:rPr>
              <w:t>Nine Months Ended</w:t>
            </w:r>
          </w:p>
        </w:tc>
      </w:tr>
      <w:tr>
        <w:trPr>
          <w:trHeight w:val="230"/>
        </w:trPr>
        <w:tc>
          <w:tcPr>
            <w:tcW w:w="6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1960" w:type="dxa"/>
            <w:vAlign w:val="bottom"/>
            <w:gridSpan w:val="4"/>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7"/>
        </w:trPr>
        <w:tc>
          <w:tcPr>
            <w:tcW w:w="6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2013</w:t>
            </w:r>
          </w:p>
        </w:tc>
      </w:tr>
      <w:tr>
        <w:trPr>
          <w:trHeight w:val="27"/>
        </w:trPr>
        <w:tc>
          <w:tcPr>
            <w:tcW w:w="6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9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70"/>
        </w:trPr>
        <w:tc>
          <w:tcPr>
            <w:tcW w:w="69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2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434</w:t>
            </w:r>
          </w:p>
        </w:tc>
      </w:tr>
      <w:tr>
        <w:trPr>
          <w:trHeight w:val="270"/>
        </w:trPr>
        <w:tc>
          <w:tcPr>
            <w:tcW w:w="6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9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7"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The 2014 third quarter mainline operating special items totaled a net charge of $164 million, which principally included $103 million of merger integration expenses related to information technology, alignment of labor union contracts, professional fees, severance and retention, share-based compensation expense, re-branding of aircraft and airport facilities, relocation and training, as well as $99 million in other charges, including an $81 million charge to revise prior estimates of certain aircraft residual values, and other asset impairments. These charges were offset in part by a net $40 million credit for bankruptcy related items primarily consisting of fair value adjustments for bankruptcy settlement obligations. The 2014 nine month period mainline operating special items totaled a net charge of $127 million, which principally included $337 million of merger integration expenses as described above, $99 million in other charges, including an $81 million charge to revise prior estimates of certain aircraft residual values, and other asset impairments, as well as $35 million in charges primarily relating to the buyout of certain aircraft leases. These charges were offset in part by a $305 million gain on the sale of slots at DCA and a net $57 million credit for bankruptcy related items as described above.</w:t>
      </w:r>
    </w:p>
    <w:p>
      <w:pPr>
        <w:spacing w:after="0" w:line="28" w:lineRule="exact"/>
        <w:rPr>
          <w:rFonts w:ascii="Arial" w:cs="Arial" w:eastAsia="Arial" w:hAnsi="Arial"/>
          <w:sz w:val="24"/>
          <w:szCs w:val="24"/>
          <w:color w:val="auto"/>
          <w:vertAlign w:val="superscript"/>
        </w:rPr>
      </w:pPr>
    </w:p>
    <w:p>
      <w:pPr>
        <w:jc w:val="both"/>
        <w:ind w:left="340"/>
        <w:spacing w:after="0" w:line="264" w:lineRule="auto"/>
        <w:rPr>
          <w:rFonts w:ascii="Arial" w:cs="Arial" w:eastAsia="Arial" w:hAnsi="Arial"/>
          <w:sz w:val="24"/>
          <w:szCs w:val="24"/>
          <w:color w:val="auto"/>
          <w:vertAlign w:val="superscript"/>
        </w:rPr>
      </w:pPr>
      <w:r>
        <w:rPr>
          <w:rFonts w:ascii="Arial" w:cs="Arial" w:eastAsia="Arial" w:hAnsi="Arial"/>
          <w:sz w:val="18"/>
          <w:szCs w:val="18"/>
          <w:color w:val="auto"/>
        </w:rPr>
        <w:t>The 2013 third quarter mainline operating special items primarily consisted of merger related expenses. The 2013 nine month period mainline operating special items totaled a net charge of $98 million, which included $55 million in merger related expenses and a $43 million charge for workers' compensation claims.</w:t>
      </w:r>
    </w:p>
    <w:p>
      <w:pPr>
        <w:spacing w:after="0" w:line="19"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The 2014 third quarter nonoperating special items totaled a net charge of $48 million, which was primarily due to early debt extinguishment costs related to the prepayment of American's 7.50% senior secured notes and other indebtedness. The 2014 nine month period nonoperating special items totaled a net charge of $89 million, which primarily included $46 million of early debt extinguishment costs as described above and $29 million of non-cash interest accretion on the bankruptcy settlement obligations.</w:t>
      </w:r>
    </w:p>
    <w:p>
      <w:pPr>
        <w:spacing w:after="0" w:line="40" w:lineRule="exact"/>
        <w:rPr>
          <w:sz w:val="20"/>
          <w:szCs w:val="20"/>
          <w:color w:val="auto"/>
        </w:rPr>
      </w:pPr>
    </w:p>
    <w:p>
      <w:pPr>
        <w:jc w:val="both"/>
        <w:ind w:left="340" w:firstLine="648"/>
        <w:spacing w:after="0" w:line="279" w:lineRule="auto"/>
        <w:rPr>
          <w:sz w:val="20"/>
          <w:szCs w:val="20"/>
          <w:color w:val="auto"/>
        </w:rPr>
      </w:pPr>
      <w:r>
        <w:rPr>
          <w:rFonts w:ascii="Arial" w:cs="Arial" w:eastAsia="Arial" w:hAnsi="Arial"/>
          <w:sz w:val="17"/>
          <w:szCs w:val="17"/>
          <w:color w:val="auto"/>
        </w:rPr>
        <w:t>The 2013 third quarter nonoperating special items totaled a net charge of $75 million, which principally related to debt extinguishment costs incurred in connection with the repayment of existing high-interest aircraft financings. The 2013 nine month period nonoperating special items totaled a net charge of $102 million, which principally included interest charges of $27 million to recognize post-petition interest expense on unsecured obligations pursuant to the Plan and the $75 million in charges primarily related to debt extinguishment costs as described above.</w:t>
      </w:r>
    </w:p>
    <w:p>
      <w:pPr>
        <w:spacing w:after="0" w:line="9" w:lineRule="exact"/>
        <w:rPr>
          <w:sz w:val="20"/>
          <w:szCs w:val="20"/>
          <w:color w:val="auto"/>
        </w:rPr>
      </w:pPr>
    </w:p>
    <w:p>
      <w:pPr>
        <w:ind w:left="340" w:hanging="332"/>
        <w:spacing w:after="0" w:line="216"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 the 2013 third quarter and nine month periods, American recognized reorganization expenses as a result of the filing of voluntary petitions for relief under Chapter 11. These amounts consisted primarily of estimated allowed claim amounts and professional fees.</w:t>
      </w:r>
    </w:p>
    <w:p>
      <w:pPr>
        <w:spacing w:after="0" w:line="41" w:lineRule="exact"/>
        <w:rPr>
          <w:rFonts w:ascii="Arial" w:cs="Arial" w:eastAsia="Arial" w:hAnsi="Arial"/>
          <w:sz w:val="25"/>
          <w:szCs w:val="25"/>
          <w:color w:val="auto"/>
          <w:vertAlign w:val="superscript"/>
        </w:rPr>
      </w:pPr>
    </w:p>
    <w:p>
      <w:pPr>
        <w:jc w:val="both"/>
        <w:ind w:left="340" w:hanging="332"/>
        <w:spacing w:after="0" w:line="232"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During the 2014 third quarter, American recorded a special $7 million non-cash deferred income tax provision related to certain indefinite-lived intangible assets. During the 2014 nine month period, American sold its portfolio of fuel hedging contracts that were scheduled to settle on or after June 30, 2014. In connection with this sale, American recorded a special non-cash tax provision of $328 million in the statement of operations for the second quarter of 2014 that reversed the non-cas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26" w:right="239" w:bottom="1440" w:gutter="0" w:footer="0" w:header="0"/>
        </w:sectPr>
      </w:pPr>
    </w:p>
    <w:bookmarkStart w:id="73" w:name="page74"/>
    <w:bookmarkEnd w:id="73"/>
    <w:p>
      <w:pPr>
        <w:jc w:val="both"/>
        <w:ind w:left="340"/>
        <w:spacing w:after="0" w:line="329" w:lineRule="auto"/>
        <w:rPr>
          <w:sz w:val="20"/>
          <w:szCs w:val="20"/>
          <w:color w:val="auto"/>
        </w:rPr>
      </w:pPr>
      <w:r>
        <w:rPr>
          <w:rFonts w:ascii="Arial" w:cs="Arial" w:eastAsia="Arial" w:hAnsi="Arial"/>
          <w:sz w:val="17"/>
          <w:szCs w:val="17"/>
          <w:color w:val="auto"/>
        </w:rPr>
        <w:t>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the 2014 nine month period included a special $21 million non-cash deferred income tax provision related to certain indefinite-lived intangible assets.</w:t>
      </w:r>
    </w:p>
    <w:p>
      <w:pPr>
        <w:spacing w:after="0" w:line="9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emergence from bankruptcy resulted in a statutory "ownership change" on December 9, 2013, as defined in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2013, American had approximately $9.5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American provides a valuation allowance for deferred tax assets when it is more likely than not that some portion, or all of its deferred tax assets, will not be realized. The ultimate realization of deferred tax assets is dependent upon the generation of future taxable income (primarily reversals of deferred tax liabilities) during the periods in which those temporary differences will become deductible. American considers many factors in evaluating the realizability of its deferred tax assets including risks associated with merger integration as well as other factors, which continue to be affected by conditions beyond American's control, such as the condition of the economy, the level and volatility of fuel prices and travel demand.</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2014, American recorded a special $7 million and $21 million, respectively, non-cash deferred income tax provision related to certain indefinite-lived intangible assets. In addition, for the 2014 nine month period, American recorded a special $328 million non-cash tax provision related to the settlement of fuel hedges discussed above and $3 million of tax expense principally related to certain states and countries where NOLs were limited or unavailable to be used.</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American did not record an income tax provision in the 2013 third quarter. For the nine months ended September 30, 2013, American recorded an income tax benefit of approximately $30 million as a result of the American Taxpayer Relief Act of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49" w:right="2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American's condensed consolidated financial statements in Part I, Item 1B for additional information.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2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c>
          <w:tcPr>
            <w:tcW w:w="3000" w:type="dxa"/>
            <w:vAlign w:val="bottom"/>
            <w:gridSpan w:val="5"/>
          </w:tcPr>
          <w:p>
            <w:pPr>
              <w:jc w:val="right"/>
              <w:ind w:right="90"/>
              <w:spacing w:after="0"/>
              <w:rPr>
                <w:sz w:val="20"/>
                <w:szCs w:val="20"/>
                <w:color w:val="auto"/>
              </w:rPr>
            </w:pPr>
            <w:r>
              <w:rPr>
                <w:rFonts w:ascii="Arial" w:cs="Arial" w:eastAsia="Arial" w:hAnsi="Arial"/>
                <w:sz w:val="18"/>
                <w:szCs w:val="18"/>
                <w:color w:val="auto"/>
                <w:w w:val="96"/>
              </w:rPr>
              <w:t>Three Months Ended September 30,</w:t>
            </w:r>
          </w:p>
        </w:tc>
        <w:tc>
          <w:tcPr>
            <w:tcW w:w="120" w:type="dxa"/>
            <w:vAlign w:val="bottom"/>
          </w:tcPr>
          <w:p>
            <w:pPr>
              <w:spacing w:after="0"/>
              <w:rPr>
                <w:sz w:val="24"/>
                <w:szCs w:val="24"/>
                <w:color w:val="auto"/>
              </w:rPr>
            </w:pPr>
          </w:p>
        </w:tc>
        <w:tc>
          <w:tcPr>
            <w:tcW w:w="1680" w:type="dxa"/>
            <w:vAlign w:val="bottom"/>
            <w:vMerge w:val="restart"/>
          </w:tcPr>
          <w:p>
            <w:pPr>
              <w:jc w:val="right"/>
              <w:ind w:right="150"/>
              <w:spacing w:after="0"/>
              <w:rPr>
                <w:sz w:val="20"/>
                <w:szCs w:val="20"/>
                <w:color w:val="auto"/>
              </w:rPr>
            </w:pPr>
            <w:r>
              <w:rPr>
                <w:rFonts w:ascii="Arial" w:cs="Arial" w:eastAsia="Arial" w:hAnsi="Arial"/>
                <w:sz w:val="18"/>
                <w:szCs w:val="18"/>
                <w:color w:val="auto"/>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5,321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5,253</w:t>
            </w:r>
          </w:p>
        </w:tc>
        <w:tc>
          <w:tcPr>
            <w:tcW w:w="18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92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766</w:t>
            </w: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8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6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633</w:t>
            </w:r>
          </w:p>
        </w:tc>
        <w:tc>
          <w:tcPr>
            <w:tcW w:w="1800" w:type="dxa"/>
            <w:vAlign w:val="bottom"/>
            <w:gridSpan w:val="2"/>
          </w:tcPr>
          <w:p>
            <w:pPr>
              <w:jc w:val="right"/>
              <w:ind w:right="13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7,055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6,816</w:t>
            </w:r>
          </w:p>
        </w:tc>
        <w:tc>
          <w:tcPr>
            <w:tcW w:w="18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revenues in the third quarter of 2014 increased $239 million, or 3.5%, from the 2013 period which was driven by strong demand for air travel. Significant changes in the components of operating revenues are as follows:</w:t>
      </w:r>
    </w:p>
    <w:p>
      <w:pPr>
        <w:spacing w:after="0" w:line="170"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Mainline passenger revenues increased $68 million, or 1.3%, in the third quarter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Cargo revenues increased $11 million, or 6.1%, in the third quarter of 2014 from the 2013 period driven primarily by an increase in transatlantic and pacific freight volumes.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revenues increased $178 million, or 28.3%, in the third quarter of 2014 from the 2013 period driven primarily by higher revenues associated with American's frequent flyer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03"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6580" w:type="dxa"/>
            <w:vAlign w:val="bottom"/>
            <w:gridSpan w:val="3"/>
          </w:tcPr>
          <w:p>
            <w:pPr>
              <w:jc w:val="center"/>
              <w:ind w:right="3800"/>
              <w:spacing w:after="0"/>
              <w:rPr>
                <w:sz w:val="20"/>
                <w:szCs w:val="20"/>
                <w:color w:val="auto"/>
              </w:rPr>
            </w:pPr>
            <w:r>
              <w:rPr>
                <w:rFonts w:ascii="Arial" w:cs="Arial" w:eastAsia="Arial" w:hAnsi="Arial"/>
                <w:sz w:val="18"/>
                <w:szCs w:val="18"/>
                <w:i w:val="1"/>
                <w:iCs w:val="1"/>
                <w:color w:val="auto"/>
                <w:w w:val="89"/>
              </w:rPr>
              <w:t>Operating Expenses</w:t>
            </w: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040" w:type="dxa"/>
            <w:vAlign w:val="bottom"/>
            <w:gridSpan w:val="5"/>
          </w:tcPr>
          <w:p>
            <w:pPr>
              <w:jc w:val="right"/>
              <w:ind w:right="130"/>
              <w:spacing w:after="0"/>
              <w:rPr>
                <w:sz w:val="20"/>
                <w:szCs w:val="20"/>
                <w:color w:val="auto"/>
              </w:rPr>
            </w:pPr>
            <w:r>
              <w:rPr>
                <w:rFonts w:ascii="Arial" w:cs="Arial" w:eastAsia="Arial" w:hAnsi="Arial"/>
                <w:sz w:val="18"/>
                <w:szCs w:val="18"/>
                <w:color w:val="auto"/>
                <w:w w:val="96"/>
              </w:rPr>
              <w:t>Three Months Ended September 30,</w:t>
            </w:r>
          </w:p>
        </w:tc>
        <w:tc>
          <w:tcPr>
            <w:tcW w:w="100" w:type="dxa"/>
            <w:vAlign w:val="bottom"/>
          </w:tcPr>
          <w:p>
            <w:pPr>
              <w:spacing w:after="0"/>
              <w:rPr>
                <w:sz w:val="24"/>
                <w:szCs w:val="24"/>
                <w:color w:val="auto"/>
              </w:rPr>
            </w:pPr>
          </w:p>
        </w:tc>
        <w:tc>
          <w:tcPr>
            <w:tcW w:w="1520" w:type="dxa"/>
            <w:vAlign w:val="bottom"/>
            <w:vMerge w:val="restart"/>
          </w:tcPr>
          <w:p>
            <w:pPr>
              <w:jc w:val="right"/>
              <w:ind w:right="90"/>
              <w:spacing w:after="0"/>
              <w:rPr>
                <w:sz w:val="20"/>
                <w:szCs w:val="20"/>
                <w:color w:val="auto"/>
              </w:rPr>
            </w:pPr>
            <w:r>
              <w:rPr>
                <w:rFonts w:ascii="Arial" w:cs="Arial" w:eastAsia="Arial" w:hAnsi="Arial"/>
                <w:sz w:val="18"/>
                <w:szCs w:val="18"/>
                <w:color w:val="auto"/>
                <w:w w:val="96"/>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1,951</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w w:val="93"/>
              </w:rPr>
              <w:t>1,412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1,379</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658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748</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6580" w:type="dxa"/>
            <w:vAlign w:val="bottom"/>
            <w:gridSpan w:val="3"/>
          </w:tcPr>
          <w:p>
            <w:pPr>
              <w:jc w:val="center"/>
              <w:ind w:right="3760"/>
              <w:spacing w:after="0"/>
              <w:rPr>
                <w:sz w:val="20"/>
                <w:szCs w:val="20"/>
                <w:color w:val="auto"/>
              </w:rPr>
            </w:pPr>
            <w:r>
              <w:rPr>
                <w:rFonts w:ascii="Arial" w:cs="Arial" w:eastAsia="Arial" w:hAnsi="Arial"/>
                <w:sz w:val="18"/>
                <w:szCs w:val="18"/>
                <w:color w:val="auto"/>
                <w:w w:val="89"/>
              </w:rPr>
              <w:t>Total mainline operating expenses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5,567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5,351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92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6580" w:type="dxa"/>
            <w:vAlign w:val="bottom"/>
            <w:gridSpan w:val="3"/>
          </w:tcPr>
          <w:p>
            <w:pPr>
              <w:jc w:val="center"/>
              <w:ind w:right="3800"/>
              <w:spacing w:after="0"/>
              <w:rPr>
                <w:sz w:val="20"/>
                <w:szCs w:val="20"/>
                <w:color w:val="auto"/>
              </w:rPr>
            </w:pPr>
            <w:r>
              <w:rPr>
                <w:rFonts w:ascii="Arial" w:cs="Arial" w:eastAsia="Arial" w:hAnsi="Arial"/>
                <w:sz w:val="18"/>
                <w:szCs w:val="18"/>
                <w:color w:val="auto"/>
                <w:w w:val="89"/>
              </w:rPr>
              <w:t>Total regional operating expenses</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779</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3"/>
            <w:shd w:val="clear" w:color="auto" w:fill="CCEEFF"/>
          </w:tcPr>
          <w:p>
            <w:pPr>
              <w:jc w:val="center"/>
              <w:ind w:right="3800"/>
              <w:spacing w:after="0"/>
              <w:rPr>
                <w:sz w:val="20"/>
                <w:szCs w:val="20"/>
                <w:color w:val="auto"/>
              </w:rPr>
            </w:pPr>
            <w:r>
              <w:rPr>
                <w:rFonts w:ascii="Arial" w:cs="Arial" w:eastAsia="Arial" w:hAnsi="Arial"/>
                <w:sz w:val="18"/>
                <w:szCs w:val="18"/>
                <w:color w:val="auto"/>
                <w:w w:val="88"/>
              </w:rPr>
              <w:t>Total operating expenses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6,357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6,130</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expenses in the third quarter of 2014 increased $227 million, or 3.7%, from the 2013 period. Significant changes in the components of mainline operating expenses are as follows:</w:t>
      </w:r>
    </w:p>
    <w:p>
      <w:pPr>
        <w:spacing w:after="0" w:line="17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Aircraft fuel and related taxes decreased 2.9% primarily due to a decrease in the average price per gallon of fuel.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Maintenance, materials and repairs increased 22.1% primarily due to an increase in the volume of engine overhauls.</w:t>
      </w:r>
    </w:p>
    <w:p>
      <w:pPr>
        <w:spacing w:after="0" w:line="63" w:lineRule="exact"/>
        <w:rPr>
          <w:rFonts w:ascii="Arial" w:cs="Arial" w:eastAsia="Arial" w:hAnsi="Arial"/>
          <w:sz w:val="18"/>
          <w:szCs w:val="18"/>
          <w:color w:val="auto"/>
        </w:rPr>
      </w:pPr>
    </w:p>
    <w:p>
      <w:pPr>
        <w:ind w:left="660" w:right="20" w:hanging="652"/>
        <w:spacing w:after="0" w:line="277" w:lineRule="auto"/>
        <w:tabs>
          <w:tab w:leader="none" w:pos="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Aircraft rent increased 9.7% primarily as a result of new leased aircraft deliveries since the end of the 2013 third quarter as American continues its fleet renewal program.</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expenses decreased 5.5% primarily as a result of lower advertising expenditures in the 2014 period.</w:t>
      </w:r>
    </w:p>
    <w:p>
      <w:pPr>
        <w:spacing w:after="0" w:line="63"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Depreciation and amortization increased 12.9% primarily as a result of new purchased aircraft deliveries since the end of the 2013 third quarter as American continues its fleet renewal program.</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regional expenses increased $11 million, or 1.5%, in the third quarter of 2014 from the 2013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513"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ind w:left="660"/>
              <w:spacing w:after="0"/>
              <w:rPr>
                <w:sz w:val="20"/>
                <w:szCs w:val="20"/>
                <w:color w:val="auto"/>
              </w:rPr>
            </w:pPr>
            <w:r>
              <w:rPr>
                <w:rFonts w:ascii="Arial" w:cs="Arial" w:eastAsia="Arial" w:hAnsi="Arial"/>
                <w:sz w:val="18"/>
                <w:szCs w:val="18"/>
                <w:i w:val="1"/>
                <w:iCs w:val="1"/>
                <w:color w:val="auto"/>
              </w:rPr>
              <w:t>Nonoperating Income (Expense)</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3080" w:type="dxa"/>
            <w:vAlign w:val="bottom"/>
            <w:gridSpan w:val="5"/>
          </w:tcPr>
          <w:p>
            <w:pPr>
              <w:jc w:val="right"/>
              <w:ind w:right="130"/>
              <w:spacing w:after="0"/>
              <w:rPr>
                <w:sz w:val="20"/>
                <w:szCs w:val="20"/>
                <w:color w:val="auto"/>
              </w:rPr>
            </w:pPr>
            <w:r>
              <w:rPr>
                <w:rFonts w:ascii="Arial" w:cs="Arial" w:eastAsia="Arial" w:hAnsi="Arial"/>
                <w:sz w:val="18"/>
                <w:szCs w:val="18"/>
                <w:color w:val="auto"/>
                <w:w w:val="97"/>
              </w:rPr>
              <w:t>Three Months Ended September 30,</w:t>
            </w:r>
          </w:p>
        </w:tc>
        <w:tc>
          <w:tcPr>
            <w:tcW w:w="100" w:type="dxa"/>
            <w:vAlign w:val="bottom"/>
          </w:tcPr>
          <w:p>
            <w:pPr>
              <w:spacing w:after="0"/>
              <w:rPr>
                <w:sz w:val="24"/>
                <w:szCs w:val="24"/>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w w:val="92"/>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nonoperating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$5 million in each of the third quarters of 2014 and 2013. American's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Interest expense, net of capitalized interest decreased $76 million, or 35.8%, in the third quarter of 2014 from the 2013 period primarily due to special charges recognized in the third quarter of 2013 as further described below, as well as refinancing activities that resulted in lower interest expense recognized in the third quarter of 2014. In the third quarter of 2013, American recognized special charges of $46 million in debt extinguishment costs incurred as a result of the repayment of certain aircraft secured indebtedness, including cash interest charges and non-cash write offs of unamortized debt issuance costs. In addition, as a result of the 2013 refinancing activities and the early extinguishment of American's 7.50% senior secured notes in the 2014 third quarter, American recognized $30 million less interest expense in the 2014 third quarter as compared to the 2013 period.</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nonoperating expense, net increased $59 million in the third quarter of 2014 from the 2013 period primarily due to a $44 million increase in foreign currency losses driven by the strengthening of the U.S. dollar in foreign currency transactions, principally in Latin American markets, as well as a $19 million increase in special charges recognized as a result of early debt extinguishment. The third quarter of 2014 included $48 million in net foreign currency losses as compared to $4 million in net foreign currency losses in the comparable 2013 period. In addition, American recognized $48 million in special charges in the 2014 third quarter primarily related to the early extinguishment of its 7.50% senior secured notes and other indebtedness as compared to $29 million in special charges recognized in the 2013 third quarter in conjunction with the repayment of certain aircraft related indebtedness.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American's condensed consolidated statement of operations for the three months ended September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00" w:type="dxa"/>
            <w:vAlign w:val="bottom"/>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7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reorganization items, net</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0"/>
        </w:trPr>
        <w:tc>
          <w:tcPr>
            <w:tcW w:w="9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0" w:lineRule="auto"/>
        <w:tabs>
          <w:tab w:leader="none" w:pos="34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13"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American's condensed consolidated financial statements in Part I, Item 1B for additional information.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Nine Months Ended September 30,</w:t>
            </w:r>
          </w:p>
        </w:tc>
        <w:tc>
          <w:tcPr>
            <w:tcW w:w="100" w:type="dxa"/>
            <w:vAlign w:val="bottom"/>
          </w:tcPr>
          <w:p>
            <w:pPr>
              <w:spacing w:after="0"/>
              <w:rPr>
                <w:sz w:val="24"/>
                <w:szCs w:val="24"/>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14,755</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2,197</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1,897</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20,676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19,338</w:t>
            </w: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revenues in the first nine months of 2014 increased $1.3 billion, or 6.9%, from the 2013 period which was driven by strong demand for air travel. Significant changes in the components of operating revenues are as follows:</w:t>
      </w:r>
    </w:p>
    <w:p>
      <w:pPr>
        <w:spacing w:after="0" w:line="170" w:lineRule="exact"/>
        <w:rPr>
          <w:sz w:val="20"/>
          <w:szCs w:val="20"/>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Mainline passenger revenues increased $824 million or 5.6%, in the first nine months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Cargo revenues increased $32 million, or 6.4%, in the first nine months of 2014 from the 2013 period driven primarily by an increase in transatlantic and pacific freight volumes.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revenues increased $477 million, or 25.2%, in the first nine months of 2014 from the 2013 period driven primarily by higher revenues associated with American's frequent flyer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503"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6560" w:type="dxa"/>
            <w:vAlign w:val="bottom"/>
            <w:gridSpan w:val="3"/>
          </w:tcPr>
          <w:p>
            <w:pPr>
              <w:jc w:val="center"/>
              <w:ind w:right="3780"/>
              <w:spacing w:after="0"/>
              <w:rPr>
                <w:sz w:val="20"/>
                <w:szCs w:val="20"/>
                <w:color w:val="auto"/>
              </w:rPr>
            </w:pPr>
            <w:r>
              <w:rPr>
                <w:rFonts w:ascii="Arial" w:cs="Arial" w:eastAsia="Arial" w:hAnsi="Arial"/>
                <w:sz w:val="18"/>
                <w:szCs w:val="18"/>
                <w:i w:val="1"/>
                <w:iCs w:val="1"/>
                <w:color w:val="auto"/>
                <w:w w:val="89"/>
              </w:rPr>
              <w:t>Operating Expenses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4"/>
          </w:tcPr>
          <w:p>
            <w:pPr>
              <w:jc w:val="right"/>
              <w:ind w:right="110"/>
              <w:spacing w:after="0"/>
              <w:rPr>
                <w:sz w:val="20"/>
                <w:szCs w:val="20"/>
                <w:color w:val="auto"/>
              </w:rPr>
            </w:pPr>
            <w:r>
              <w:rPr>
                <w:rFonts w:ascii="Arial" w:cs="Arial" w:eastAsia="Arial" w:hAnsi="Arial"/>
                <w:sz w:val="18"/>
                <w:szCs w:val="18"/>
                <w:color w:val="auto"/>
                <w:w w:val="91"/>
              </w:rPr>
              <w:t>Nine Months Ended September 30,</w:t>
            </w:r>
          </w:p>
        </w:tc>
        <w:tc>
          <w:tcPr>
            <w:tcW w:w="100" w:type="dxa"/>
            <w:vAlign w:val="bottom"/>
          </w:tcPr>
          <w:p>
            <w:pPr>
              <w:spacing w:after="0"/>
              <w:rPr>
                <w:sz w:val="24"/>
                <w:szCs w:val="24"/>
                <w:color w:val="auto"/>
              </w:rPr>
            </w:pPr>
          </w:p>
        </w:tc>
        <w:tc>
          <w:tcPr>
            <w:tcW w:w="1520" w:type="dxa"/>
            <w:vAlign w:val="bottom"/>
            <w:vMerge w:val="restart"/>
          </w:tcPr>
          <w:p>
            <w:pPr>
              <w:jc w:val="right"/>
              <w:ind w:right="70"/>
              <w:spacing w:after="0"/>
              <w:rPr>
                <w:sz w:val="20"/>
                <w:szCs w:val="20"/>
                <w:color w:val="auto"/>
              </w:rPr>
            </w:pPr>
            <w:r>
              <w:rPr>
                <w:rFonts w:ascii="Arial" w:cs="Arial" w:eastAsia="Arial" w:hAnsi="Arial"/>
                <w:sz w:val="18"/>
                <w:szCs w:val="18"/>
                <w:color w:val="auto"/>
                <w:w w:val="98"/>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5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5,764</w:t>
            </w:r>
          </w:p>
        </w:tc>
        <w:tc>
          <w:tcPr>
            <w:tcW w:w="16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4,251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3,925</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851</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2,198</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6560" w:type="dxa"/>
            <w:vAlign w:val="bottom"/>
            <w:gridSpan w:val="3"/>
          </w:tcPr>
          <w:p>
            <w:pPr>
              <w:jc w:val="center"/>
              <w:ind w:right="3740"/>
              <w:spacing w:after="0"/>
              <w:rPr>
                <w:sz w:val="20"/>
                <w:szCs w:val="20"/>
                <w:color w:val="auto"/>
              </w:rPr>
            </w:pPr>
            <w:r>
              <w:rPr>
                <w:rFonts w:ascii="Arial" w:cs="Arial" w:eastAsia="Arial" w:hAnsi="Arial"/>
                <w:sz w:val="18"/>
                <w:szCs w:val="18"/>
                <w:color w:val="auto"/>
                <w:w w:val="89"/>
              </w:rPr>
              <w:t>Total mainline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15,778</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794</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1,512</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560" w:type="dxa"/>
            <w:vAlign w:val="bottom"/>
            <w:gridSpan w:val="3"/>
          </w:tcPr>
          <w:p>
            <w:pPr>
              <w:jc w:val="center"/>
              <w:ind w:right="3780"/>
              <w:spacing w:after="0"/>
              <w:rPr>
                <w:sz w:val="20"/>
                <w:szCs w:val="20"/>
                <w:color w:val="auto"/>
              </w:rPr>
            </w:pPr>
            <w:r>
              <w:rPr>
                <w:rFonts w:ascii="Arial" w:cs="Arial" w:eastAsia="Arial" w:hAnsi="Arial"/>
                <w:sz w:val="18"/>
                <w:szCs w:val="18"/>
                <w:color w:val="auto"/>
                <w:w w:val="89"/>
              </w:rPr>
              <w:t>Total regional operating expenses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2,306</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gridSpan w:val="3"/>
            <w:shd w:val="clear" w:color="auto" w:fill="CCEEFF"/>
          </w:tcPr>
          <w:p>
            <w:pPr>
              <w:jc w:val="center"/>
              <w:ind w:right="3780"/>
              <w:spacing w:after="0"/>
              <w:rPr>
                <w:sz w:val="20"/>
                <w:szCs w:val="20"/>
                <w:color w:val="auto"/>
              </w:rPr>
            </w:pPr>
            <w:r>
              <w:rPr>
                <w:rFonts w:ascii="Arial" w:cs="Arial" w:eastAsia="Arial" w:hAnsi="Arial"/>
                <w:sz w:val="18"/>
                <w:szCs w:val="18"/>
                <w:color w:val="auto"/>
                <w:w w:val="88"/>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18,683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18,084</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expenses in the first nine months of 2014 increased $599 million, or 3.3%, from the 2013 period. Significant changes in the components of mainline operating expenses are as follows:</w:t>
      </w:r>
    </w:p>
    <w:p>
      <w:pPr>
        <w:spacing w:after="0" w:line="17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Aircraft fuel and related taxes decreased 1.8% primarily due to a decrease in the average price per gallon of fuel.</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Salaries, wages and benefits increased 8.3% primarily due to merger related labor contracts as well as increased costs from certain share-based compensation programs.</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Maintenance, materials and repairs increased 10.6% primarily due to an increase in the volume of engine overhauls.</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Aircraft rent increased 19.0% primarily as a result of new leased aircraft deliveries since the end of the 2013 third quarter as American continues its fleet renewal program.</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Depreciation and amortization increased 8.0% primarily as a result of new purchased aircraft deliveries since the end of the 2013 third quarter as American continues its fleet renewal program.</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regional expenses increased $46 million, or 2.0%, in the first nine months of 2014 from the 2013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13"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6660" w:type="dxa"/>
            <w:vAlign w:val="bottom"/>
            <w:gridSpan w:val="3"/>
          </w:tcPr>
          <w:p>
            <w:pPr>
              <w:ind w:left="660"/>
              <w:spacing w:after="0"/>
              <w:rPr>
                <w:sz w:val="20"/>
                <w:szCs w:val="20"/>
                <w:color w:val="auto"/>
              </w:rPr>
            </w:pPr>
            <w:r>
              <w:rPr>
                <w:rFonts w:ascii="Arial" w:cs="Arial" w:eastAsia="Arial" w:hAnsi="Arial"/>
                <w:sz w:val="18"/>
                <w:szCs w:val="18"/>
                <w:i w:val="1"/>
                <w:iCs w:val="1"/>
                <w:color w:val="auto"/>
              </w:rPr>
              <w:t>Nonoperating Income (Expense)</w:t>
            </w: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color w:val="auto"/>
                <w:w w:val="97"/>
              </w:rPr>
              <w:t>Nine Months Ended September 30,</w:t>
            </w:r>
          </w:p>
        </w:tc>
        <w:tc>
          <w:tcPr>
            <w:tcW w:w="100" w:type="dxa"/>
            <w:vAlign w:val="bottom"/>
          </w:tcPr>
          <w:p>
            <w:pPr>
              <w:spacing w:after="0"/>
              <w:rPr>
                <w:sz w:val="24"/>
                <w:szCs w:val="24"/>
                <w:color w:val="auto"/>
              </w:rPr>
            </w:pPr>
          </w:p>
        </w:tc>
        <w:tc>
          <w:tcPr>
            <w:tcW w:w="140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(In millions)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666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was $18 million and $14 million in the first nine months of 2014 and 2013, respectively. American's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Interest expense, net of capitalized interest decreased $84 million, or 16.0%, in the first nine months of 2014 from the 2013 period primarily due to refinancing activities that resulted in $64 million less interest expense recognized as well as a $40 million decrease in special charges recognized period-over-period as further described below. As a result of the 2013 refinancing activities and the early extinguishment of American's 7.50% senior secured notes in the 2014 third quarter, American recognized $64 million less interest expense in the 2014 nine month period as compared to the 2013 period, which was offset in part by additional interest expense on new indebtedness. In the first nine months of 2014, American recognized $29 million of special charges relating to non-cash interest accretion on bankruptcy settlement obligations. In the first nine months of 2013, American recognized special charges of $46 million in debt extinguishment costs incurred as a result of the repayment of certain aircraft secured indebtedness, including cash interest charges and non-cash write offs of unamortized debt issuance costs, and $27 million of special charges relating to post-petition interest expense on unsecured obligations pursuant to the Plan.</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nonoperating expense, net increased $13 million in the first nine months of 2014 primarily due to a $17 million increase in special charges recognized as a result of early debt extinguishment, offset in part by a $13 million decrease in foreign currency losses. American recognized $46 million in special charges in the 2014 nine month period primarily related to the early extinguishment of its 7.50% senior secured notes and other indebtedness as compared to $29 million in special charges recognized in the 2013 nine month period in conjunction with the repayment of certain aircraft related indebtedness. In addition, the 2014 nine month period included $33 million in net foreign currency losses as compared to $46 million in net foreign currency losses in the comparable 2013 period.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American's condensed consolidated statement of operations for the nine months ended September 30, 2013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9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970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r>
      <w:tr>
        <w:trPr>
          <w:trHeight w:val="20"/>
        </w:trPr>
        <w:tc>
          <w:tcPr>
            <w:tcW w:w="9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0" w:lineRule="auto"/>
        <w:tabs>
          <w:tab w:leader="none" w:pos="340"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13"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2014, AAG's total cash, short-term investments and restricted cash and short-term investments was $8.8 billion, of which $875 million was restricted. Additional detail is provided in the table below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AAG</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4"/>
          </w:tcPr>
          <w:p>
            <w:pPr>
              <w:jc w:val="right"/>
              <w:ind w:right="1010"/>
              <w:spacing w:after="0"/>
              <w:rPr>
                <w:sz w:val="20"/>
                <w:szCs w:val="20"/>
                <w:color w:val="auto"/>
              </w:rPr>
            </w:pPr>
            <w:r>
              <w:rPr>
                <w:rFonts w:ascii="Arial" w:cs="Arial" w:eastAsia="Arial" w:hAnsi="Arial"/>
                <w:sz w:val="18"/>
                <w:szCs w:val="18"/>
                <w:color w:val="auto"/>
              </w:rPr>
              <w:t>American</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c>
          <w:tcPr>
            <w:tcW w:w="14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0"/>
        </w:trPr>
        <w:tc>
          <w:tcPr>
            <w:tcW w:w="54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Total cash, short-term investments and restricted cash and short-term</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8,774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10,286</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02"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Restricted cash and investments primarily include cash collateral to secure workers’ compensation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-144145</wp:posOffset>
            </wp:positionV>
            <wp:extent cx="38074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September 30, 2014, $829 million of our cash and short-term investments balances were held in foreign bank accounts, of which approximately $721 million is held in Venezuelan bolivars. The Venezuelan bolivars are valued at the weighted average applicable exchange rate of 6.41 bolivars to the dollar. Our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our significant reduction in capacity in this market, pending further repatriation of funds and due to a decrease in demand for air travel resulting from the effective devaluation of the bolivar. Our September 30, 2014 cash balance includes approximately $94 million valued at 4.3 bolivars, approximately $580 million valued at 6.3 bolivars, and approximately $47 million valued at 12.0 bolivars, with the rate depending on the date we submitted our repatriation request to the Venezuelan government. We are continuing to work with Venezuelan authorities regarding the timing and exchange rate applicable to the repatriation of funds held in local currency. We are monitoring this situation closely and continue to evaluate our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economic and political instability and have been, and in the future may continue to be, adversely affected by numerous events, circumstances or government actions beyond our control" </w:t>
      </w:r>
      <w:r>
        <w:rPr>
          <w:rFonts w:ascii="Arial" w:cs="Arial" w:eastAsia="Arial" w:hAnsi="Arial"/>
          <w:sz w:val="17"/>
          <w:szCs w:val="17"/>
          <w:color w:val="auto"/>
        </w:rPr>
        <w:t>for additional discussion of these and other currency risks.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23, 2014, as part of a capital deployment program, our Board of Directors authorized a $1.0 billion share repurchase program to be completed no later than December 31, 2015.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us to repurchase any specific number of shares for any fixed period, and may be suspended at any time at management’s discretion. During the three and nine months ended September 30, 2014, we repurchased 2.9 million shares of AAG Common Stock for $113 million at a weighted average cost per share of $39.30.</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Also on July 23, 2014, as part of our capital deployment program, our Board of Directors declared a $0.10 per share cash dividend for shareholders of record as of August 4, 2014, payable on August 18, 2014. The total cash payment for dividends during the three and nine months ended September 30, 2014 was $72 million. Any future dividends that may be declared and paid from time to time under our capital deployment program will be subject to market and economic conditions, applicable legal requirements and other relevant factors. Our capital deployment program does not obligate us to continue a dividend for any fixed period, and payment of dividends may be suspended at any time at management’s discretion. On October 22, 2014, our Board of Directors declared a $0.10 per share dividend for stockholders of record on November 3, 2014, and payable on November 17, 2014.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operating activities was $2.3 billion and $1.9 billion for the first nine months of 2014 and 2013, respectively, a period-over-period increase of $389 million. This period-over-period improvement in cash flow generated from operating activities is principally due to increased earnings and the inclusion of US Airways Group's net cash provided by operating activities totaling $749 million for the nine months ended September 30, 2014. These increases were offset in part by higher pension contributions that were above and beyond the minimum required contributions made during the first nine months of 2014. During the nine months ended September 30, 2014 and 2013, we contributed $781 million and $88 million, respectively, to fund our defined benefit pension plans, representing a $693 million period-over-period increase in contributions.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$2.1 billion and $5.1 billion for the first nine months of 2014 and 2013, respectively.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Principal investing activities in the 2014 period included expenditures of $4.0 billion for property and equipment, consisting primarily of the purchase of newly delivered aircraft including 13 Boeing 737 family aircraft, four Boeing 777 aircraft, 23 Airbus A320 family aircraft, three Airbus A330 aircraft and eight Bombardier CRJ-900 aircraft, the purchase of aircraft previously leased including three Airbus A330 aircraft, three Boeing 777 aircraft and five Airbus A320 family aircraft, as well as pre-delivery deposits for certain aircraft on order. These cash outflows were offset in part by $1.4 billion in net sales of short-term investments, $307 million in proceeds from the sale of DCA slots and a $160 million decrease in restricted cash and short-term investments primarily due to a change in the amount of holdback held by certain credit card processors for advance ticket sales for which we had not yet provided air transportation.</w:t>
      </w:r>
    </w:p>
    <w:p>
      <w:pPr>
        <w:spacing w:after="0" w:line="1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$2.6 billion in net purchases of short-term investments and expenditures of $2.4 billion for property and equipment, consisting primarily of the purchase of 26 Boeing 737 family aircraft and seven Boeing 777 aircraft, as well as pre-delivery deposits for certain aircraft on order.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$113 million for the first nine months of 2014 as compared to net cash provided by financing activities of $3.4 billion for the first nine months of 2013.</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Principal financing activities in the 2014 period included debt repayments of $2.8 billion including the $1.0 billion prepayment of American's 7.50% senior secured notes, $175 million cash settlement of US Airways Group's 7.25% convertible notes, $113 million prepayment of outstanding debt secured by certain aircraft and $355 million prepayment of certain airport facility revenue bonds. These cash outflows were offset in part by proceeds from the issuance of debt of $2.4 billion primarily from the 5.50% senior notes, certain EETC equipment notes and other aircraft related financings, as well as $531 million of proceeds from sale-leaseback transactions related to the financing of 13 Boeing 737 family aircraft.</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from issuance of debt of $4.1 billion consisting of EETC equipment notes and a senior secured credit facility, as well as $1.5 billion of proceeds from sale-leaseback transactions related to the financing of 26 Boeing 737 family aircraft and three Boeing 777 aircraft. These proceeds were offset in part by debt repayments of $2.1 billion.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operating activities was $2.0 billion and $1.8 billion for the first nine months of 2014 and 2013, respectively, a period-over-period increase of $192 million. This period-over-period improvement in cash flow generated from operating activities is principally due to increased earnings offset in part by higher pension contributions that were above and beyond the minimum required contributions made during the first nine months of 2014. During the nine months ended September 30, 2014 and 2013, American contributed $781 million and $88 million, respectively, to fund its defined benefit pension plans, representing a $693 million period-over-period increase in contributions.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$1.2 billion and $5.1 billion for the first nine months of 2014 and 2013, respectively.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Principal investing activities in the 2014 period included expenditures of $2.7 billion for property and equipment, consisting primarily of the purchase of newly delivered aircraft including 13 Boeing 737 family aircraft, four Boeing 777 aircraft, seven Airbus A320 family aircraft and eight Bombardier CRJ-900 aircraft, the purchase of aircraft previously being leased including three Boeing 777 aircraft and five Airbus A320 family, as well as pre-delivery deposits for certain aircraft on order and $198 million of cash transferred to affiliates. These cash outflows were offset in part by $1.4 billion in net sales of short-term investments, $299 million in proceeds from the sale of DCA slots and a $50 million decrease in restricted cash and short-term investments primarily due to a change in the amount of holdback held by certain credit card processors for advance ticket sales for which we had not yet provided air transportation.</w:t>
      </w:r>
    </w:p>
    <w:p>
      <w:pPr>
        <w:spacing w:after="0" w:line="13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$2.6 billion in net purchases of short-term investments and expenditures of $2.4 billion for property and equipment, consisting primarily of the purchase of 26 Boeing 737 family aircraft and seven Boeing 777 aircraft, as well as pre-delivery deposits for certain aircraft on order.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$628 million for the first nine months of 2014 as compared to net cash provided by financing activities of $3.5 billion for the first nine months of 2013.</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Principal financing activities in the 2014 period included debt repayments of $2.2 billion including the $1.0 billion prepayment of American's 7.50% senior secured notes, $282 million prepayment of certain airport facility revenue bonds and $61 million prepayment of outstanding debt secured by certain aircraft. These cash outflows were offset in part by proceeds from the issuance of debt of $1.1 billion primarily from the issuance of certain EETC equipment notes and other aircraft related financings, as well as $531 million of proceeds from sale-leaseback transactions related to the financing of 13 Boeing 737 family aircraft.</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from the issuance of debt of $4.1 billion consisting of EETC equipment notes and a senior secured credit facility, as well as $1.5 billion of proceeds from sale-leaseback transactions related to the financing of 26 Boeing 737 family aircraft and three Boeing 777 aircraft. These proceeds were offset in part by debt repayments of $2.1 billion.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2014, AAG and American had $17.2 billion and $10.3 billion, respectively, in long-term debt and capital leases (including current maturities and before debt discount). See Note 8 to AAG's condensed consolidated financial statements in Part I, Item 1A and Note 6 to American's condensed consolidated financial statements in Part I, Item 1B for further information on all indebtedness as of September 30, 2014. Our significant indebtedness includes the following credit facilities: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 Credit Facilities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June 27, 2013, American and AAG entered into a Credit and Guaranty Agreement (as amended, the 2013 Credit Agreement) with certain lenders. The 2013 Credit Agreement provides for a $1.9 billion term loan facility (the 2013 Term Loan Facility) that is scheduled to mature on June 27, 2019, unless otherwise extended by the applicable parties. As of September 30, 2014, American had borrowed $1.9 billion under the 2013 Term Loan Facility.</w:t>
      </w:r>
    </w:p>
    <w:p>
      <w:pPr>
        <w:spacing w:after="0" w:line="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2013 Credit Agreement originally provided for a $1.0 billion revolving credit facility (the 2013 Revolving Facility and, together with the 2013 Term Loan Facility, the 2013 Credit Facilities) scheduled to mature on June 27, 2018, unless otherwise extended by the applicable parties. The 2013 Term Loan Facility is repayable in quarterly installments in an amount equal to 0.25% of the original principal amount thereof with any unpaid balance due on the maturity date of the 2013 Term Loan Facility. The 2013 Revolving Facility provided that American may from time to time borrow, repay and reborrow loans thereunder and have letters of credit issued thereunder in an aggregate amount outstanding at any time of up to $1.0 billion. On October 10, 2014, American and AAG amended the 2013 Credit Agreement to extend the maturity date of the 2013 Revolving Facility to October 10, 2019 and increase the commitments thereunder to an aggregate amount of $1.4 billion while reducing the letter of credit commitments thereunder to $300 million. As of September 30, 2014, there were no borrowings or letters of credit outstanding under the 2013 Revolving Facility.</w:t>
      </w:r>
    </w:p>
    <w:p>
      <w:pPr>
        <w:spacing w:after="0" w:line="1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2013 Credit Facilities bear interest at an index rate plus an applicable index margin or, at American's option, LIBOR (subject to a floor of 0.75%, with respect to the 2013 Term Loan Facility) plus an applicable LIBOR margin. The applicable LIBOR margin is 3.00% for borrowings under both the 2013 Term Loan Facility and the 2013 Revolving Facility.</w:t>
      </w:r>
    </w:p>
    <w:p>
      <w:pPr>
        <w:spacing w:after="0" w:line="12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consummation of the Merger, US Airways Group and US Airways joined the 2013 Credit Facilities as guarantors. Following the joinder, certain minimum dollar-thresholds under the negative and financial covenants in the 2013 Credit Facilities were automatically increased. Subject to certain limitations and exceptions, the 2013 Credit Facilities are secured by certain collateral, including certain route authorities and certain take-off and landing rights and gate leaseholds at certain airports. American is required to maintain a certain minimum ratio of appraised value of the collateral to the outstanding loans under the 2013 Credit Facilities as more fully described below in "</w:t>
      </w:r>
      <w:r>
        <w:rPr>
          <w:rFonts w:ascii="Arial" w:cs="Arial" w:eastAsia="Arial" w:hAnsi="Arial"/>
          <w:sz w:val="16"/>
          <w:szCs w:val="16"/>
          <w:i w:val="1"/>
          <w:iCs w:val="1"/>
          <w:color w:val="auto"/>
        </w:rPr>
        <w:t>Collateral Related Covenants.</w:t>
      </w:r>
      <w:r>
        <w:rPr>
          <w:rFonts w:ascii="Arial" w:cs="Arial" w:eastAsia="Arial" w:hAnsi="Arial"/>
          <w:sz w:val="16"/>
          <w:szCs w:val="16"/>
          <w:color w:val="auto"/>
        </w:rPr>
        <w:t>" The 2013 Credit Facilities contain events of default customary for similar financings, including cross default to other material indebtedness. Upon the occurrence of an event of default, the outstanding obligations under the 2013 Credit Facilities may be accelerated and become due and payable immediately. In addition, if a "change of control" (as defined in the 2013 Credit Agreement) occurs, American will, absent an amendment or waiver, be required to repay at par the loans outstanding under the 2013 Credit Facilities and terminate the 2013 Revolving Facility. The 2013 Credit Facilities also include covenants that, among other things, require AAG to maintain a minimum aggregate liquidity (as defined in the 2013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 Citicorp Credit Facility</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2013 Citicorp Credit Facility consists of $1.0 billion of tranche B-1 term loans (Tranche B-1) and $600 million of tranche B-2 term loans (Tranche B-2). Voluntary prepayments may be made at any time, with a premium of 1.00% applicable to certain prepayments made prior to the date that is six months following January 16, 2014. Mandatory prepayments of the term loans are required to the extent necessary to comply with US Airways' covenants regarding the collateral coverage ratio and certain dispositions of collateral. In addition, under the 2013 Citicorp Credit Facility agreement, if a "change of control"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defined in the 2013 Citicorp Credit Facility agreement) occurs, US Airways will (absent an amendment or waiver) be required to repay the outstanding loans in full together with accrued interest thereon to the date of such prepayment.</w:t>
      </w:r>
    </w:p>
    <w:p>
      <w:pPr>
        <w:spacing w:after="0" w:line="1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September 30, 2014,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obligations of US Airways under the 2013 Citicorp Credit Facility are secured by liens on certain route authorities, certain take-off and landing rights at certain airports, and certain other assets of US Airways. US Airways is required to maintain a certain minimum ratio of appraised value of the collateral to the outstanding loans under the 2013 Citicorp Credit Facility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 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Current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2014-1 EETCs</w:t>
      </w:r>
    </w:p>
    <w:p>
      <w:pPr>
        <w:spacing w:after="0" w:line="17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September 2014, American created two pass-through trusts which issued approximately $957 million aggregate face amount of Series 2014-1 Class A and Class B EETCs in connection with the financing of 17 aircraft recently delivered to, and owned by, American (the 2014 EETC Aircraft).</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September 30, 2014, the full $957 million of the escrowed proceeds from the 2014-1 EETCs have been used to purchase equipment notes issued by American in two series: Series A equipment notes in the amount of $742 million bearing interest at 3.70% per annum and Series B equipment notes in the amount of $215 million bearing interest at 4.375% per annum. Interest and principal payments on the equipment notes are scheduled to be made in April and October of each year, beginning in April 2015. The final payments on the Series A and Series B equipment notes will be due in October 2026 and October 2022, respectively. The equipment notes are secured by liens on the 2014 EETC Aircraft.</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2013-1 EETCs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the first nine months of 2014, US Airways issued $559 million of equipment notes in two series under its 2013-1 EETCs completed in April 2013: Series A equipment notes in the amount of $423 million bearing interest at 3.95% per annum and Series B equipment notes in the amount of $136 million bearing interest at 5.375% per annum. As of September 30, 2014, the full $820 million of the escrowed proceeds from US Airways' 2013-1 EETCs have been used to purchase Series A and Series B equipment notes issued by US Airways. The equipment notes are secured by liens on aircraft.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Aircraft Financing Transactions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we prepaid $113 million principal amount of outstanding debt secured by certain aircraft.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second and third quarters of 2014, American entered into loan agreements to borrow $141 million in connection with financing certain aircraft deliveries. The notes mature in 2026 and bear interest at a rate of LIBOR plus an applicable margin.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Senior Secured Notes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their principal amount plus accrued and unpaid interest. In July 2014, American prepaid the remaining outstanding principal balance of $900 million at a redemption price of 103.75% of outstanding principal amount plus accrued and unpaid interest. In connection with the prepayment of the outstanding 7.50% senior secured notes, during the nine months ended September 30, 2014, American paid $37 million of cash premiums and recorded a $5 million non-cash write off of unamortized deferred issuance costs.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Obligations Associated with Special Facility Revenue Bonds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nine months of 2014, we prepaid $312 million of obligations, of which $135 million was reflected as debt on our balance sheet, associated with special facility revenue bonds issued by municipalities to build or improve certain airport and maintenance facilities. The off-balance sheet portion of these obligations was accounted for as an operating lease.</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August 2014, American elected to exercise its option to reset the interest rate on approximately $220 million aggregate principal amount of special facility revenue bonds reflected as debt on its balance sheet, related to the Los Angeles International Airport, resulting in the repurchase of these bonds by American in September 2014. American has the option to remarket these bonds in the future. In connection with the repurchase of these bonds, American paid $2 million in cash premiums and recorded a $5 million non-cash write off of unamortized debt discount and issuance costs.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5.50% Senior Notes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2014, we issued $750 million aggregate principal amount of 5.50% Senior Notes due 2019 (the 5.50% senior notes), the net proceeds of which will be used for general corporate purposes. These notes bear interest at a rate of 5.50% per annum, which is payable semi-annually in arrears on each April 1 and October 1, beginning April 1, 2015. The 5.50% senior notes mature on October 1, 2019 and are fully and unconditionally guaranteed by American, US Airways Group and US Airways. The 5.50% senior notes are senior unsecured obligations of AAG. In addition, if we experience specific kinds of changes of control, we must offer to repurchase the 5.50% senior notes at a price of 101% of the principal amount plus accrued and unpaid interest, if any, to the repurchase date. The indenture for the 5.50% senior notes contains covenants and events of default generally customary for similar financings. Upon the occurrence of certain events of default, the 5.50% senior notes may be accelerated and become due and payable.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7.25% Convertible Notes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we notified the holders of US Airways Group's 7.25% convertible notes that we had elected to settle solely in cash instead of shares of AAG Common Stock all conversions during the period beginning on March 15, 2014 and ending on, and including, the second scheduled trading day immediately preceding the maturity date of May 15, 2014. In May 2014, we settled all outstanding 7.25% convertible notes in cash for approximately $175 million.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 Credit Facilities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10, 2014, American and AAG entered into a Credit and Guaranty Agreement (the 2014 Credit Agreement), with certain lenders. The 2014 Credit Agreement provides for a $750 million term loan facility (the 2014 Term Loan Facility), which was fully drawn on October 10, 2014, and a $400 million revolving credit facility (the 2014 Revolving Facility and, together with the 2014 Term Loan Facility, the 2014 Credit Facilities). The 2014 Revolving Facility provides that American may from time to time borrow, repay and reborrow loans thereunder. American may have letters of credit issued under the 2014 Revolving Facility in an aggregate amount outstanding at any time up to $300 million. There are currently no borrowings or letters of credit outstanding under the 2014 Revolving Facility.</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Subject to certain limitations and exceptions, the 2014 Credit Facilities are secured by certain collateral, including certain route authorities and certain take-off and landing rights and gate leaseholds at certain airports. The obligations of American under the 2014 Credit Facilities are guaranteed by AAG, US Airways Group and US Airways. American is required to maintain a certain minimum ratio of appraised value of the collateral to the outstanding loans under the 2014 Credit Facilities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 Mandatory prepayments at par of term loans and revolving loans may be required to the extent necessary to comply with American's covenants regarding the collateral coverage ratio.</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2014 Term Loan Facility and 2014 Revolving Facility mature on October 10, 2021 and October 10, 2019, respectively, unless otherwise extended by the applicable parties. The 2014 Term Loan Facility is repayable in annual installments in an amount equal to 1.00% of the original principal balance with any unpaid balance due on the maturity date of the 2014 Term Loan Facility. Voluntary prepayments may be made by American at any time, with a premium of 1.00% applicable to certain prepayments made prior to the date that is six months following October 10, 2014. In addition, if a “change of control” (as defined in the 2014 Credit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occurs with respect to AAG, American will, absent an amendment or waiver, be required to repay at par the loans outstanding under the 2014 Credit Facilities and terminate the 2014 Revolving Facility.</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2014 Credit Facilities bear interest at an index rate plus an applicable index margin or, at American's option, LIBOR (subject to a floor of 0.75% in the case of the 2014 Term Loan Facility) plus an applicable LIBOR margin. The applicable LIBOR margins are 3.50% and 3.00% for borrowings under the 2014 Term Loan Facility and the 2014 Revolving Facility, respectively. If American has a corporate credit rating of Ba3 or higher from Moody’s and BB- or higher from S&amp;P, the applicable LIBOR margin is 3.25% under the 2014 Term Loan Facility.</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2014 Credit Facilities contain events of default customary for similar financings, including cross default to other material indebtedness. Upon the occurrence of an event of default, the outstanding obligations under the 2014 Credit Facilities may be accelerated and become due and payable immediately. The 2014 Credit Facilities also include covenants that, among other things, require AAG to maintain a minimum aggregate liquidity (as defined in the 2014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Guarantees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our debt financing agreements contain loan to value ratio covenants and require us to periodically appraise the collateral. Pursuant to such agreements, if the loan to value ratio exceeds a specified threshold, we are required, as applicable, to pledge additional qualifying collateral (which in some cases may include cash collateral), or pay down such financing, in whole or in part, with premium (if any), or pay additional interest on the related indebtedness, as described below. Specifically, American is required to meet collateral coverage tests on a periodic basis on the 2013 Credit Facilities and the 2014 Credit Facilities, and US Airways is required to meet such tests on the 2013 Citicorp Credit Facility. We were in compliance with the collateral coverage tests for the 2013 Credit Facilities and the 2013 Citicorp Credit Facility as of the most recent measurement dates (no measurement date has occurred yet for the 2014 Credit Facilities).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credit ratings as of September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S&amp;P Local Issuer</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Fitch Issuer Default</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Moody's Corporate</w:t>
            </w:r>
          </w:p>
        </w:tc>
      </w:tr>
      <w:tr>
        <w:trPr>
          <w:trHeight w:val="206"/>
        </w:trPr>
        <w:tc>
          <w:tcPr>
            <w:tcW w:w="618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Rating</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Credit Rating</w:t>
            </w:r>
          </w:p>
        </w:tc>
        <w:tc>
          <w:tcPr>
            <w:tcW w:w="1620" w:type="dxa"/>
            <w:vAlign w:val="bottom"/>
          </w:tcPr>
          <w:p>
            <w:pPr>
              <w:jc w:val="center"/>
              <w:spacing w:after="0"/>
              <w:rPr>
                <w:sz w:val="20"/>
                <w:szCs w:val="20"/>
                <w:color w:val="auto"/>
              </w:rPr>
            </w:pPr>
            <w:r>
              <w:rPr>
                <w:rFonts w:ascii="Arial" w:cs="Arial" w:eastAsia="Arial" w:hAnsi="Arial"/>
                <w:sz w:val="16"/>
                <w:szCs w:val="16"/>
                <w:color w:val="auto"/>
                <w:w w:val="96"/>
              </w:rPr>
              <w:t>Family Rating</w:t>
            </w:r>
          </w:p>
        </w:tc>
      </w:tr>
      <w:tr>
        <w:trPr>
          <w:trHeight w:val="33"/>
        </w:trPr>
        <w:tc>
          <w:tcPr>
            <w:tcW w:w="61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American Airlines Group</w:t>
            </w: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B</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B+</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B1</w:t>
            </w: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American Airlines</w:t>
            </w: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rPr>
              <w:t>B</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B+</w:t>
            </w:r>
          </w:p>
        </w:tc>
        <w:tc>
          <w:tcPr>
            <w:tcW w:w="1620" w:type="dxa"/>
            <w:vAlign w:val="bottom"/>
          </w:tcPr>
          <w:p>
            <w:pPr>
              <w:jc w:val="right"/>
              <w:ind w:right="699"/>
              <w:spacing w:after="0"/>
              <w:rPr>
                <w:sz w:val="20"/>
                <w:szCs w:val="20"/>
                <w:color w:val="auto"/>
              </w:rPr>
            </w:pPr>
            <w:r>
              <w:rPr>
                <w:rFonts w:ascii="Arial" w:cs="Arial" w:eastAsia="Arial" w:hAnsi="Arial"/>
                <w:sz w:val="16"/>
                <w:szCs w:val="16"/>
                <w:color w:val="auto"/>
              </w:rPr>
              <w:t>*</w:t>
            </w:r>
          </w:p>
        </w:tc>
      </w:tr>
      <w:tr>
        <w:trPr>
          <w:trHeight w:val="249"/>
        </w:trPr>
        <w:tc>
          <w:tcPr>
            <w:tcW w:w="6180" w:type="dxa"/>
            <w:vAlign w:val="bottom"/>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2014, we have definitive purchase agreements with Airbus, Boeing and other manufacturers for the acquisition of the following mainline and regional aircraft: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Remainder of</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2019 and</w:t>
            </w:r>
          </w:p>
        </w:tc>
        <w:tc>
          <w:tcPr>
            <w:tcW w:w="110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Thereafter</w:t>
            </w: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3020" w:type="dxa"/>
            <w:vAlign w:val="bottom"/>
            <w:gridSpan w:val="5"/>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Airbus</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14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r>
      <w:tr>
        <w:trPr>
          <w:trHeight w:val="237"/>
        </w:trPr>
        <w:tc>
          <w:tcPr>
            <w:tcW w:w="40" w:type="dxa"/>
            <w:vAlign w:val="bottom"/>
          </w:tcPr>
          <w:p>
            <w:pPr>
              <w:spacing w:after="0"/>
              <w:rPr>
                <w:sz w:val="20"/>
                <w:szCs w:val="20"/>
                <w:color w:val="auto"/>
              </w:rPr>
            </w:pPr>
          </w:p>
        </w:tc>
        <w:tc>
          <w:tcPr>
            <w:tcW w:w="2980" w:type="dxa"/>
            <w:vAlign w:val="bottom"/>
            <w:gridSpan w:val="4"/>
          </w:tcPr>
          <w:p>
            <w:pPr>
              <w:ind w:left="240"/>
              <w:spacing w:after="0"/>
              <w:rPr>
                <w:sz w:val="20"/>
                <w:szCs w:val="20"/>
                <w:color w:val="auto"/>
              </w:rPr>
            </w:pPr>
            <w:r>
              <w:rPr>
                <w:rFonts w:ascii="Arial" w:cs="Arial" w:eastAsia="Arial" w:hAnsi="Arial"/>
                <w:sz w:val="16"/>
                <w:szCs w:val="16"/>
                <w:color w:val="auto"/>
              </w:rPr>
              <w:t>A320 Family</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A320 Neo</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40" w:type="dxa"/>
            <w:vAlign w:val="bottom"/>
          </w:tcPr>
          <w:p>
            <w:pPr>
              <w:spacing w:after="0"/>
              <w:rPr>
                <w:sz w:val="20"/>
                <w:szCs w:val="20"/>
                <w:color w:val="auto"/>
              </w:rPr>
            </w:pPr>
          </w:p>
        </w:tc>
        <w:tc>
          <w:tcPr>
            <w:tcW w:w="2980" w:type="dxa"/>
            <w:vAlign w:val="bottom"/>
            <w:gridSpan w:val="4"/>
          </w:tcPr>
          <w:p>
            <w:pPr>
              <w:ind w:left="240"/>
              <w:spacing w:after="0"/>
              <w:rPr>
                <w:sz w:val="20"/>
                <w:szCs w:val="20"/>
                <w:color w:val="auto"/>
              </w:rPr>
            </w:pPr>
            <w:r>
              <w:rPr>
                <w:rFonts w:ascii="Arial" w:cs="Arial" w:eastAsia="Arial" w:hAnsi="Arial"/>
                <w:sz w:val="16"/>
                <w:szCs w:val="16"/>
                <w:color w:val="auto"/>
              </w:rPr>
              <w:t>A350 XWB</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302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Boeing</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14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r>
      <w:tr>
        <w:trPr>
          <w:trHeight w:val="237"/>
        </w:trPr>
        <w:tc>
          <w:tcPr>
            <w:tcW w:w="40" w:type="dxa"/>
            <w:vAlign w:val="bottom"/>
          </w:tcPr>
          <w:p>
            <w:pPr>
              <w:spacing w:after="0"/>
              <w:rPr>
                <w:sz w:val="20"/>
                <w:szCs w:val="20"/>
                <w:color w:val="auto"/>
              </w:rPr>
            </w:pPr>
          </w:p>
        </w:tc>
        <w:tc>
          <w:tcPr>
            <w:tcW w:w="2980" w:type="dxa"/>
            <w:vAlign w:val="bottom"/>
            <w:gridSpan w:val="4"/>
          </w:tcPr>
          <w:p>
            <w:pPr>
              <w:ind w:left="240"/>
              <w:spacing w:after="0"/>
              <w:rPr>
                <w:sz w:val="20"/>
                <w:szCs w:val="20"/>
                <w:color w:val="auto"/>
              </w:rPr>
            </w:pPr>
            <w:r>
              <w:rPr>
                <w:rFonts w:ascii="Arial" w:cs="Arial" w:eastAsia="Arial" w:hAnsi="Arial"/>
                <w:sz w:val="16"/>
                <w:szCs w:val="16"/>
                <w:color w:val="auto"/>
              </w:rPr>
              <w:t>737 Family</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737 MAX</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40" w:type="dxa"/>
            <w:vAlign w:val="bottom"/>
          </w:tcPr>
          <w:p>
            <w:pPr>
              <w:spacing w:after="0"/>
              <w:rPr>
                <w:sz w:val="20"/>
                <w:szCs w:val="20"/>
                <w:color w:val="auto"/>
              </w:rPr>
            </w:pPr>
          </w:p>
        </w:tc>
        <w:tc>
          <w:tcPr>
            <w:tcW w:w="2980" w:type="dxa"/>
            <w:vAlign w:val="bottom"/>
            <w:gridSpan w:val="4"/>
          </w:tcPr>
          <w:p>
            <w:pPr>
              <w:ind w:left="240"/>
              <w:spacing w:after="0"/>
              <w:rPr>
                <w:sz w:val="20"/>
                <w:szCs w:val="20"/>
                <w:color w:val="auto"/>
              </w:rPr>
            </w:pPr>
            <w:r>
              <w:rPr>
                <w:rFonts w:ascii="Arial" w:cs="Arial" w:eastAsia="Arial" w:hAnsi="Arial"/>
                <w:sz w:val="16"/>
                <w:szCs w:val="16"/>
                <w:color w:val="auto"/>
              </w:rPr>
              <w:t>777-300 ER</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787 Family</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189"/>
        </w:trPr>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rPr>
              <w:t>Bombardier</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2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29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 xml:space="preserve">CRJ900 </w:t>
            </w:r>
            <w:r>
              <w:rPr>
                <w:rFonts w:ascii="Arial" w:cs="Arial" w:eastAsia="Arial" w:hAnsi="Arial"/>
                <w:sz w:val="21"/>
                <w:szCs w:val="21"/>
                <w:color w:val="auto"/>
                <w:vertAlign w:val="superscript"/>
              </w:rPr>
              <w:t>(1)</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189"/>
        </w:trPr>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rPr>
              <w:t>Embraer</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298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 xml:space="preserve">ERJ175 </w:t>
            </w:r>
            <w:r>
              <w:rPr>
                <w:rFonts w:ascii="Arial" w:cs="Arial" w:eastAsia="Arial" w:hAnsi="Arial"/>
                <w:sz w:val="21"/>
                <w:szCs w:val="2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17"/>
        </w:trPr>
        <w:tc>
          <w:tcPr>
            <w:tcW w:w="3020" w:type="dxa"/>
            <w:vAlign w:val="bottom"/>
            <w:gridSpan w:val="5"/>
          </w:tcPr>
          <w:p>
            <w:pPr>
              <w:ind w:left="40"/>
              <w:spacing w:after="0"/>
              <w:rPr>
                <w:sz w:val="20"/>
                <w:szCs w:val="20"/>
                <w:color w:val="auto"/>
              </w:rPr>
            </w:pPr>
            <w:r>
              <w:rPr>
                <w:rFonts w:ascii="Arial" w:cs="Arial" w:eastAsia="Arial" w:hAnsi="Arial"/>
                <w:sz w:val="16"/>
                <w:szCs w:val="16"/>
                <w:b w:val="1"/>
                <w:bCs w:val="1"/>
                <w:color w:val="auto"/>
              </w:rPr>
              <w:t>Total</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w:t>
            </w:r>
          </w:p>
        </w:tc>
      </w:tr>
    </w:tbl>
    <w:p>
      <w:pPr>
        <w:spacing w:after="0" w:line="181" w:lineRule="exact"/>
        <w:rPr>
          <w:sz w:val="20"/>
          <w:szCs w:val="20"/>
          <w:color w:val="auto"/>
        </w:rPr>
      </w:pPr>
    </w:p>
    <w:p>
      <w:pPr>
        <w:ind w:left="540" w:hanging="532"/>
        <w:spacing w:after="0" w:line="216" w:lineRule="auto"/>
        <w:tabs>
          <w:tab w:leader="none" w:pos="216"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have agreements for 48 spare engines to be delivered in 2014 and beyond. Under all of our aircraft and engine purchase agreements, our total future commitments as of September 30, 2014 are expected to be as follows (approximately,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160" w:type="dxa"/>
            <w:vAlign w:val="bottom"/>
            <w:gridSpan w:val="3"/>
          </w:tcPr>
          <w:p>
            <w:pPr>
              <w:ind w:left="80"/>
              <w:spacing w:after="0"/>
              <w:rPr>
                <w:sz w:val="20"/>
                <w:szCs w:val="20"/>
                <w:color w:val="auto"/>
              </w:rPr>
            </w:pPr>
            <w:r>
              <w:rPr>
                <w:rFonts w:ascii="Arial" w:cs="Arial" w:eastAsia="Arial" w:hAnsi="Arial"/>
                <w:sz w:val="16"/>
                <w:szCs w:val="16"/>
                <w:color w:val="auto"/>
              </w:rPr>
              <w:t>Remainder of</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2019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3"/>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3"/>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Thereafter</w:t>
            </w:r>
          </w:p>
        </w:tc>
        <w:tc>
          <w:tcPr>
            <w:tcW w:w="220" w:type="dxa"/>
            <w:vAlign w:val="bottom"/>
          </w:tcPr>
          <w:p>
            <w:pPr>
              <w:spacing w:after="0"/>
              <w:rPr>
                <w:sz w:val="17"/>
                <w:szCs w:val="17"/>
                <w:color w:val="auto"/>
              </w:rPr>
            </w:pPr>
          </w:p>
        </w:tc>
        <w:tc>
          <w:tcPr>
            <w:tcW w:w="800" w:type="dxa"/>
            <w:vAlign w:val="bottom"/>
          </w:tcPr>
          <w:p>
            <w:pPr>
              <w:jc w:val="right"/>
              <w:ind w:right="253"/>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American aircraft commitments</w:t>
            </w:r>
          </w:p>
        </w:tc>
        <w:tc>
          <w:tcPr>
            <w:tcW w:w="2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955</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4,086</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3,632</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10,938</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27,059</w:t>
            </w:r>
          </w:p>
        </w:tc>
        <w:tc>
          <w:tcPr>
            <w:tcW w:w="0" w:type="dxa"/>
            <w:vAlign w:val="bottom"/>
          </w:tcPr>
          <w:p>
            <w:pPr>
              <w:spacing w:after="0"/>
              <w:rPr>
                <w:sz w:val="1"/>
                <w:szCs w:val="1"/>
                <w:color w:val="auto"/>
              </w:rPr>
            </w:pPr>
          </w:p>
        </w:tc>
      </w:tr>
      <w:tr>
        <w:trPr>
          <w:trHeight w:val="239"/>
        </w:trPr>
        <w:tc>
          <w:tcPr>
            <w:tcW w:w="342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and certain engines </w:t>
            </w:r>
            <w:r>
              <w:rPr>
                <w:rFonts w:ascii="Arial" w:cs="Arial" w:eastAsia="Arial" w:hAnsi="Arial"/>
                <w:sz w:val="21"/>
                <w:szCs w:val="21"/>
                <w:color w:val="auto"/>
                <w:vertAlign w:val="superscript"/>
              </w:rPr>
              <w:t>(1)</w:t>
            </w: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420" w:type="dxa"/>
            <w:vAlign w:val="bottom"/>
          </w:tcPr>
          <w:p>
            <w:pPr>
              <w:ind w:left="40"/>
              <w:spacing w:after="0"/>
              <w:rPr>
                <w:sz w:val="20"/>
                <w:szCs w:val="20"/>
                <w:color w:val="auto"/>
              </w:rPr>
            </w:pPr>
            <w:r>
              <w:rPr>
                <w:rFonts w:ascii="Arial" w:cs="Arial" w:eastAsia="Arial" w:hAnsi="Arial"/>
                <w:sz w:val="16"/>
                <w:szCs w:val="16"/>
                <w:color w:val="auto"/>
              </w:rPr>
              <w:t>Payments for US Airways aircraft commitments</w:t>
            </w:r>
          </w:p>
        </w:tc>
        <w:tc>
          <w:tcPr>
            <w:tcW w:w="240" w:type="dxa"/>
            <w:vAlign w:val="bottom"/>
            <w:vMerge w:val="restart"/>
          </w:tcPr>
          <w:p>
            <w:pPr>
              <w:jc w:val="right"/>
              <w:ind w:right="53"/>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ind w:right="13"/>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3"/>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33"/>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13"/>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12"/>
        </w:trPr>
        <w:tc>
          <w:tcPr>
            <w:tcW w:w="3420" w:type="dxa"/>
            <w:vAlign w:val="bottom"/>
          </w:tcPr>
          <w:p>
            <w:pPr>
              <w:ind w:left="40"/>
              <w:spacing w:after="0"/>
              <w:rPr>
                <w:sz w:val="20"/>
                <w:szCs w:val="20"/>
                <w:color w:val="auto"/>
              </w:rPr>
            </w:pPr>
            <w:r>
              <w:rPr>
                <w:rFonts w:ascii="Arial" w:cs="Arial" w:eastAsia="Arial" w:hAnsi="Arial"/>
                <w:sz w:val="16"/>
                <w:szCs w:val="16"/>
                <w:color w:val="auto"/>
              </w:rPr>
              <w:t>and certain engines</w:t>
            </w: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27" w:lineRule="auto"/>
        <w:tabs>
          <w:tab w:leader="none" w:pos="340" w:val="left"/>
        </w:tabs>
        <w:numPr>
          <w:ilvl w:val="0"/>
          <w:numId w:val="56"/>
        </w:numPr>
        <w:rPr>
          <w:rFonts w:ascii="Arial" w:cs="Arial" w:eastAsia="Arial" w:hAnsi="Arial"/>
          <w:sz w:val="24"/>
          <w:szCs w:val="24"/>
          <w:color w:val="auto"/>
          <w:vertAlign w:val="superscript"/>
        </w:rPr>
      </w:pPr>
      <w:r>
        <w:rPr>
          <w:rFonts w:ascii="Arial" w:cs="Arial" w:eastAsia="Arial" w:hAnsi="Arial"/>
          <w:sz w:val="17"/>
          <w:szCs w:val="17"/>
          <w:color w:val="auto"/>
        </w:rPr>
        <w:t>These amounts are net of purchase deposits currently held by the manufacturers and include all commitments for regional aircraft. American has granted Boeing a security interest in its purchase deposits with Boeing. Our purchase deposits totaled $1.2 billion as of September 30, 2014.</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we exercised our option to purchase and terminated our existing lease financing arrangements with respect to 62 Airbus A320 family aircraft scheduled to be delivered between the first quarter of 2015 and the third quarter of 2017. In connection with our exercise of such option, we also exercised our right to convert firm orders for 30 Airbus A320 family NEO aircraft, scheduled to be delivered in 2021 and 2022, to options to acquire such aircraft. The table above reflects these changes.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financing commitments for the following aircraft currently on order and scheduled to be delivered through 2016: 65 Airbus 320 family aircraft, 10 Boeing 737 family aircraft, 6 Boeing 777-300ER aircraft and 26 Boeing 787 family aircraft. In addition, we have financing commitments in place for only a small number of aircraft currently on order and scheduled to be delivered in 2017 and beyond. See Part II, Item 1A -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will need to obtain sufficient financing or other capital to operate successfully</w:t>
      </w:r>
      <w:r>
        <w:rPr>
          <w:rFonts w:ascii="Arial" w:cs="Arial" w:eastAsia="Arial" w:hAnsi="Arial"/>
          <w:sz w:val="18"/>
          <w:szCs w:val="18"/>
          <w:color w:val="auto"/>
        </w:rPr>
        <w: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Credit Card Processing and Other Reserves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Employee Retirement Income Security Act of 1974 (ERISA), the Pension Funding Equity Act of 2004, the Pension Protection Act of 2006, the Pension Relief Act of 2010 and the Moving Ahead for Progress in the 21st Century Act of 2012. In the first nine months of 2014, we have made our aggregate minimum required contributions for 2014 of $168 million, and have made $613 million in supplemental contributions to our pension plans, above and beyond the $168 million of minimum required contributions.</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Currently, our minimum funding obligation for our pension plans is subject to temporary favorable rules that are scheduled to expire at the end of 2017. Upon expiration of these rules, our funding obligations are likely to increase materially. The amount of these obligations will depend on the performance of our investments held in trust by the pension plans, interest rates for determining liabilities and our actuarial experience.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2014, we reached three tentative agreements with the International Association of Machinists (IAM) covering 11,000 US Airways mechanics, fleet service agents and maintenance training specialists. In July 2014, these three-year agreements that amend pre-merger contracts were ratified by IAM and will remain in effect until a joint collective bargaining agreement can be reached with their colleagues at the Transport Workers Union (TWU) to cover more than 30,000 employees at the new American Airlines.</w:t>
      </w:r>
    </w:p>
    <w:p>
      <w:pPr>
        <w:spacing w:after="0" w:line="13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September 2014, we reached a tentative agreement with the Association of Professional Flight Attendants (APFA) on a joint collective bargaining agreement covering more than 24,000 flight attendants. This tentative agreement is subject to ratification by the APFA membership.</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off-balance sheet arrangements as set forth in our 2013 AAG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AAG Contractual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future cash contractual obligations as of September 30,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5"/>
          </w:tcPr>
          <w:p>
            <w:pPr>
              <w:ind w:left="20"/>
              <w:spacing w:after="0"/>
              <w:rPr>
                <w:sz w:val="20"/>
                <w:szCs w:val="20"/>
                <w:color w:val="auto"/>
              </w:rPr>
            </w:pPr>
            <w:r>
              <w:rPr>
                <w:rFonts w:ascii="Arial" w:cs="Arial" w:eastAsia="Arial" w:hAnsi="Arial"/>
                <w:sz w:val="16"/>
                <w:szCs w:val="16"/>
                <w:color w:val="auto"/>
              </w:rPr>
              <w:t>Payments due by Period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3"/>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6"/>
                <w:szCs w:val="16"/>
                <w:color w:val="auto"/>
              </w:rPr>
              <w:t>Remainder of</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2019 and</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6"/>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Thereafter</w:t>
            </w:r>
          </w:p>
        </w:tc>
        <w:tc>
          <w:tcPr>
            <w:tcW w:w="220" w:type="dxa"/>
            <w:vAlign w:val="bottom"/>
          </w:tcPr>
          <w:p>
            <w:pPr>
              <w:spacing w:after="0"/>
              <w:rPr>
                <w:sz w:val="17"/>
                <w:szCs w:val="17"/>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Total</w:t>
            </w: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American Airlines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 xml:space="preserve">Debt and capital lease obligations </w:t>
            </w:r>
            <w:r>
              <w:rPr>
                <w:rFonts w:ascii="Arial" w:cs="Arial" w:eastAsia="Arial" w:hAnsi="Arial"/>
                <w:sz w:val="21"/>
                <w:szCs w:val="21"/>
                <w:color w:val="auto"/>
                <w:vertAlign w:val="superscript"/>
              </w:rPr>
              <w:t>(1), (3)</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6,523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10,227</w:t>
            </w: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3,097</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 xml:space="preserve">Commitments for aircraft and engine purchases </w:t>
            </w:r>
            <w:r>
              <w:rPr>
                <w:rFonts w:ascii="Arial" w:cs="Arial" w:eastAsia="Arial" w:hAnsi="Arial"/>
                <w:sz w:val="21"/>
                <w:szCs w:val="21"/>
                <w:color w:val="auto"/>
                <w:vertAlign w:val="superscript"/>
              </w:rPr>
              <w:t>(4)</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3,632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27,059</w:t>
            </w: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Operating lease commitments </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11,240</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1"/>
                <w:szCs w:val="21"/>
                <w:color w:val="auto"/>
                <w:vertAlign w:val="superscript"/>
              </w:rPr>
              <w:t>(6)</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6,583</w:t>
            </w:r>
          </w:p>
        </w:tc>
      </w:tr>
      <w:tr>
        <w:trPr>
          <w:trHeight w:val="22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Minimum pension contribution and other purchase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9"/>
        </w:trPr>
        <w:tc>
          <w:tcPr>
            <w:tcW w:w="40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obligations </w:t>
            </w:r>
            <w:r>
              <w:rPr>
                <w:rFonts w:ascii="Arial" w:cs="Arial" w:eastAsia="Arial" w:hAnsi="Arial"/>
                <w:sz w:val="21"/>
                <w:szCs w:val="21"/>
                <w:color w:val="auto"/>
                <w:vertAlign w:val="superscript"/>
              </w:rPr>
              <w:t>(7)</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3,542</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4,803</w:t>
            </w:r>
          </w:p>
        </w:tc>
      </w:tr>
      <w:tr>
        <w:trPr>
          <w:trHeight w:val="217"/>
        </w:trPr>
        <w:tc>
          <w:tcPr>
            <w:tcW w:w="4000" w:type="dxa"/>
            <w:vAlign w:val="bottom"/>
            <w:gridSpan w:val="2"/>
          </w:tcPr>
          <w:p>
            <w:pPr>
              <w:ind w:left="500"/>
              <w:spacing w:after="0"/>
              <w:rPr>
                <w:sz w:val="20"/>
                <w:szCs w:val="20"/>
                <w:color w:val="auto"/>
              </w:rPr>
            </w:pPr>
            <w:r>
              <w:rPr>
                <w:rFonts w:ascii="Arial" w:cs="Arial" w:eastAsia="Arial" w:hAnsi="Arial"/>
                <w:sz w:val="16"/>
                <w:szCs w:val="16"/>
                <w:color w:val="auto"/>
              </w:rPr>
              <w:t>Total AA Contractual Obligations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2,287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8,038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7,471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7,009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6,701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31,503</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63,009</w:t>
            </w:r>
          </w:p>
        </w:tc>
      </w:tr>
      <w:tr>
        <w:trPr>
          <w:trHeight w:val="33"/>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318"/>
        </w:trPr>
        <w:tc>
          <w:tcPr>
            <w:tcW w:w="3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20"/>
        </w:trPr>
        <w:tc>
          <w:tcPr>
            <w:tcW w:w="4000" w:type="dxa"/>
            <w:vAlign w:val="bottom"/>
            <w:gridSpan w:val="2"/>
          </w:tcPr>
          <w:p>
            <w:pPr>
              <w:ind w:left="40"/>
              <w:spacing w:after="0"/>
              <w:rPr>
                <w:sz w:val="20"/>
                <w:szCs w:val="20"/>
                <w:color w:val="auto"/>
              </w:rPr>
            </w:pPr>
            <w:r>
              <w:rPr>
                <w:rFonts w:ascii="Arial" w:cs="Arial" w:eastAsia="Arial" w:hAnsi="Arial"/>
                <w:sz w:val="16"/>
                <w:szCs w:val="16"/>
                <w:i w:val="1"/>
                <w:iCs w:val="1"/>
                <w:color w:val="auto"/>
              </w:rPr>
              <w:t>AAG Parent, US Airways Group and Other AAG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4000" w:type="dxa"/>
            <w:vAlign w:val="bottom"/>
            <w:gridSpan w:val="2"/>
          </w:tcPr>
          <w:p>
            <w:pPr>
              <w:ind w:left="40"/>
              <w:spacing w:after="0"/>
              <w:rPr>
                <w:sz w:val="20"/>
                <w:szCs w:val="20"/>
                <w:color w:val="auto"/>
              </w:rPr>
            </w:pPr>
            <w:r>
              <w:rPr>
                <w:rFonts w:ascii="Arial" w:cs="Arial" w:eastAsia="Arial" w:hAnsi="Arial"/>
                <w:sz w:val="16"/>
                <w:szCs w:val="16"/>
                <w:i w:val="1"/>
                <w:iCs w:val="1"/>
                <w:color w:val="auto"/>
              </w:rPr>
              <w:t>subsidiaries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33"/>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Debt and capital lease obligations </w:t>
            </w:r>
            <w:r>
              <w:rPr>
                <w:rFonts w:ascii="Arial" w:cs="Arial" w:eastAsia="Arial" w:hAnsi="Arial"/>
                <w:sz w:val="21"/>
                <w:szCs w:val="21"/>
                <w:color w:val="auto"/>
                <w:vertAlign w:val="superscript"/>
              </w:rPr>
              <w:t>(1), (3)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6,923</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1,712</w:t>
            </w: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Commitments for aircraft and engine purchases </w:t>
            </w:r>
            <w:r>
              <w:rPr>
                <w:rFonts w:ascii="Arial" w:cs="Arial" w:eastAsia="Arial" w:hAnsi="Arial"/>
                <w:sz w:val="21"/>
                <w:szCs w:val="21"/>
                <w:color w:val="auto"/>
                <w:vertAlign w:val="superscript"/>
              </w:rPr>
              <w:t>(4)</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3,146</w:t>
            </w:r>
          </w:p>
        </w:tc>
      </w:tr>
      <w:tr>
        <w:trPr>
          <w:trHeight w:val="270"/>
        </w:trPr>
        <w:tc>
          <w:tcPr>
            <w:tcW w:w="4000" w:type="dxa"/>
            <w:vAlign w:val="bottom"/>
            <w:gridSpan w:val="2"/>
          </w:tcPr>
          <w:p>
            <w:pPr>
              <w:ind w:left="280"/>
              <w:spacing w:after="0"/>
              <w:rPr>
                <w:sz w:val="20"/>
                <w:szCs w:val="20"/>
                <w:color w:val="auto"/>
              </w:rPr>
            </w:pPr>
            <w:r>
              <w:rPr>
                <w:rFonts w:ascii="Arial" w:cs="Arial" w:eastAsia="Arial" w:hAnsi="Arial"/>
                <w:sz w:val="16"/>
                <w:szCs w:val="16"/>
                <w:color w:val="auto"/>
              </w:rPr>
              <w:t xml:space="preserve">Operating lease commitments </w:t>
            </w:r>
            <w:r>
              <w:rPr>
                <w:rFonts w:ascii="Arial" w:cs="Arial" w:eastAsia="Arial" w:hAnsi="Arial"/>
                <w:sz w:val="21"/>
                <w:szCs w:val="21"/>
                <w:color w:val="auto"/>
                <w:vertAlign w:val="superscript"/>
              </w:rPr>
              <w:t>(5)</w:t>
            </w:r>
          </w:p>
        </w:tc>
        <w:tc>
          <w:tcPr>
            <w:tcW w:w="2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3,548</w:t>
            </w:r>
          </w:p>
        </w:tc>
      </w:tr>
      <w:tr>
        <w:trPr>
          <w:trHeight w:val="270"/>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Regional capacity purchase agreements </w:t>
            </w:r>
            <w:r>
              <w:rPr>
                <w:rFonts w:ascii="Arial" w:cs="Arial" w:eastAsia="Arial" w:hAnsi="Arial"/>
                <w:sz w:val="21"/>
                <w:szCs w:val="21"/>
                <w:color w:val="auto"/>
                <w:vertAlign w:val="superscript"/>
              </w:rPr>
              <w:t>(6)</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4,833</w:t>
            </w:r>
          </w:p>
        </w:tc>
      </w:tr>
      <w:tr>
        <w:trPr>
          <w:trHeight w:val="231"/>
        </w:trPr>
        <w:tc>
          <w:tcPr>
            <w:tcW w:w="4000" w:type="dxa"/>
            <w:vAlign w:val="bottom"/>
            <w:gridSpan w:val="2"/>
          </w:tcPr>
          <w:p>
            <w:pPr>
              <w:ind w:left="500"/>
              <w:spacing w:after="0"/>
              <w:rPr>
                <w:sz w:val="20"/>
                <w:szCs w:val="20"/>
                <w:color w:val="auto"/>
              </w:rPr>
            </w:pPr>
            <w:r>
              <w:rPr>
                <w:rFonts w:ascii="Arial" w:cs="Arial" w:eastAsia="Arial" w:hAnsi="Arial"/>
                <w:sz w:val="16"/>
                <w:szCs w:val="16"/>
                <w:color w:val="auto"/>
              </w:rPr>
              <w:t>Total AAG Contractual Obligations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3,144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11,094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10,352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9,769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10,032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38,780</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83,171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ind w:left="340" w:hanging="332"/>
        <w:spacing w:after="0" w:line="216"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Amounts represent contractual amounts due. For American, excludes $43 million and for US Airways Group, excludes $17 million of unamortized debt discount as of September 30, 2014.</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For variable-rate debt, future interest obligations are estimated using the current forward rates at September 30, 2014.</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For American, includes $4.3 billion of future principal payments and $1.1 billion of future interest payments, respectively, and for US Airways Group, includes $2.9 billion of future principal payments and $945 million of future interest payments, respectively, as of September 30, 2014, related to EETCs associated with mortgage financings for the purchase of certain aircraft.</w:t>
      </w:r>
    </w:p>
    <w:p>
      <w:pPr>
        <w:spacing w:after="0" w:line="40"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 xml:space="preserve">See Part I, Item 2 -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For American, includes $280 million and for US Airways Group, includes $1.8 billion of future minimum lease payments related to EETC leverage leased financings of certain aircraft as of September 30, 2014.</w:t>
      </w:r>
    </w:p>
    <w:p>
      <w:pPr>
        <w:spacing w:after="0" w:line="41"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57"/>
        </w:numPr>
        <w:rPr>
          <w:rFonts w:ascii="Arial" w:cs="Arial" w:eastAsia="Arial" w:hAnsi="Arial"/>
          <w:sz w:val="24"/>
          <w:szCs w:val="24"/>
          <w:color w:val="auto"/>
          <w:vertAlign w:val="superscript"/>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40" w:lineRule="exact"/>
        <w:rPr>
          <w:rFonts w:ascii="Arial" w:cs="Arial" w:eastAsia="Arial" w:hAnsi="Arial"/>
          <w:sz w:val="24"/>
          <w:szCs w:val="24"/>
          <w:color w:val="auto"/>
          <w:vertAlign w:val="superscript"/>
        </w:rPr>
      </w:pPr>
    </w:p>
    <w:p>
      <w:pPr>
        <w:ind w:left="340" w:hanging="332"/>
        <w:spacing w:after="0" w:line="216"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2023. See Note 9 to American's condensed consolidated financial statements in Part I, Item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-2065020</wp:posOffset>
            </wp:positionV>
            <wp:extent cx="4707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26" w:right="239" w:bottom="1440" w:gutter="0" w:footer="0" w:header="0"/>
        </w:sectPr>
      </w:pPr>
    </w:p>
    <w:bookmarkStart w:id="90" w:name="page91"/>
    <w:bookmarkEnd w:id="90"/>
    <w:p>
      <w:pPr>
        <w:jc w:val="both"/>
        <w:spacing w:after="0" w:line="273" w:lineRule="auto"/>
        <w:rPr>
          <w:sz w:val="20"/>
          <w:szCs w:val="20"/>
          <w:color w:val="auto"/>
        </w:rPr>
      </w:pPr>
      <w:r>
        <w:rPr>
          <w:rFonts w:ascii="Arial" w:cs="Arial" w:eastAsia="Arial" w:hAnsi="Arial"/>
          <w:sz w:val="17"/>
          <w:szCs w:val="17"/>
          <w:color w:val="auto"/>
        </w:rPr>
        <w:t>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 maintenance, or aircraft, aircraft engines or parts, could decrease the amount of cash available to cover cash contractual obligations. Moreover, the 2013 Credit Facilities, the 2014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third quarter of 2014, there were no changes to our critical accounting policies and estimates from those disclosed in the consolidated financial statements and accompanying notes contained in our 2013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We are currently evaluating the requirements of ASU 2014-09 and have not yet determined its impact on our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68" w:right="239" w:bottom="1440" w:gutter="0" w:footer="0" w:header="0"/>
        </w:sectPr>
      </w:pPr>
    </w:p>
    <w:bookmarkStart w:id="91" w:name="page92"/>
    <w:bookmarkEnd w:id="91"/>
    <w:p>
      <w:pPr>
        <w:ind w:left="40"/>
        <w:spacing w:after="0"/>
        <w:tabs>
          <w:tab w:leader="none" w:pos="2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Market Risk Sensitive Instruments and Positions</w:t>
      </w:r>
    </w:p>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market risk exposures include the price of aircraft fuel, foreign currency exchange rates and interest rate risk. Our exposure to these market risks has not changed materially from our exposure discussed in our 2013 10-K except as updated below. See Note 12 to AAG's condensed consolidated financial statements in Part I, Item 1A for accounting policies and additional information regarding derivatives.</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As of September 30, 2014, we do not have any fuel hedging contracts outstanding. We have not entered into any fuel hedges since December 9, 2013 and it is our current policy to not do so. As a result, we fully realize the effects of any increase or decrease in fuel prices. Our 2014 forecasted mainline and regional fuel consumption is presently approximately 4.3 billion gallons, and based on this forecast, a one cent per gallon increase in aviation fuel price results in a $43 million increase in annual expense.</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Venezuela and Argentina. We do not currently have a foreign currency hedge program related to our foreign currency-denominated ticket sales.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September 30, 2014, $721 million of our unrestricted cash balance was held in Venezuelan bolivars, valued at the weighted average applicable exchange rate of 6.41 bolivars to the dollar. Our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our significant reduction in capacity in this market, pending further repatriation of funds and due to a decrease in demand for air travel resulting from the effective devaluation of the bolivar. Our September 30, 2014 cash balance includes approximately $94 million valued at 4.3 bolivars, approximately $580 million valued at 6.3 bolivars, and approximately $47 million valued at 12.0 bolivars, with the rate depending on the date we submitted our repatriation request to the Venezuelan government. We are continuing to work with Venezuelan authorities regarding the timing and exchange rate applicable to the repatriation of funds held in local currency. We are monitoring this situation closely and continue to evaluate our holdings of Venezuelan bolivars for potential impairment. See Part II, Item 1A - Risk Factors "</w:t>
      </w:r>
      <w:r>
        <w:rPr>
          <w:rFonts w:ascii="Arial" w:cs="Arial" w:eastAsia="Arial" w:hAnsi="Arial"/>
          <w:sz w:val="16"/>
          <w:szCs w:val="16"/>
          <w:i w:val="1"/>
          <w:iCs w:val="1"/>
          <w:color w:val="auto"/>
        </w:rPr>
        <w:t>We operate a global business with international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these and other currency risks.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26"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Market Risk Sensitive Instruments and Positions</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American's primary market risk exposures include the price of aircraft fuel, foreign currency exchange rates and interest rate risk. American's exposure to these market risks has not changed materially from its exposure discussed in its 2013 10-K except as updated below. See Note 10 to American's condensed consolidated financial statements in Part I, Item 1B for accounting policies and additional information regarding derivatives.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second quarter of 2014, American sold its portfolio of fuel hedging contracts that were scheduled to settle on or after June 30, 2014. As of September 30, 2014, American does not have any fuel hedging contracts outstanding. American has not entered into any fuel hedges since December 9, 2013 and it is its current policy to not do so. As a result, American fully realizes the effects of any increase or decrease in fuel prices. American's 2014 forecasted mainline and regional fuel consumption is presently approximately 2.8 billion gallons, and based on this forecast, a one cent per gallon increase in aviation fuel price results in a $28 million increase in annual expense.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Venezuela and Argentina. American does not currently have a foreign currency hedge program related to its foreign currency-denominated ticket sales.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September 30, 2014, $721 million of American's unrestricted cash balance was held in Venezuelan bolivars, valued at the weighted average applicable exchange rate of 6.41 bolivars to the dollar. American's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American's significant reduction in capacity in this market, pending further repatriation of funds and due to a decrease in demand for air travel resulting from the effective devaluation of the bolivar. American's September 30, 2014 cash balance includes approximately $94 million valued at 4.3 bolivars, approximately $580 million valued at 6.3 bolivars, and approximately $47 million valued at 12.0 bolivars, with the rate depending on the date American submitted its repatriation request to the Venezuelan government. American is continuing to work with Venezuelan authorities regarding the timing and exchange rate applicable to the repatriation of funds held in local currency. American is monitoring this situation closely and continues to evaluate its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 economic and political instability and have been, and in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future may continue to be, adversely affected by numerous events, circumstances or government actions beyond our control" </w:t>
      </w:r>
      <w:r>
        <w:rPr>
          <w:rFonts w:ascii="Arial" w:cs="Arial" w:eastAsia="Arial" w:hAnsi="Arial"/>
          <w:sz w:val="17"/>
          <w:szCs w:val="17"/>
          <w:color w:val="auto"/>
        </w:rPr>
        <w:t>for additional discussion of these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currency risks.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was performed under the supervision and with the participation of the Company’s management, including the Chief Executive Officer (CEO) and Chief Financial Officer (CFO), of the effectiveness of the AAG's and American’s disclosure controls and procedures as of September 30, 2014. Based on that evaluation, the Company’s management, including the CEO and CFO, concluded that AAG's and American’s disclosure controls and procedures were effective as of September 30,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9, 2013, we acquired US Airways Group and its subsidiaries. We have begun to integrate policies, processes, people, technology and operations for the post-Merger combined company, and we will continue to evaluate the impact of any related changes to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during the quarter ended September 30, 2014, there has been no change in AAG’s or American's internal control over financial reporting that has materially affected, or is reasonably likely to materially affect, AAG's and American's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believe that our disclosure controls and procedures were effective at the “reasonable assurance” level as of September 30, 2014.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688"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Chapter 11 Cases. </w:t>
      </w:r>
      <w:r>
        <w:rPr>
          <w:rFonts w:ascii="Arial" w:cs="Arial" w:eastAsia="Arial" w:hAnsi="Arial"/>
          <w:sz w:val="17"/>
          <w:szCs w:val="17"/>
          <w:color w:val="auto"/>
        </w:rPr>
        <w:t>As previously disclosed, on the Petition Date, November 29, 2011, the Debtors filed the Chapter 11 Cases. On October 21, 2013,</w:t>
      </w:r>
      <w:r>
        <w:rPr>
          <w:rFonts w:ascii="Arial" w:cs="Arial" w:eastAsia="Arial" w:hAnsi="Arial"/>
          <w:sz w:val="17"/>
          <w:szCs w:val="17"/>
          <w:i w:val="1"/>
          <w:iCs w:val="1"/>
          <w:color w:val="auto"/>
        </w:rPr>
        <w:t xml:space="preserve"> </w:t>
      </w:r>
      <w:r>
        <w:rPr>
          <w:rFonts w:ascii="Arial" w:cs="Arial" w:eastAsia="Arial" w:hAnsi="Arial"/>
          <w:sz w:val="17"/>
          <w:szCs w:val="17"/>
          <w:color w:val="auto"/>
        </w:rPr>
        <w:t>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On July 1, 2014 (the date 180 days after the Effective Date), approximately 2.9 million shares of AAG Common Stock held in the Disputed Claim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In addition, on July 1, 2014, we repurchased 0.4 million shares of AAG Common Stock for an aggregate of $19 million from the Disputed Claim Reserve at the then prevailing market price in order to fund cash tax obligations resulting from distributions by the Disputed Claim Reserve. As of September 30, 2014, there were approximately 27.5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(OPEB)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 Separately, both the APFA and TWU have filed grievances asserting that American was “successful” in its Chapter 11 with respect to matters related to OPEB and, accordingly, by operation of the underlying collective bargaining agreements, American’s prior contributions to certain OPEB prefunding trusts attributable to active employees should be returned to those active employees. These amounts aggregate approximately $212 million. We have denied both grievances and intend to defend these matters vigorously.</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42" w:right="239" w:bottom="1440" w:gutter="0" w:footer="0" w:header="0"/>
        </w:sectPr>
      </w:pPr>
    </w:p>
    <w:bookmarkStart w:id="95" w:name="page96"/>
    <w:bookmarkEnd w:id="95"/>
    <w:p>
      <w:pPr>
        <w:jc w:val="both"/>
        <w:spacing w:after="0" w:line="254" w:lineRule="auto"/>
        <w:rPr>
          <w:sz w:val="20"/>
          <w:szCs w:val="20"/>
          <w:color w:val="auto"/>
        </w:rPr>
      </w:pPr>
      <w:r>
        <w:rPr>
          <w:rFonts w:ascii="Arial" w:cs="Arial" w:eastAsia="Arial" w:hAnsi="Arial"/>
          <w:sz w:val="18"/>
          <w:szCs w:val="18"/>
          <w:color w:val="auto"/>
        </w:rPr>
        <w:t>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has been fully briefed by the parties and is pending resolution by the Court. There is currently no trial date set. We believe this lawsuit is without merit and intend to vigorously defend against the allegations.</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US Airways Sabre Matter</w:t>
      </w:r>
      <w:r>
        <w:rPr>
          <w:rFonts w:ascii="Arial" w:cs="Arial" w:eastAsia="Arial" w:hAnsi="Arial"/>
          <w:sz w:val="18"/>
          <w:szCs w:val="18"/>
          <w:color w:val="auto"/>
        </w:rPr>
        <w:t>. On April 21, 2011, US Airways filed an antitrust lawsuit against Sabre Holdings Corporation, Sabre Inc. and Sabre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our ability to distribute our products to our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We intend to pursue our claims against Sabre vigorously, but there can be no assurance of the outcome of this litigation.</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and our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w:t>
      </w:r>
    </w:p>
    <w:p>
      <w:pPr>
        <w:spacing w:after="0" w:line="2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AAG Common Stock or our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Company and Industry-Related Risks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achieve or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17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continued to be volatile in first nine months of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30" w:right="239" w:bottom="1440" w:gutter="0" w:footer="0" w:header="0"/>
        </w:sectPr>
      </w:pPr>
    </w:p>
    <w:bookmarkStart w:id="96" w:name="page97"/>
    <w:bookmarkEnd w:id="96"/>
    <w:p>
      <w:pPr>
        <w:jc w:val="both"/>
        <w:ind w:firstLine="648"/>
        <w:spacing w:after="0" w:line="312"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During the second quarter of 2014, we sold our portfolio of fuel hedging contracts that were scheduled to settle on or after June 30, 2014. As of September 30, 2014, we do not have any fuel hedging contracts outstanding. We have not entered into any fuel hedges since the Effective Date, and our current policy is to not do so. Assuming we continue to pursue this policy, we will be fully exposed to fluctuations in fuel prices.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AAG Market Risk Sensitive Instruments and Positions - Aircraft Fuel"</w:t>
      </w:r>
      <w:r>
        <w:rPr>
          <w:rFonts w:ascii="Arial" w:cs="Arial" w:eastAsia="Arial" w:hAnsi="Arial"/>
          <w:sz w:val="18"/>
          <w:szCs w:val="18"/>
          <w:color w:val="auto"/>
        </w:rPr>
        <w:t xml:space="preserve"> and "</w:t>
      </w:r>
      <w:r>
        <w:rPr>
          <w:rFonts w:ascii="Arial" w:cs="Arial" w:eastAsia="Arial" w:hAnsi="Arial"/>
          <w:sz w:val="18"/>
          <w:szCs w:val="18"/>
          <w:i w:val="1"/>
          <w:iCs w:val="1"/>
          <w:color w:val="auto"/>
        </w:rPr>
        <w:t>American Airlines</w:t>
      </w:r>
      <w:r>
        <w:rPr>
          <w:rFonts w:ascii="Arial" w:cs="Arial" w:eastAsia="Arial" w:hAnsi="Arial"/>
          <w:sz w:val="18"/>
          <w:szCs w:val="18"/>
          <w:color w:val="auto"/>
        </w:rPr>
        <w:t xml:space="preserve"> </w:t>
      </w:r>
      <w:r>
        <w:rPr>
          <w:rFonts w:ascii="Arial" w:cs="Arial" w:eastAsia="Arial" w:hAnsi="Arial"/>
          <w:sz w:val="18"/>
          <w:szCs w:val="18"/>
          <w:i w:val="1"/>
          <w:iCs w:val="1"/>
          <w:color w:val="auto"/>
        </w:rPr>
        <w:t>Market Risk Sensitive Instruments and Positions - Aircraft Fuel."</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Dodd-Frank Wall Street Reform and Consumer Protection Act of 2010 and regulations promulgated by the Commodity Futures Trading Commission (CFTC) introduce new requirements for centralized clearing for over-the-counter derivatives. This may include our fuel derivative contracts, if any. Our board of directors has approved our election of the CFTC’s end-user exemption, which permits us as a non-financial end user of derivatives to hedge commercial risk and be exempt from the CFTC mandatory clearing requirements. However, depending on the final regulations adopted by the CFTC and other regulators, our derivative contract counterparties may be subject to regulatory requirements and resulting new practices that may raise their costs. Those increased costs may in turn be passed on to us, resulting in increased transaction costs to execute derivative contracts and lower credit thresholds to post collateral.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Low-cost carriers have a profound impact on industry revenues. Using the advantage of low unit costs, these carriers 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amendments to the Wright Amendment reduced, and have now eliminated, all domestic non-stop geographic restrictions on operations by Southwest Airlines and other carriers at Dallas Love Field (DAL). This has increased low-cost carrier competition for our operations at DFW. In addition, the two gates at DAL that we divested as part of our settlement of antitrust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76" w:right="2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8"/>
          <w:szCs w:val="18"/>
          <w:color w:val="auto"/>
        </w:rPr>
        <w:t>litigation related to the Merger have been allocated to Virgin America, a low-cost carrier. The actions of the low-cost carriers, including those described above, could have a material adverse effect on our operations and financial performance.</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implemented a joint business agreement (JBA) with British Airways, Iberia and Finnair, and antitrust-immunized cooperation with British Airways, Iberia, Finnair and Royal Jordanian. In addition, we have implemented an antitrust-immunized JBA with Japan Airlines and a JBA with Qantas. No assurances can be given as to any benefits that we may derive from such arrangements or any other arrangements that may ultimately be implemented.</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We must devote significant management attention and resources to integrating our business practices, cultures and operations. Potential difficulties we may encounter as part of the integration process include the following:</w:t>
      </w:r>
    </w:p>
    <w:p>
      <w:pPr>
        <w:spacing w:after="0" w:line="63" w:lineRule="exact"/>
        <w:rPr>
          <w:sz w:val="20"/>
          <w:szCs w:val="20"/>
          <w:color w:val="auto"/>
        </w:rPr>
      </w:pPr>
    </w:p>
    <w:p>
      <w:pPr>
        <w:ind w:left="980" w:right="20" w:hanging="324"/>
        <w:spacing w:after="0" w:line="258"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ind w:left="980" w:right="20" w:hanging="324"/>
        <w:spacing w:after="0" w:line="250"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Department of Justice (DOJ) and certain states prior to the closing of the Merger;</w:t>
      </w: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jc w:val="both"/>
        <w:ind w:left="980" w:hanging="324"/>
        <w:spacing w:after="0" w:line="250"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including designing and implementing an integrated customer reservations system, that will be necessary to operate American and US Airways as a single airline and to achieve cost synergies by eliminating redundancies in the businesses;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submitted to the FAA a transition plan for merging the day-to-day operations of American and US Airways under a single operating certificate. The issuance of a single operating certificate will occur when the FAA agrees that we have achieved a level of integration that can be safely managed under one certificate. While the parties currently believe that such approval can be obtained within two years from the closing of the Merger, the actual time required and cost incurred to receive this approval cannot be predicted. Any delay in the grant of such approval or increase in costs beyond those presently expected could have a material adverse effect on the completion date of our integration plan and receipt of the benefits expected from that plan.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face challenges in integrating our computer, communications and other technology systems"</w:t>
      </w:r>
      <w:r>
        <w:rPr>
          <w:rFonts w:ascii="Arial" w:cs="Arial" w:eastAsia="Arial" w:hAnsi="Arial"/>
          <w:sz w:val="18"/>
          <w:szCs w:val="18"/>
          <w:color w:val="auto"/>
        </w:rPr>
        <w:t xml:space="preserve">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30"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79"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ind w:left="980" w:hanging="324"/>
        <w:spacing w:after="0" w:line="250"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9" w:lineRule="exact"/>
        <w:rPr>
          <w:rFonts w:ascii="Arial" w:cs="Arial" w:eastAsia="Arial" w:hAnsi="Arial"/>
          <w:sz w:val="18"/>
          <w:szCs w:val="18"/>
          <w:color w:val="auto"/>
        </w:rPr>
      </w:pPr>
    </w:p>
    <w:p>
      <w:pPr>
        <w:ind w:left="1620" w:right="20" w:hanging="315"/>
        <w:spacing w:after="0" w:line="250"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jc w:val="both"/>
        <w:ind w:left="1620" w:hanging="315"/>
        <w:spacing w:after="0" w:line="250"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 w:lineRule="exact"/>
        <w:rPr>
          <w:rFonts w:ascii="Arial" w:cs="Arial" w:eastAsia="Arial" w:hAnsi="Arial"/>
          <w:sz w:val="18"/>
          <w:szCs w:val="18"/>
          <w:color w:val="auto"/>
        </w:rPr>
      </w:pPr>
    </w:p>
    <w:p>
      <w:pPr>
        <w:ind w:left="1620" w:hanging="315"/>
        <w:spacing w:after="0" w:line="250" w:lineRule="auto"/>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ind w:left="1620" w:hanging="315"/>
        <w:spacing w:after="0"/>
        <w:tabs>
          <w:tab w:leader="none" w:pos="1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and, as a result, we estimate that, based on our commitments as of September 30, 2014, our planned aggregate expenditures for aircraft purchase commitments and certain engines on a consolidated basis for calendar years 2014-2018 would be approximately $18.7 billion, of which $16.1 billion represents commitments by American. We also currently anticipate cash transition costs to integrate our businesses following the Merger to be approximately $1.2 billion, although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we do not have financing commitments for the following aircraft currently on order and scheduled to be delivered through 2016: 65 Airbus 320 family aircraft, 10 Boeing 737 family aircraft, 6 Boeing 777-300ER aircraft and 26 Boeing 787 family aircraft. In addition, we have financing commitments in place for only a small number of aircraft currently on order and scheduled to be delivered in 2017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17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76" w:right="239" w:bottom="1440" w:gutter="0" w:footer="0" w:header="0"/>
        </w:sectPr>
      </w:pPr>
    </w:p>
    <w:bookmarkStart w:id="99" w:name="page100"/>
    <w:bookmarkEnd w:id="99"/>
    <w:p>
      <w:pPr>
        <w:jc w:val="both"/>
        <w:ind w:firstLine="648"/>
        <w:spacing w:after="0" w:line="255"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2013 Credit Facilities, the 2013 Citicorp Credit Facility, the 2014 Credit Facility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w:t>
      </w:r>
    </w:p>
    <w:p>
      <w:pPr>
        <w:spacing w:after="0" w:line="189" w:lineRule="exact"/>
        <w:rPr>
          <w:sz w:val="20"/>
          <w:szCs w:val="20"/>
          <w:color w:val="auto"/>
        </w:rPr>
      </w:pPr>
    </w:p>
    <w:p>
      <w:pPr>
        <w:ind w:left="660" w:right="20"/>
        <w:spacing w:after="0" w:line="381" w:lineRule="auto"/>
        <w:rPr>
          <w:sz w:val="20"/>
          <w:szCs w:val="20"/>
          <w:color w:val="auto"/>
        </w:rPr>
      </w:pPr>
      <w:r>
        <w:rPr>
          <w:rFonts w:ascii="Arial" w:cs="Arial" w:eastAsia="Arial" w:hAnsi="Arial"/>
          <w:sz w:val="15"/>
          <w:szCs w:val="15"/>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17" w:lineRule="exact"/>
        <w:rPr>
          <w:sz w:val="20"/>
          <w:szCs w:val="20"/>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9" w:lineRule="exact"/>
        <w:rPr>
          <w:rFonts w:ascii="Arial" w:cs="Arial" w:eastAsia="Arial" w:hAnsi="Arial"/>
          <w:sz w:val="18"/>
          <w:szCs w:val="18"/>
          <w:color w:val="auto"/>
        </w:rPr>
      </w:pPr>
    </w:p>
    <w:p>
      <w:pPr>
        <w:ind w:left="1620" w:hanging="640"/>
        <w:spacing w:after="0" w:line="261" w:lineRule="auto"/>
        <w:tabs>
          <w:tab w:leader="none" w:pos="129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Upon the expiration of those rules, our funding obligations are likely to increase materially. In addition, we may have significant obligations for other post-employment benefits, the ultimate amount of which depends on, among other things, the outcome of an adversary proceeding related to retiree medical and life insurance obligations filed in the Chapter 11 cases.</w:t>
      </w:r>
    </w:p>
    <w:p>
      <w:pPr>
        <w:spacing w:after="0" w:line="17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terms of our 2013 Credit Facilities, the 2013 Citicorp Credit Facility and the 2014 Credit Facilities require us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us and the other obligors thereunder to hold not less than $750 million (subject to partial reductions upon certain reductions in the outstanding amount of the loan) of that amount in accounts subject to control agreements.</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76"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historical consolidated financial information contained in this report is not directly comparable to our financial information for prior or future periods</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number of factors render our historical consolidated financial information not directly comparable to our financial information for prior or future periods, including:</w:t>
      </w:r>
    </w:p>
    <w:p>
      <w:pPr>
        <w:spacing w:after="0" w:line="62" w:lineRule="exact"/>
        <w:rPr>
          <w:sz w:val="20"/>
          <w:szCs w:val="20"/>
          <w:color w:val="auto"/>
        </w:rPr>
      </w:pPr>
    </w:p>
    <w:p>
      <w:pPr>
        <w:ind w:left="1380" w:hanging="400"/>
        <w:spacing w:after="0" w:line="258"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because the Merger was completed on December 9, 2013, AAG's 2013 consolidated results of operations include the results of US Airways Group and its subsidiaries for only 23 days of 2013;</w:t>
      </w:r>
    </w:p>
    <w:p>
      <w:pPr>
        <w:spacing w:after="0" w:line="1"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Merger was accounted for using the acquisition method of accounting with AAG as the acquiring entity, resulting in an adjustment to the carrying values of the assets and liabilities of US Airways Group compared to its historical carrying values;</w:t>
      </w:r>
    </w:p>
    <w:p>
      <w:pPr>
        <w:jc w:val="both"/>
        <w:ind w:left="1380" w:hanging="400"/>
        <w:spacing w:after="0" w:line="250"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course of our Chapter 11 Cases and in connection with our emergence from Chapter 11 and the effectiveness of the Plan, we recorded material expenses, charges, costs and other accounting entries related to our restructuring process, many of which generally had not been incurred in the past and are not expected to be incurred in the future; and</w:t>
      </w:r>
    </w:p>
    <w:p>
      <w:pPr>
        <w:spacing w:after="0" w:line="1" w:lineRule="exact"/>
        <w:rPr>
          <w:rFonts w:ascii="Arial" w:cs="Arial" w:eastAsia="Arial" w:hAnsi="Arial"/>
          <w:sz w:val="18"/>
          <w:szCs w:val="18"/>
          <w:color w:val="auto"/>
        </w:rPr>
      </w:pPr>
    </w:p>
    <w:p>
      <w:pPr>
        <w:ind w:left="1380" w:hanging="400"/>
        <w:spacing w:after="0" w:line="261"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prior accounting presentations, including the manner in which we report our regional operations, have been changed and historical results restated to conform to the current presentation.</w:t>
      </w:r>
    </w:p>
    <w:p>
      <w:pPr>
        <w:spacing w:after="0" w:line="7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Due to these and other factors largely related to the Merger and the Plan, investors are cautioned as to the limitations of our historical financial statements and urged to review carefully Part I, Item 2. Management’s Discussion and Analysis of Financial Condition and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Relations between air carriers and labor unions in the U.S. are governed by the Railway Labor Act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 Business -</w:t>
      </w:r>
      <w:r>
        <w:rPr>
          <w:rFonts w:ascii="Arial" w:cs="Arial" w:eastAsia="Arial" w:hAnsi="Arial"/>
          <w:sz w:val="17"/>
          <w:szCs w:val="17"/>
          <w:i w:val="1"/>
          <w:iCs w:val="1"/>
          <w:color w:val="auto"/>
        </w:rPr>
        <w:t>"Employees and Labor Relations"</w:t>
      </w:r>
      <w:r>
        <w:rPr>
          <w:rFonts w:ascii="Arial" w:cs="Arial" w:eastAsia="Arial" w:hAnsi="Arial"/>
          <w:sz w:val="17"/>
          <w:szCs w:val="17"/>
          <w:color w:val="auto"/>
        </w:rPr>
        <w:t xml:space="preserve"> in our Annual Report on Form 10-K for the year ended December 31, 2013.</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76"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2013, approximately 73%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1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 or slot exemptions at Ronald Reagan Washington National Airport and three New York City airports: Newark, JFK and LaGuardia.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 For example, the FAA is planning a new rulemaking in 2014 to modify the current rules limiting flight operations at New York City’s JFK and LaGuardia airports.</w:t>
      </w:r>
    </w:p>
    <w:p>
      <w:pPr>
        <w:spacing w:after="0" w:line="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 for certain asset divestitures. In the agreement with the United States government, among other things, we agreed to divest and not reacquire for 10 years certain rights and assets consisting of 52 slot pairs at Washington Reagan National Airport, and 17 slot pairs at LaGuardia, in each case together with associated gates and related ground facilities necessary to operate those slot pairs, and two gates at each of Boston Logan International Airport, Chicago O’Hare International Airport, DAL, Los Angeles International Airport and Miami International Airport. The agreement with the plaintiff states requires our airlines, subject to certain conditions and exceptions, to maintain certain hub operations in a manner generally consistent with historical operations and to continue to provide scheduled daily service to certain specified communities, both for limited periods of time. In addition, we entered into a related settlement with the U.S. Department of Transportation (DOT) related to small community service from Washington Reagan National Airport. Further, as a consequence of the Merger clearance process in the European Union (EU), we are required to make available one pair of London Heathrow slots for use by another carrier between London and Philadelphia, which the acquiring carrier can deploy on another Heathrow city pair after operating the slots on London-Philadelphia for a period of not less than three consecutive years, and, along with our JBA partners, we are required to make available for an initial period of up to seven years one pair of Heathrow slots for service between London and Miami that may be operated via an intermediate point.</w:t>
      </w:r>
    </w:p>
    <w:p>
      <w:pPr>
        <w:spacing w:after="0" w:line="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36" w:right="239" w:bottom="1440" w:gutter="0" w:footer="0" w:header="0"/>
        </w:sectPr>
      </w:pPr>
    </w:p>
    <w:bookmarkStart w:id="102" w:name="page103"/>
    <w:bookmarkEnd w:id="102"/>
    <w:p>
      <w:pPr>
        <w:ind w:left="660"/>
        <w:spacing w:after="0" w:line="277"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rely on third-party distribution channels and must manage effectively the costs, rights and functionality of these channels.</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third-party distribution channels, including those provided by or through global distribution systems (GDSs) (e.g., Amadeus, Sabre and Travelport), conventional travel agents and online travel agents (OTAs) (e.g., Expedia, Orbitz and Travelocity),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addition, the FAA recently issued its final regulations governing pilot rest periods and work hours for all airlines certificated under Part 121 of the Federal Aviation Regulations. The rule, which became effective on January 4, 2014, impacts the required amount and timing of rest periods for pilots between work assignments and modifies duty and rest requirements based on the time of day, number of scheduled segments, flight types, time zones, and other factors. These regulations, or other regulations, could have a material adverse effect on us and the industry.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 DOT consumer rules require new procedures for customer handling during long onboard delays, further regulate airline interactions with passengers through the reservations process, at the airport, and on 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76" w:right="239" w:bottom="1440" w:gutter="0" w:footer="0" w:header="0"/>
        </w:sectPr>
      </w:pPr>
    </w:p>
    <w:bookmarkStart w:id="103" w:name="page104"/>
    <w:bookmarkEnd w:id="103"/>
    <w:p>
      <w:pPr>
        <w:ind w:firstLine="648"/>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62" w:lineRule="exact"/>
        <w:rPr>
          <w:sz w:val="20"/>
          <w:szCs w:val="20"/>
          <w:color w:val="auto"/>
        </w:rPr>
      </w:pPr>
    </w:p>
    <w:p>
      <w:pPr>
        <w:ind w:left="1380" w:hanging="400"/>
        <w:spacing w:after="0" w:line="258" w:lineRule="auto"/>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1" w:lineRule="exact"/>
        <w:rPr>
          <w:rFonts w:ascii="Arial" w:cs="Arial" w:eastAsia="Arial" w:hAnsi="Arial"/>
          <w:sz w:val="18"/>
          <w:szCs w:val="18"/>
          <w:color w:val="auto"/>
        </w:rPr>
      </w:pPr>
    </w:p>
    <w:p>
      <w:pPr>
        <w:ind w:left="1380" w:right="20" w:hanging="400"/>
        <w:spacing w:after="0" w:line="250" w:lineRule="auto"/>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ind w:left="1380" w:hanging="400"/>
        <w:spacing w:after="0" w:line="250" w:lineRule="auto"/>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ind w:left="1380" w:hanging="400"/>
        <w:spacing w:after="0" w:line="250" w:lineRule="auto"/>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ind w:left="1380" w:hanging="400"/>
        <w:spacing w:after="0" w:line="250" w:lineRule="auto"/>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ind w:left="1380" w:hanging="400"/>
        <w:spacing w:after="0"/>
        <w:tabs>
          <w:tab w:leader="none" w:pos="1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2013, the FAA announced the imposition of furloughs that resulted in reduced staffing, including among air traffic controllers, in connection with its implementation of budget reductions related to the federal government’s response to the so-called "sequester" of government funding. These furloughs have been suspended as a result of Congressional legislation. However, we cannot predict whether there will be further furloughs or the impact of any such furloughs on our business. Any significant reduction in air traffic capacity at key airports in the U.S. could have a material adverse effect on our business, results of operations and financial condition. We also experienced delays in routine non-operational interactions with the FAA as a result of the government shut-down in 2013, and we may experience delays again in the event of any future government shutdown.</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ATC system is not successfully managing the growing demand for U.S. air travel. Air traffic controllers rely on outdated technologies that routinely overwhelm the system and compel airlines to fly inefficient, indirect routes. 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London’s Heathrow Airport. As a result of the agreement, we face increased competition in these markets, including Heathrow Airport. In addition, the open skies agreement between the U.S. and Brazil, which was signed in 2010 and takes full effect in 2015, has resulted in increased competition in the U.S./Brazil market.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TSA security screening fees, which were recently increased), and pass along the collected amounts to the appropriate governmental agencies. Although these taxes are not operating expenses,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76" w:right="239" w:bottom="1440" w:gutter="0" w:footer="0" w:header="0"/>
        </w:sectPr>
      </w:pPr>
    </w:p>
    <w:bookmarkStart w:id="104" w:name="page105"/>
    <w:bookmarkEnd w:id="104"/>
    <w:p>
      <w:pPr>
        <w:jc w:val="both"/>
        <w:spacing w:after="0" w:line="264" w:lineRule="auto"/>
        <w:rPr>
          <w:sz w:val="20"/>
          <w:szCs w:val="20"/>
          <w:color w:val="auto"/>
        </w:rPr>
      </w:pPr>
      <w:r>
        <w:rPr>
          <w:rFonts w:ascii="Arial" w:cs="Arial" w:eastAsia="Arial" w:hAnsi="Arial"/>
          <w:sz w:val="18"/>
          <w:szCs w:val="18"/>
          <w:color w:val="auto"/>
        </w:rPr>
        <w:t>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 For example, in January 2014, Congress restructured the September 11 security fee, which will increase the fee on some customers.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implemented several new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new measures or any future initiatives will be successful in increasing our revenues. Additionally, the implementation of these initiatives creates logistical challenges that could harm the operational performance of our airline. Also, the new and increased fees might reduce the demand for air travel on our airline or across the industry in general, particularly if weakened economic conditions continue to make our customers more sensitive to increased travel costs or provide a significant competitive advantage to other carriers that determine not to institute similar charges.</w:t>
      </w:r>
    </w:p>
    <w:p>
      <w:pPr>
        <w:spacing w:after="0" w:line="1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and attempted attacks materially impacted and continue to impact air travel. Increased security procedures introduced at airports since the attacks and other such measures as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U.S. Customs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82"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operate a global business with operations outside of the U.S. from which American derived approximately 40% of its operating revenues and US Airways derived approximately 19% of its operating revenues in 2013, as measured and reported to the DOT. Our current international activities and prospects have been and in the future could be adversely affected by reversals or delays in the opening of foreign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particular, fluctuations in foreign currencies, including devaluations, and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September 30, 2014, $721 million of our unrestricted cash balance was held in Venezuelan bolivars, valued at the weighted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76" w:right="239" w:bottom="1440" w:gutter="0" w:footer="0" w:header="0"/>
        </w:sectPr>
      </w:pPr>
    </w:p>
    <w:bookmarkStart w:id="105" w:name="page106"/>
    <w:bookmarkEnd w:id="105"/>
    <w:p>
      <w:pPr>
        <w:jc w:val="both"/>
        <w:spacing w:after="0" w:line="269" w:lineRule="auto"/>
        <w:rPr>
          <w:sz w:val="20"/>
          <w:szCs w:val="20"/>
          <w:color w:val="auto"/>
        </w:rPr>
      </w:pPr>
      <w:r>
        <w:rPr>
          <w:rFonts w:ascii="Arial" w:cs="Arial" w:eastAsia="Arial" w:hAnsi="Arial"/>
          <w:sz w:val="17"/>
          <w:szCs w:val="17"/>
          <w:color w:val="auto"/>
        </w:rPr>
        <w:t>average applicable exchange rate of 6.41 bolivars to the dollar. Our cash balance held in Venezuelan bolivars decreased $70 million from the June 30, 2014 balance of $791 million, due primarily to $48 million in repatriations in the third quarter of 2014 ($31 million valued at 6.3 bolivars to the dollar and $17 million valued at 10.6 bolivars to the dollar). This balance also reflects our significant reduction in capacity in this market, pending further repatriation of funds and due to a decrease in demand for air travel resulting from the effective devaluation of the bolivar. Our September 30, 2014 cash balance includes approximately $94 million valued at 4.3 bolivars, approximately $580 million valued at 6.3 bolivars, and approximately $47 million valued at 12.0 bolivars, with the rate depending on the date we submitted our repatriation request to the Venezuelan government. We are continuing to work with Venezuelan authorities regarding the timing and exchange rate applicable to the repatriation of funds held in local currency. We are monitoring this situation closely and continue to evaluate our holdings of Venezuelan bolivars for potential impairment. Further, the current, devalued rates may have an ongoing adverse effect on our reported results if we are unable to fully adjust prices on flights to and from Venezuela, of which there can be no assurance.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 Environmental Protection Agency (EPA) has proposed changes to underground storage tank regulations that could affect certain airport fuel hydrant systems. A final rule has not yet been issued, but when implemented, airport systems that fall within threshold requirements may need to be modified in order to comply with applicable regulations. Additionally, the EPA has proposed the draft 2013 National Pollutant Discharge Elimination System General Permit for Stormwater Discharges from Industrial Activities. This permit would impose new limitations on certain discharges along with mandatory best management practices. Concurrently, California adopted a revised State Industrial General Permit for stormwater discharges on April 1, 2014 which becomes effective July 1, 2015. This permit places additional reporting and monitoring requirements on permittees and requires implementation of mandatory best management practices. Cost estimates to comply with the above permitting requirements have not been defined, but American and US Airways along with other airlines would share a portion of these costs at applicable airports. In addition to the proposed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GHG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30" w:right="239" w:bottom="1440" w:gutter="0" w:footer="0" w:header="0"/>
        </w:sectPr>
      </w:pPr>
    </w:p>
    <w:bookmarkStart w:id="106" w:name="page107"/>
    <w:bookmarkEnd w:id="106"/>
    <w:p>
      <w:pPr>
        <w:jc w:val="both"/>
        <w:spacing w:after="0" w:line="270" w:lineRule="auto"/>
        <w:rPr>
          <w:sz w:val="20"/>
          <w:szCs w:val="20"/>
          <w:color w:val="auto"/>
        </w:rPr>
      </w:pPr>
      <w:r>
        <w:rPr>
          <w:rFonts w:ascii="Arial" w:cs="Arial" w:eastAsia="Arial" w:hAnsi="Arial"/>
          <w:sz w:val="17"/>
          <w:szCs w:val="17"/>
          <w:color w:val="auto"/>
        </w:rPr>
        <w:t>in 2020. Subsequently, the EU has amended the EU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2014. Beyond 2014,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and the number of future flights subject to ETS or other emissions-related requirements. These costs have not been completely defined and could fluctuate.</w:t>
      </w:r>
    </w:p>
    <w:p>
      <w:pPr>
        <w:spacing w:after="0" w:line="14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Similarly, within the U.S., there is an increasing trend toward regulating GHG emissions directly under the Clean Air Act (CAA). In response to a 2012 ruling by the U.S. Court of Appeals District of Columbia Circuit requiring the EPA to make a final determination on whether aircraft GHG emissions cause or contribute to air pollution which may reasonably be anticipated to endanger public health or welfare, the EPA announced in September 2014 that it is in the process of making a determination regarding aircraft GHG emissions and anticipates proposing an endangerment finding by May 2015. If the EPA makes a positive endangerment finding, the EPA is obligated under the CAA to set GHG emission standards for aircraft. Several states are also considering initiatives to regulate emissions of GHGs, primarily through the planned development of GHG emissions inventories and/or regional GHG cap and trade programs. These regulatory efforts, both internationally and in the U.S. at the federal and state levels, are still developing, and we cannot yet determine what the final regulatory programs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3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 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Among the principal risks of integrating our businesses and operations are the risks relating to integrating various computer, communications and other technology systems, including designing and implementing an integrated customer reservations system, that will be necessary to operate US Airways and American as a single airline and to achieve cost synergies by eliminating redundancies in the businesses. The integration of these systems in a number of prior airline mergers has taken longer, been more disruptive and cost more than originally forecast. The implementation process to integrate these various systems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8" w:right="239" w:bottom="1440" w:gutter="0" w:footer="0" w:header="0"/>
        </w:sectPr>
      </w:pPr>
    </w:p>
    <w:bookmarkStart w:id="107" w:name="page108"/>
    <w:bookmarkEnd w:id="107"/>
    <w:p>
      <w:pPr>
        <w:jc w:val="both"/>
        <w:spacing w:after="0" w:line="286" w:lineRule="auto"/>
        <w:rPr>
          <w:sz w:val="20"/>
          <w:szCs w:val="20"/>
          <w:color w:val="auto"/>
        </w:rPr>
      </w:pPr>
      <w:r>
        <w:rPr>
          <w:rFonts w:ascii="Arial" w:cs="Arial" w:eastAsia="Arial" w:hAnsi="Arial"/>
          <w:sz w:val="17"/>
          <w:szCs w:val="17"/>
          <w:color w:val="auto"/>
        </w:rPr>
        <w:t>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harm our business, results of operations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requires the appropriate and secure utilization of customer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Failure to comply with the Payment Card Industry Standards or other privacy and data use and security requirements of our partners or related laws, rules and regulations to which we are subject may expose us to claims for contract breach, fines, sanctions or other penalties, which could materially and adversely affect our business, results of operations and financial condition. In addition,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6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success of our business depends on, among other things, the ability to operate an optimum number and type of aircraft.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76" w:right="239" w:bottom="1440" w:gutter="0" w:footer="0" w:header="0"/>
        </w:sectPr>
      </w:pPr>
    </w:p>
    <w:bookmarkStart w:id="108" w:name="page109"/>
    <w:bookmarkEnd w:id="108"/>
    <w:p>
      <w:pPr>
        <w:jc w:val="both"/>
        <w:spacing w:after="0" w:line="312" w:lineRule="auto"/>
        <w:rPr>
          <w:sz w:val="20"/>
          <w:szCs w:val="20"/>
          <w:color w:val="auto"/>
        </w:rPr>
      </w:pPr>
      <w:r>
        <w:rPr>
          <w:rFonts w:ascii="Arial" w:cs="Arial" w:eastAsia="Arial" w:hAnsi="Arial"/>
          <w:sz w:val="16"/>
          <w:szCs w:val="16"/>
          <w:color w:val="auto"/>
        </w:rPr>
        <w:t>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4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62" w:lineRule="exact"/>
        <w:rPr>
          <w:sz w:val="20"/>
          <w:szCs w:val="20"/>
          <w:color w:val="auto"/>
        </w:rPr>
      </w:pPr>
    </w:p>
    <w:p>
      <w:pPr>
        <w:ind w:left="1380" w:hanging="400"/>
        <w:spacing w:after="0" w:line="258" w:lineRule="auto"/>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1"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actual or potential disruptions to the ATC systems, including as a result of "sequestration" or any other interruption in government funding;</w:t>
      </w:r>
    </w:p>
    <w:p>
      <w:pPr>
        <w:spacing w:after="0" w:line="32" w:lineRule="exact"/>
        <w:rPr>
          <w:rFonts w:ascii="Arial" w:cs="Arial" w:eastAsia="Arial" w:hAnsi="Arial"/>
          <w:sz w:val="16"/>
          <w:szCs w:val="16"/>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particular, an outbreak of a contagious disease (such as the recent severe outbreak in West Africa of the Ebola virus, cases of which have recently been identified in the United States and Europe) or of another contagious disease such as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The FAA also recently issued regulations that increase the flight experience required for pilots working for airlines certificated under Part 121 of the Federal Aviation Regulations. These and other factors could contribute to a shortage of qualified pilots, which could adversely affect 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76" w:right="239" w:bottom="1440" w:gutter="0" w:footer="0" w:header="0"/>
        </w:sectPr>
      </w:pPr>
    </w:p>
    <w:bookmarkStart w:id="109" w:name="page110"/>
    <w:bookmarkEnd w:id="109"/>
    <w:p>
      <w:pPr>
        <w:ind w:left="660"/>
        <w:spacing w:after="0" w:line="277" w:lineRule="auto"/>
        <w:rPr>
          <w:sz w:val="20"/>
          <w:szCs w:val="20"/>
          <w:color w:val="auto"/>
        </w:rPr>
      </w:pPr>
      <w:r>
        <w:rPr>
          <w:rFonts w:ascii="Arial" w:cs="Arial" w:eastAsia="Arial" w:hAnsi="Arial"/>
          <w:sz w:val="18"/>
          <w:szCs w:val="18"/>
          <w:b w:val="1"/>
          <w:bCs w:val="1"/>
          <w:i w:val="1"/>
          <w:iCs w:val="1"/>
          <w:color w:val="auto"/>
        </w:rPr>
        <w:t>Several lawsuits were filed in connection with the Merger and remain pending, and these lawsuits could have a material adverse impact on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US Airways Group, as well as the members of US Airways Group’s board of directors, were named as defendants in a lawsuit brought by a purported class of US Airways Group’s stockholders challenging the Merger and seeking a declaration that the Merger Agreement is unenforceable, an injunction against the Merger (or rescission in the event it has been consummated), imposition of a constructive trust, an award of fees and costs, including attorneys’ and experts’ fees, and other relief. US Airways Group, US Airways, AMR and American were also named as defendants in a private antitrust lawsuit.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 carriers to hold separate their assets. In March 2014, the Court allowed plaintiffs to add certain allegations but denied plaintiffs' requests to add a damages claim or seek preliminary injunctive relief requiring the carriers to hold separate their assets, and in June 2014 plaintiffs filed an amended motion for leave to file a second amended and supplemental complaint. Such private lawsuits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 See Part II, Item 1 - Legal Proceedings.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Internal Revenue Code of 1986, as amended (the Code), a corporation is generally allowed a deduction for NOL Carryforwards. As of December 31, 2013, we had available NOL Carryforwards of approximately $10.6 billion for regular federal income tax purposes which will expire, if unused, beginning in 2022, and approximately $4.7 billion for state income tax purposes which will expire, if unused, between 2014 and 2033. As of December 31, 2013, the amount of NOL Carryforwards for state income tax purposes that will expire, if unused, in the remainder of 2014 is $106 million. Our NOL Carryforwards are subject to adjustment on audit by the Internal Revenue Service and the respective state taxing authorities.</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 approximately $9.0 billion of our federal NOL Carryforwards to be utilized without regard to the annual limitation generally imposed by Section 382.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3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76" w:right="239" w:bottom="1440" w:gutter="0" w:footer="0" w:header="0"/>
        </w:sectPr>
      </w:pPr>
    </w:p>
    <w:bookmarkStart w:id="110" w:name="page111"/>
    <w:bookmarkEnd w:id="110"/>
    <w:p>
      <w:pPr>
        <w:jc w:val="both"/>
        <w:ind w:firstLine="648"/>
        <w:spacing w:after="0" w:line="253" w:lineRule="auto"/>
        <w:rPr>
          <w:sz w:val="20"/>
          <w:szCs w:val="20"/>
          <w:color w:val="auto"/>
        </w:rPr>
      </w:pPr>
      <w:r>
        <w:rPr>
          <w:rFonts w:ascii="Arial" w:cs="Arial" w:eastAsia="Arial" w:hAnsi="Arial"/>
          <w:sz w:val="18"/>
          <w:szCs w:val="18"/>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price of AAG Common Stock may fluctuate substantially due to a variety of factors, many of which are beyond our control, including:</w:t>
      </w:r>
    </w:p>
    <w:p>
      <w:pPr>
        <w:spacing w:after="0" w:line="140" w:lineRule="exact"/>
        <w:rPr>
          <w:sz w:val="20"/>
          <w:szCs w:val="20"/>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9" w:lineRule="exact"/>
        <w:rPr>
          <w:rFonts w:ascii="Arial" w:cs="Arial" w:eastAsia="Arial" w:hAnsi="Arial"/>
          <w:sz w:val="18"/>
          <w:szCs w:val="18"/>
          <w:color w:val="auto"/>
        </w:rPr>
      </w:pPr>
    </w:p>
    <w:p>
      <w:pPr>
        <w:ind w:left="1300" w:right="20" w:hanging="320"/>
        <w:spacing w:after="0" w:line="259"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w:t>
      </w:r>
      <w:r>
        <w:rPr>
          <w:rFonts w:ascii="Arial" w:cs="Arial" w:eastAsia="Arial" w:hAnsi="Arial"/>
          <w:sz w:val="19"/>
          <w:szCs w:val="19"/>
          <w:color w:val="auto"/>
        </w:rPr>
        <w:t>,</w:t>
      </w:r>
      <w:r>
        <w:rPr>
          <w:rFonts w:ascii="Arial" w:cs="Arial" w:eastAsia="Arial" w:hAnsi="Arial"/>
          <w:sz w:val="18"/>
          <w:szCs w:val="18"/>
          <w:color w:val="auto"/>
        </w:rPr>
        <w:t xml:space="preserve"> including distributions from the disputed claims reserve established under the plan of reorganization upon the resolution of the underlying claims;</w:t>
      </w:r>
    </w:p>
    <w:p>
      <w:pPr>
        <w:ind w:left="1300" w:hanging="320"/>
        <w:spacing w:after="0" w:line="250"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0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provisions of our Certificate of Incorporation and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73" w:lineRule="exact"/>
        <w:rPr>
          <w:sz w:val="20"/>
          <w:szCs w:val="20"/>
          <w:color w:val="auto"/>
        </w:rPr>
      </w:pP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23" w:lineRule="exact"/>
        <w:rPr>
          <w:rFonts w:ascii="Arial" w:cs="Arial" w:eastAsia="Arial" w:hAnsi="Arial"/>
          <w:sz w:val="18"/>
          <w:szCs w:val="18"/>
          <w:color w:val="auto"/>
        </w:rPr>
      </w:pP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9"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ind w:left="1380" w:hanging="40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584" w:right="239" w:bottom="1440" w:gutter="0" w:footer="0" w:header="0"/>
        </w:sectPr>
      </w:pPr>
    </w:p>
    <w:bookmarkStart w:id="111" w:name="page112"/>
    <w:bookmarkEnd w:id="111"/>
    <w:p>
      <w:pPr>
        <w:ind w:left="6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41"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the AAG Common Stock, which may limit the liquidity of AAG Common Stock.</w:t>
      </w:r>
    </w:p>
    <w:p>
      <w:pPr>
        <w:spacing w:after="0" w:line="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76" w:right="239" w:bottom="1440" w:gutter="0" w:footer="0" w:header="0"/>
        </w:sectPr>
      </w:pPr>
    </w:p>
    <w:bookmarkStart w:id="112" w:name="page113"/>
    <w:bookmarkEnd w:id="112"/>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91" w:lineRule="exact"/>
        <w:rPr>
          <w:sz w:val="20"/>
          <w:szCs w:val="20"/>
          <w:color w:val="auto"/>
        </w:rPr>
      </w:pPr>
    </w:p>
    <w:p>
      <w:pPr>
        <w:ind w:left="1260" w:right="40"/>
        <w:spacing w:after="0" w:line="277"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September 30, 2014. There were no share repurchases in the first or second quarters of 2014.</w:t>
      </w:r>
    </w:p>
    <w:p>
      <w:pPr>
        <w:spacing w:after="0" w:line="200" w:lineRule="exact"/>
        <w:rPr>
          <w:sz w:val="20"/>
          <w:szCs w:val="20"/>
          <w:color w:val="auto"/>
        </w:rPr>
      </w:pPr>
    </w:p>
    <w:p>
      <w:pPr>
        <w:spacing w:after="0" w:line="349"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2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Total number of shares</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w w:val="92"/>
              </w:rPr>
              <w:t>Maximum dollar value of shares that</w:t>
            </w:r>
          </w:p>
        </w:tc>
      </w:tr>
      <w:tr>
        <w:trPr>
          <w:trHeight w:val="216"/>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95"/>
              </w:rPr>
              <w:t>Total number of</w:t>
            </w:r>
          </w:p>
        </w:tc>
        <w:tc>
          <w:tcPr>
            <w:tcW w:w="4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price paid</w:t>
            </w: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purchased as part of publicly</w:t>
            </w:r>
          </w:p>
        </w:tc>
        <w:tc>
          <w:tcPr>
            <w:tcW w:w="2720" w:type="dxa"/>
            <w:vAlign w:val="bottom"/>
            <w:gridSpan w:val="2"/>
          </w:tcPr>
          <w:p>
            <w:pPr>
              <w:ind w:left="80"/>
              <w:spacing w:after="0"/>
              <w:rPr>
                <w:sz w:val="20"/>
                <w:szCs w:val="20"/>
                <w:color w:val="auto"/>
              </w:rPr>
            </w:pPr>
            <w:r>
              <w:rPr>
                <w:rFonts w:ascii="Arial" w:cs="Arial" w:eastAsia="Arial" w:hAnsi="Arial"/>
                <w:sz w:val="18"/>
                <w:szCs w:val="18"/>
                <w:color w:val="auto"/>
                <w:w w:val="90"/>
              </w:rPr>
              <w:t>may be purchased under the plan or</w:t>
            </w:r>
          </w:p>
        </w:tc>
      </w:tr>
      <w:tr>
        <w:trPr>
          <w:trHeight w:val="230"/>
        </w:trPr>
        <w:tc>
          <w:tcPr>
            <w:tcW w:w="1860" w:type="dxa"/>
            <w:vAlign w:val="bottom"/>
            <w:gridSpan w:val="2"/>
          </w:tcPr>
          <w:p>
            <w:pPr>
              <w:ind w:left="560"/>
              <w:spacing w:after="0"/>
              <w:rPr>
                <w:sz w:val="20"/>
                <w:szCs w:val="20"/>
                <w:color w:val="auto"/>
              </w:rPr>
            </w:pPr>
            <w:r>
              <w:rPr>
                <w:rFonts w:ascii="Arial" w:cs="Arial" w:eastAsia="Arial" w:hAnsi="Arial"/>
                <w:sz w:val="18"/>
                <w:szCs w:val="18"/>
                <w:color w:val="auto"/>
              </w:rPr>
              <w:t>Period</w:t>
            </w:r>
          </w:p>
        </w:tc>
        <w:tc>
          <w:tcPr>
            <w:tcW w:w="1300" w:type="dxa"/>
            <w:vAlign w:val="bottom"/>
          </w:tcPr>
          <w:p>
            <w:pPr>
              <w:jc w:val="right"/>
              <w:spacing w:after="0"/>
              <w:rPr>
                <w:sz w:val="20"/>
                <w:szCs w:val="20"/>
                <w:color w:val="auto"/>
              </w:rPr>
            </w:pPr>
            <w:r>
              <w:rPr>
                <w:rFonts w:ascii="Arial" w:cs="Arial" w:eastAsia="Arial" w:hAnsi="Arial"/>
                <w:sz w:val="18"/>
                <w:szCs w:val="18"/>
                <w:color w:val="auto"/>
                <w:w w:val="86"/>
              </w:rPr>
              <w:t>shares purchased</w:t>
            </w:r>
          </w:p>
        </w:tc>
        <w:tc>
          <w:tcPr>
            <w:tcW w:w="4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per share</w:t>
            </w:r>
          </w:p>
        </w:tc>
        <w:tc>
          <w:tcPr>
            <w:tcW w:w="24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announced plan or program (a)</w:t>
            </w:r>
          </w:p>
        </w:tc>
        <w:tc>
          <w:tcPr>
            <w:tcW w:w="340" w:type="dxa"/>
            <w:vAlign w:val="bottom"/>
          </w:tcPr>
          <w:p>
            <w:pPr>
              <w:spacing w:after="0"/>
              <w:rPr>
                <w:sz w:val="20"/>
                <w:szCs w:val="20"/>
                <w:color w:val="auto"/>
              </w:rPr>
            </w:pPr>
          </w:p>
        </w:tc>
        <w:tc>
          <w:tcPr>
            <w:tcW w:w="2380" w:type="dxa"/>
            <w:vAlign w:val="bottom"/>
          </w:tcPr>
          <w:p>
            <w:pPr>
              <w:jc w:val="right"/>
              <w:ind w:right="510"/>
              <w:spacing w:after="0"/>
              <w:rPr>
                <w:sz w:val="20"/>
                <w:szCs w:val="20"/>
                <w:color w:val="auto"/>
              </w:rPr>
            </w:pPr>
            <w:r>
              <w:rPr>
                <w:rFonts w:ascii="Arial" w:cs="Arial" w:eastAsia="Arial" w:hAnsi="Arial"/>
                <w:sz w:val="18"/>
                <w:szCs w:val="18"/>
                <w:color w:val="auto"/>
              </w:rPr>
              <w:t>program (in millions)</w:t>
            </w:r>
          </w:p>
        </w:tc>
      </w:tr>
      <w:tr>
        <w:trPr>
          <w:trHeight w:val="27"/>
        </w:trPr>
        <w:tc>
          <w:tcPr>
            <w:tcW w:w="16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399"/>
        </w:trPr>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July 2014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432,462</w:t>
            </w:r>
          </w:p>
        </w:tc>
        <w:tc>
          <w:tcPr>
            <w:tcW w:w="460" w:type="dxa"/>
            <w:vAlign w:val="bottom"/>
          </w:tcPr>
          <w:p>
            <w:pPr>
              <w:ind w:left="20"/>
              <w:spacing w:after="0"/>
              <w:rPr>
                <w:sz w:val="20"/>
                <w:szCs w:val="20"/>
                <w:color w:val="auto"/>
              </w:rPr>
            </w:pPr>
            <w:r>
              <w:rPr>
                <w:rFonts w:ascii="Arial" w:cs="Arial" w:eastAsia="Arial" w:hAnsi="Arial"/>
                <w:sz w:val="18"/>
                <w:szCs w:val="18"/>
                <w:color w:val="auto"/>
              </w:rPr>
              <w:t>(b)</w:t>
            </w:r>
          </w:p>
        </w:tc>
        <w:tc>
          <w:tcPr>
            <w:tcW w:w="1040" w:type="dxa"/>
            <w:vAlign w:val="bottom"/>
          </w:tcPr>
          <w:p>
            <w:pPr>
              <w:jc w:val="right"/>
              <w:spacing w:after="0"/>
              <w:rPr>
                <w:sz w:val="20"/>
                <w:szCs w:val="20"/>
                <w:color w:val="auto"/>
              </w:rPr>
            </w:pPr>
            <w:r>
              <w:rPr>
                <w:rFonts w:ascii="Arial" w:cs="Arial" w:eastAsia="Arial" w:hAnsi="Arial"/>
                <w:sz w:val="18"/>
                <w:szCs w:val="18"/>
                <w:color w:val="auto"/>
              </w:rPr>
              <w:t>$42.96</w:t>
            </w:r>
          </w:p>
        </w:tc>
        <w:tc>
          <w:tcPr>
            <w:tcW w:w="100" w:type="dxa"/>
            <w:vAlign w:val="bottom"/>
          </w:tcPr>
          <w:p>
            <w:pPr>
              <w:spacing w:after="0"/>
              <w:rPr>
                <w:sz w:val="24"/>
                <w:szCs w:val="24"/>
                <w:color w:val="auto"/>
              </w:rPr>
            </w:pPr>
          </w:p>
        </w:tc>
        <w:tc>
          <w:tcPr>
            <w:tcW w:w="2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0"/>
        </w:trPr>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August 2014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1,899,038</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23"/>
                <w:szCs w:val="23"/>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1,899,038</w:t>
            </w:r>
          </w:p>
        </w:tc>
        <w:tc>
          <w:tcPr>
            <w:tcW w:w="16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925</w:t>
            </w:r>
          </w:p>
        </w:tc>
      </w:tr>
      <w:tr>
        <w:trPr>
          <w:trHeight w:val="270"/>
        </w:trPr>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September 2014</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981,143</w:t>
            </w:r>
          </w:p>
        </w:tc>
        <w:tc>
          <w:tcPr>
            <w:tcW w:w="4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Pr>
          <w:p>
            <w:pPr>
              <w:spacing w:after="0"/>
              <w:rPr>
                <w:sz w:val="23"/>
                <w:szCs w:val="23"/>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981,143</w:t>
            </w:r>
          </w:p>
        </w:tc>
        <w:tc>
          <w:tcPr>
            <w:tcW w:w="16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30"/>
              <w:spacing w:after="0"/>
              <w:rPr>
                <w:sz w:val="20"/>
                <w:szCs w:val="20"/>
                <w:color w:val="auto"/>
              </w:rPr>
            </w:pPr>
            <w:r>
              <w:rPr>
                <w:rFonts w:ascii="Arial" w:cs="Arial" w:eastAsia="Arial" w:hAnsi="Arial"/>
                <w:sz w:val="18"/>
                <w:szCs w:val="18"/>
                <w:color w:val="auto"/>
              </w:rPr>
              <w:t>887</w:t>
            </w:r>
          </w:p>
        </w:tc>
      </w:tr>
    </w:tbl>
    <w:p>
      <w:pPr>
        <w:spacing w:after="0" w:line="364" w:lineRule="exact"/>
        <w:rPr>
          <w:sz w:val="20"/>
          <w:szCs w:val="20"/>
          <w:color w:val="auto"/>
        </w:rPr>
      </w:pPr>
    </w:p>
    <w:p>
      <w:pPr>
        <w:jc w:val="both"/>
        <w:ind w:left="2880" w:right="40" w:hanging="254"/>
        <w:spacing w:after="0" w:line="291" w:lineRule="auto"/>
        <w:tabs>
          <w:tab w:leader="none" w:pos="2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July 23, 2014, as part of a capital deployment program, our Board of Directors authorized a $1.0 billion share repurchase program to be completed no later than December 31, 2015. Share repurchases under the share repurchase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This share repurchase program does not obligate us to repurchase any specific number of shares for any fixed period, and may be suspended at any time at management's discretion.</w:t>
      </w:r>
    </w:p>
    <w:p>
      <w:pPr>
        <w:spacing w:after="0" w:line="234" w:lineRule="exact"/>
        <w:rPr>
          <w:rFonts w:ascii="Arial" w:cs="Arial" w:eastAsia="Arial" w:hAnsi="Arial"/>
          <w:sz w:val="16"/>
          <w:szCs w:val="16"/>
          <w:color w:val="auto"/>
        </w:rPr>
      </w:pPr>
    </w:p>
    <w:p>
      <w:pPr>
        <w:jc w:val="both"/>
        <w:ind w:left="2880" w:right="40" w:hanging="264"/>
        <w:spacing w:after="0" w:line="264" w:lineRule="auto"/>
        <w:tabs>
          <w:tab w:leader="none" w:pos="2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Separate from our share repurchase program, in July 2014 we repurchased 432,462 shares of AAG Common Stock for an aggregate of $19 million from the Disputed Claim Reserve (DCR) at the then prevailing market price in order to fund cash tax obligations resulting from distributions by the DCR.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80" w:top="526" w:right="339" w:bottom="1440" w:gutter="0" w:footer="0" w:header="0"/>
        </w:sectPr>
      </w:pPr>
    </w:p>
    <w:bookmarkStart w:id="113" w:name="page114"/>
    <w:bookmarkEnd w:id="113"/>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Exhibit Index following the signature pages to this report are filed as part of, or incorporated by reference into, this report.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715"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00" w:lineRule="exact"/>
        <w:rPr>
          <w:sz w:val="20"/>
          <w:szCs w:val="20"/>
          <w:color w:val="auto"/>
        </w:rPr>
      </w:pPr>
    </w:p>
    <w:p>
      <w:pPr>
        <w:spacing w:after="0" w:line="232" w:lineRule="exact"/>
        <w:rPr>
          <w:sz w:val="20"/>
          <w:szCs w:val="20"/>
          <w:color w:val="auto"/>
        </w:rPr>
      </w:pPr>
    </w:p>
    <w:p>
      <w:pPr>
        <w:ind w:left="420"/>
        <w:spacing w:after="0"/>
        <w:tabs>
          <w:tab w:leader="none" w:pos="5780" w:val="left"/>
        </w:tabs>
        <w:rPr>
          <w:sz w:val="20"/>
          <w:szCs w:val="20"/>
          <w:color w:val="auto"/>
        </w:rPr>
      </w:pPr>
      <w:r>
        <w:rPr>
          <w:rFonts w:ascii="Arial" w:cs="Arial" w:eastAsia="Arial" w:hAnsi="Arial"/>
          <w:sz w:val="18"/>
          <w:szCs w:val="18"/>
          <w:color w:val="auto"/>
        </w:rPr>
        <w:t>Date: October 22, 2014 By:</w:t>
      </w:r>
      <w:r>
        <w:rPr>
          <w:sz w:val="20"/>
          <w:szCs w:val="20"/>
          <w:color w:val="auto"/>
        </w:rPr>
        <w:tab/>
      </w: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31750</wp:posOffset>
            </wp:positionV>
            <wp:extent cx="33445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American Airlines, Inc.</w:t>
      </w:r>
    </w:p>
    <w:p>
      <w:pPr>
        <w:spacing w:after="0" w:line="200" w:lineRule="exact"/>
        <w:rPr>
          <w:sz w:val="20"/>
          <w:szCs w:val="20"/>
          <w:color w:val="auto"/>
        </w:rPr>
      </w:pPr>
    </w:p>
    <w:p>
      <w:pPr>
        <w:spacing w:after="0" w:line="232" w:lineRule="exact"/>
        <w:rPr>
          <w:sz w:val="20"/>
          <w:szCs w:val="20"/>
          <w:color w:val="auto"/>
        </w:rPr>
      </w:pPr>
    </w:p>
    <w:p>
      <w:pPr>
        <w:ind w:left="420"/>
        <w:spacing w:after="0"/>
        <w:tabs>
          <w:tab w:leader="none" w:pos="5780" w:val="left"/>
        </w:tabs>
        <w:rPr>
          <w:sz w:val="20"/>
          <w:szCs w:val="20"/>
          <w:color w:val="auto"/>
        </w:rPr>
      </w:pPr>
      <w:r>
        <w:rPr>
          <w:rFonts w:ascii="Arial" w:cs="Arial" w:eastAsia="Arial" w:hAnsi="Arial"/>
          <w:sz w:val="18"/>
          <w:szCs w:val="18"/>
          <w:color w:val="auto"/>
        </w:rPr>
        <w:t>Date: October 22, 2014 By:</w:t>
      </w:r>
      <w:r>
        <w:rPr>
          <w:sz w:val="20"/>
          <w:szCs w:val="20"/>
          <w:color w:val="auto"/>
        </w:rPr>
        <w:tab/>
      </w:r>
      <w:r>
        <w:rPr>
          <w:rFonts w:ascii="Arial" w:cs="Arial" w:eastAsia="Arial" w:hAnsi="Arial"/>
          <w:sz w:val="16"/>
          <w:szCs w:val="16"/>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31750</wp:posOffset>
            </wp:positionV>
            <wp:extent cx="33445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526" w:right="2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0320" w:type="dxa"/>
            <w:vAlign w:val="bottom"/>
          </w:tcPr>
          <w:p>
            <w:pPr>
              <w:spacing w:after="0"/>
              <w:rPr>
                <w:sz w:val="24"/>
                <w:szCs w:val="24"/>
                <w:color w:val="auto"/>
              </w:rPr>
            </w:pPr>
          </w:p>
        </w:tc>
      </w:tr>
      <w:tr>
        <w:trPr>
          <w:trHeight w:val="234"/>
        </w:trPr>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103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22"/>
        </w:trPr>
        <w:tc>
          <w:tcPr>
            <w:tcW w:w="100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0"/>
              </w:rPr>
              <w:t>Pass Through Trust Agreement, dated as of September 16, 2014, between American Airlines, Inc. and Wilmington Trust Company, as Trustee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(incorporated by reference to Exhibit 4.1 to AAG’s Current 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6"/>
              </w:rPr>
              <w:t>Trust Supplement No. 2014-1A, dated as of September 16, 2014, between American Airlines, Inc. and Wilmington Trust Company, as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Trustee, to the Pass Through Trust Agreement, dated as of September 16, 2014 (incorporated by reference to Exhibit 4.2 to AAG’s Current</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6"/>
              </w:rPr>
              <w:t>Trust Supplement No. 2014-1B, dated as of September 16, 2014, between American Airlines, Inc. and Wilmington Trust Company, as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Trustee, to the Pass Through Trust Agreement, dated as of September 16, 2014 (incorporated by reference to Exhibit 4.3 to AAG’s Current</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Intercreditor Agreement (2014-1), dated as of September 16, 2014, among Wilmington Trust Company, as Trustee of the American Airlines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1"/>
              </w:rPr>
              <w:t>Pass Through Trust 2014-1A and as Trustee of the American Airlines Pass Through Trust 2014-1B, Crédit Agricole Corporate and Investment</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Bank, acting through its New York Branch, as Class A Liquidity Provider and Class B Liquidity Provider, and Wilmington Trust Company, as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Subordination Agent (incorporated by reference to Exhibit 4.4 to AAG’s Current Report on Form 8-K filed on September 17, 2014</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3"/>
              </w:rPr>
              <w:t>Note Purchase Agreement, dated as of September 16, 2014, among American Airlines, Inc., Wilmington Trust Company, as Pass Through</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Trustee under each of the Pass Through Trust Agreements, Wilmington Trust Company, as Subordination Agent, Wilmington Trust, National</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Association, as Escrow Agent, and Wilmington Trust Company, as Paying Agent (incorporated by reference to Exhibit 4.9 to AAG’s Current</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Form of Participation Agreement (Participation Agreement among American Airlines, Inc., Wilmington Trust Company, as Pass Through</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1"/>
              </w:rPr>
              <w:t>Trustee under each of the Pass Through Trust Agreements, Wilmington Trust Company, as Subordination Agent, Wilmington Trust Company,</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as Loan Trustee, and Wilmington Trust Company, in its individual capacity as set forth therein) (Exhibit B to Note Purchase Agreement)</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4.10 to AAG’s Current Report on Form 8-K filed on September 17, 2014 (Commission File No. 1-</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8400)).</w:t>
            </w:r>
          </w:p>
        </w:tc>
      </w:tr>
      <w:tr>
        <w:trPr>
          <w:trHeight w:val="688"/>
        </w:trPr>
        <w:tc>
          <w:tcPr>
            <w:tcW w:w="1000" w:type="dxa"/>
            <w:vAlign w:val="bottom"/>
          </w:tcPr>
          <w:p>
            <w:pPr>
              <w:ind w:left="4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6"/>
              </w:rPr>
              <w:t>Form of Indenture and Security Agreement (Indenture and Security Agreement between American Airlines, Inc., and Wilmington Trust</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Company, as Loan Trustee) (Exhibit C to Note Purchase Agreement) (incorporated by reference to Exhibit 4.11 to AAG’s Current Report 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3"/>
              </w:rPr>
              <w:t>Revolving Credit Agreement (2014-1A), dated as of September 16, 2014, between Wilmington Trust Company, as Subordination Agent, as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agent and trustee for the trustee of the American Airlines Pass Through Trust 2014-1A, as Borrower, and Crédit Agricole Corporate and</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Investment Bank, acting through its New York Branch, as Liquidity Provider (incorporated by reference to Exhibit 4.14 to AAG’s Current</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3"/>
              </w:rPr>
              <w:t>Revolving Credit Agreement (2014-1B), dated as of September 16, 2014, between Wilmington Trust Company, as Subordination Agent, as</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agent and trustee for the trustee of the American Airlines Pass Through Trust 2014-1B, as Borrower, and Crédit Agricole Corporate and</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5"/>
              </w:rPr>
              <w:t>Investment Bank, acting through its New York Branch, as Liquidity Provider (incorporated by reference to Exhibit 4.15 to AAG’s Current</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Report on Form 8-K filed on September 17,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1"/>
              </w:rPr>
              <w:t>Indenture, dated as of September 25, 2014, by and among American Airlines Group Inc., the Guarantors (as defined therein) and Wilmington</w:t>
            </w: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4"/>
              </w:rPr>
              <w:t>Trust, National Association, as trustee (incorporated by reference to Exhibit 4.1 to AAG’s Current Report on Form 8-K filed on September</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26,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4"/>
              </w:rPr>
              <w:t>Form of 5.50% Senior Notes due 2019 (incorporated by reference to Exhibit 4.2 to AAG’s Current Report on Form 8-K filed on September</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26, 2014 (Commission File No. 1-8400)).</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2"/>
              </w:rPr>
              <w:t>Supplemental Agreement No. 38, dated as of Sept. 26, 2014, to Purchase Agreement No. 1977 by and between American Airlines, Inc. and</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The Boeing Company.</w:t>
            </w:r>
          </w:p>
        </w:tc>
      </w:tr>
      <w:tr>
        <w:trPr>
          <w:trHeight w:val="472"/>
        </w:trPr>
        <w:tc>
          <w:tcPr>
            <w:tcW w:w="1000" w:type="dxa"/>
            <w:vAlign w:val="bottom"/>
          </w:tcPr>
          <w:p>
            <w:pPr>
              <w:ind w:left="4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3"/>
              </w:rPr>
              <w:t>Computation of ratio of earnings to combined fixed charges and preferred dividends of American Airlines Group Inc. for the three and nine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months ended September 30, 2014 and 2013.</w:t>
            </w:r>
          </w:p>
        </w:tc>
      </w:tr>
      <w:tr>
        <w:trPr>
          <w:trHeight w:val="256"/>
        </w:trPr>
        <w:tc>
          <w:tcPr>
            <w:tcW w:w="1000" w:type="dxa"/>
            <w:vAlign w:val="bottom"/>
          </w:tcPr>
          <w:p>
            <w:pPr>
              <w:ind w:left="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4"/>
              </w:rPr>
              <w:t>Computation of ratio of earnings to fixed charges of American Airlines, Inc. for the three and nine months ended September 30, 2014 and</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2013.</w:t>
            </w:r>
          </w:p>
        </w:tc>
      </w:tr>
      <w:tr>
        <w:trPr>
          <w:trHeight w:val="270"/>
        </w:trPr>
        <w:tc>
          <w:tcPr>
            <w:tcW w:w="100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3"/>
                <w:szCs w:val="23"/>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270"/>
        </w:trPr>
        <w:tc>
          <w:tcPr>
            <w:tcW w:w="100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AAG Chief Financial Officer pursuant to Rule 13a-14(a).</w:t>
            </w:r>
          </w:p>
        </w:tc>
      </w:tr>
    </w:tbl>
    <w:p>
      <w:pPr>
        <w:spacing w:after="0" w:line="200" w:lineRule="exact"/>
        <w:rPr>
          <w:sz w:val="20"/>
          <w:szCs w:val="20"/>
          <w:color w:val="auto"/>
        </w:rPr>
      </w:pPr>
    </w:p>
    <w:p>
      <w:pPr>
        <w:sectPr>
          <w:pgSz w:w="11900" w:h="16838" w:orient="portrait"/>
          <w:cols w:equalWidth="0" w:num="1">
            <w:col w:w="11420"/>
          </w:cols>
          <w:pgMar w:left="240" w:top="580" w:right="239" w:bottom="809"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580" w:right="239" w:bottom="809"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w:t>
            </w:r>
          </w:p>
        </w:tc>
        <w:tc>
          <w:tcPr>
            <w:tcW w:w="10320" w:type="dxa"/>
            <w:vAlign w:val="bottom"/>
          </w:tcPr>
          <w:p>
            <w:pPr>
              <w:spacing w:after="0"/>
              <w:rPr>
                <w:sz w:val="18"/>
                <w:szCs w:val="18"/>
                <w:color w:val="auto"/>
              </w:rPr>
            </w:pPr>
          </w:p>
        </w:tc>
      </w:tr>
      <w:tr>
        <w:trPr>
          <w:trHeight w:val="234"/>
        </w:trPr>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10320" w:type="dxa"/>
            <w:vAlign w:val="bottom"/>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32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ind w:left="4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270"/>
        </w:trPr>
        <w:tc>
          <w:tcPr>
            <w:tcW w:w="1000" w:type="dxa"/>
            <w:vAlign w:val="bottom"/>
          </w:tcPr>
          <w:p>
            <w:pPr>
              <w:ind w:left="4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256"/>
        </w:trPr>
        <w:tc>
          <w:tcPr>
            <w:tcW w:w="100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r>
        <w:trPr>
          <w:trHeight w:val="256"/>
        </w:trPr>
        <w:tc>
          <w:tcPr>
            <w:tcW w:w="100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r>
        <w:trPr>
          <w:trHeight w:val="270"/>
        </w:trPr>
        <w:tc>
          <w:tcPr>
            <w:tcW w:w="100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10320" w:type="dxa"/>
            <w:vAlign w:val="bottom"/>
          </w:tcPr>
          <w:p>
            <w:pPr>
              <w:ind w:left="20"/>
              <w:spacing w:after="0"/>
              <w:rPr>
                <w:sz w:val="20"/>
                <w:szCs w:val="20"/>
                <w:color w:val="auto"/>
              </w:rPr>
            </w:pPr>
            <w:r>
              <w:rPr>
                <w:rFonts w:ascii="Arial" w:cs="Arial" w:eastAsia="Arial" w:hAnsi="Arial"/>
                <w:sz w:val="18"/>
                <w:szCs w:val="18"/>
                <w:color w:val="auto"/>
              </w:rPr>
              <w:t>Interactive data files pursuant to Rule 405 of Regulation S-T.</w:t>
            </w:r>
          </w:p>
        </w:tc>
      </w:tr>
      <w:tr>
        <w:trPr>
          <w:trHeight w:val="918"/>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320" w:type="dxa"/>
            <w:vAlign w:val="bottom"/>
          </w:tcPr>
          <w:p>
            <w:pPr>
              <w:ind w:left="4480"/>
              <w:spacing w:after="0"/>
              <w:rPr>
                <w:sz w:val="20"/>
                <w:szCs w:val="20"/>
                <w:color w:val="auto"/>
              </w:rPr>
            </w:pPr>
            <w:r>
              <w:rPr>
                <w:rFonts w:ascii="Arial" w:cs="Arial" w:eastAsia="Arial" w:hAnsi="Arial"/>
                <w:sz w:val="18"/>
                <w:szCs w:val="18"/>
                <w:color w:val="auto"/>
              </w:rPr>
              <w:t>117</w:t>
            </w:r>
          </w:p>
        </w:tc>
      </w:tr>
    </w:tbl>
    <w:p>
      <w:pPr>
        <w:sectPr>
          <w:pgSz w:w="11900" w:h="16838" w:orient="portrait"/>
          <w:cols w:equalWidth="0" w:num="1">
            <w:col w:w="11420"/>
          </w:cols>
          <w:pgMar w:left="240" w:top="526"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1977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737-800 Aircraft</w:t>
      </w:r>
    </w:p>
    <w:p>
      <w:pPr>
        <w:spacing w:after="0" w:line="225" w:lineRule="exact"/>
        <w:rPr>
          <w:sz w:val="20"/>
          <w:szCs w:val="20"/>
          <w:color w:val="auto"/>
        </w:rPr>
      </w:pPr>
    </w:p>
    <w:p>
      <w:pPr>
        <w:ind w:right="60" w:firstLine="1484"/>
        <w:spacing w:after="0" w:line="264" w:lineRule="auto"/>
        <w:rPr>
          <w:sz w:val="20"/>
          <w:szCs w:val="20"/>
          <w:color w:val="auto"/>
        </w:rPr>
      </w:pPr>
      <w:r>
        <w:rPr>
          <w:rFonts w:ascii="Arial" w:cs="Arial" w:eastAsia="Arial" w:hAnsi="Arial"/>
          <w:sz w:val="18"/>
          <w:szCs w:val="18"/>
          <w:color w:val="auto"/>
        </w:rPr>
        <w:t>THIS SUPPLEMENTAL AGREEMENT, entered into as of September 26, 2014, (Supplemental Agreement Number 38) by and between THE BOEING COMPANY, a Delaware corporation with offices in Seattle, Washington,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right="220" w:firstLine="1484"/>
        <w:spacing w:after="0" w:line="264" w:lineRule="auto"/>
        <w:rPr>
          <w:sz w:val="20"/>
          <w:szCs w:val="20"/>
          <w:color w:val="auto"/>
        </w:rPr>
      </w:pPr>
      <w:r>
        <w:rPr>
          <w:rFonts w:ascii="Arial" w:cs="Arial" w:eastAsia="Arial" w:hAnsi="Arial"/>
          <w:sz w:val="18"/>
          <w:szCs w:val="18"/>
          <w:color w:val="auto"/>
        </w:rPr>
        <w:t>WHEREAS, Boeing and Customer entered into Purchase Agreement No. 1977 dated October 31, 1997, relating to Boeing Model 737-823 aircraft, as amended and supplemented (</w:t>
      </w:r>
      <w:r>
        <w:rPr>
          <w:rFonts w:ascii="Arial" w:cs="Arial" w:eastAsia="Arial" w:hAnsi="Arial"/>
          <w:sz w:val="18"/>
          <w:szCs w:val="18"/>
          <w:b w:val="1"/>
          <w:b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 and</w:t>
      </w:r>
    </w:p>
    <w:p>
      <w:pPr>
        <w:spacing w:after="0" w:line="181"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WHEREAS, Boeing and Customer desire to [*CTR] the delivery of [*CTR] 737-823 aircraft both delivering in [*CTR] 2015 and bearing manufacturer serial numbers [*CTR].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NOW THEREFORE, in consideration of the mutual covenants herein contained, the parties agree to amend the Purchase Agreement as follows:</w:t>
      </w:r>
    </w:p>
    <w:p>
      <w:pPr>
        <w:spacing w:after="0" w:line="237"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is deleted in its entirety and a revised “</w:t>
      </w:r>
      <w:r>
        <w:rPr>
          <w:rFonts w:ascii="Arial" w:cs="Arial" w:eastAsia="Arial" w:hAnsi="Arial"/>
          <w:sz w:val="18"/>
          <w:szCs w:val="18"/>
          <w:u w:val="single" w:color="auto"/>
          <w:color w:val="auto"/>
        </w:rPr>
        <w:t>Table of Contents,</w:t>
      </w:r>
      <w:r>
        <w:rPr>
          <w:rFonts w:ascii="Arial" w:cs="Arial" w:eastAsia="Arial" w:hAnsi="Arial"/>
          <w:sz w:val="18"/>
          <w:szCs w:val="18"/>
          <w:color w:val="auto"/>
        </w:rPr>
        <w:t>” attached hereto and identified with an “SA-38” legend is substituted in lieu thereof to reflect the changes made by this SA-38.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 No. 1977</w:t>
            </w:r>
          </w:p>
        </w:tc>
        <w:tc>
          <w:tcPr>
            <w:tcW w:w="5200" w:type="dxa"/>
            <w:vAlign w:val="bottom"/>
          </w:tcPr>
          <w:p>
            <w:pPr>
              <w:ind w:left="2260"/>
              <w:spacing w:after="0"/>
              <w:rPr>
                <w:sz w:val="20"/>
                <w:szCs w:val="20"/>
                <w:color w:val="auto"/>
              </w:rPr>
            </w:pPr>
            <w:r>
              <w:rPr>
                <w:rFonts w:ascii="Arial" w:cs="Arial" w:eastAsia="Arial" w:hAnsi="Arial"/>
                <w:sz w:val="18"/>
                <w:szCs w:val="18"/>
                <w:color w:val="auto"/>
              </w:rPr>
              <w:t>SA-38</w:t>
            </w:r>
          </w:p>
        </w:tc>
        <w:tc>
          <w:tcPr>
            <w:tcW w:w="2940" w:type="dxa"/>
            <w:vAlign w:val="bottom"/>
          </w:tcPr>
          <w:p>
            <w:pPr>
              <w:ind w:left="2460"/>
              <w:spacing w:after="0"/>
              <w:rPr>
                <w:sz w:val="20"/>
                <w:szCs w:val="20"/>
                <w:color w:val="auto"/>
              </w:rPr>
            </w:pPr>
            <w:r>
              <w:rPr>
                <w:rFonts w:ascii="Arial" w:cs="Arial" w:eastAsia="Arial" w:hAnsi="Arial"/>
                <w:sz w:val="18"/>
                <w:szCs w:val="18"/>
                <w:color w:val="auto"/>
                <w:w w:val="80"/>
              </w:rPr>
              <w:t>Page 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AAL</w:t>
            </w:r>
          </w:p>
        </w:tc>
        <w:tc>
          <w:tcPr>
            <w:tcW w:w="520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3" w:lineRule="exact"/>
        <w:rPr>
          <w:sz w:val="20"/>
          <w:szCs w:val="20"/>
          <w:color w:val="auto"/>
        </w:rPr>
      </w:pPr>
    </w:p>
    <w:p>
      <w:pPr>
        <w:jc w:val="center"/>
        <w:ind w:left="260" w:right="2640"/>
        <w:spacing w:after="0" w:line="255"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18" w:name="page119"/>
    <w:bookmarkEnd w:id="118"/>
    <w:p>
      <w:pPr>
        <w:ind w:left="640" w:hanging="17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Revision of Table 1F</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Table 1F entitled “</w:t>
      </w:r>
      <w:r>
        <w:rPr>
          <w:rFonts w:ascii="Arial" w:cs="Arial" w:eastAsia="Arial" w:hAnsi="Arial"/>
          <w:sz w:val="18"/>
          <w:szCs w:val="18"/>
          <w:u w:val="single" w:color="auto"/>
          <w:color w:val="auto"/>
        </w:rPr>
        <w:t>Aircraft Delivery, Description, Price and Advance Payments – Purchased Aircraf</w:t>
      </w:r>
      <w:r>
        <w:rPr>
          <w:rFonts w:ascii="Arial" w:cs="Arial" w:eastAsia="Arial" w:hAnsi="Arial"/>
          <w:sz w:val="18"/>
          <w:szCs w:val="18"/>
          <w:color w:val="auto"/>
        </w:rPr>
        <w:t>t” is deleted in its entirety and a revised Table 1F attached hereto and identified with an “SA-38” legend is substituted in lieu thereof to reflect the changes made by this SA-38.</w:t>
      </w:r>
    </w:p>
    <w:p>
      <w:pPr>
        <w:spacing w:after="0" w:line="170"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Boeing confirms that Customer has previously paid Boeing advance payments of [*CTR] in respect of each [*CTR] for an aggregate total sum of [*CTR] in excess of Customer’s advance payment obligations (such aggregate total being referred to as the </w:t>
      </w:r>
      <w:r>
        <w:rPr>
          <w:rFonts w:ascii="Arial" w:cs="Arial" w:eastAsia="Arial" w:hAnsi="Arial"/>
          <w:sz w:val="18"/>
          <w:szCs w:val="18"/>
          <w:b w:val="1"/>
          <w:bCs w:val="1"/>
          <w:color w:val="auto"/>
        </w:rPr>
        <w:t>Exceedance</w:t>
      </w:r>
      <w:r>
        <w:rPr>
          <w:rFonts w:ascii="Arial" w:cs="Arial" w:eastAsia="Arial" w:hAnsi="Arial"/>
          <w:sz w:val="18"/>
          <w:szCs w:val="18"/>
          <w:color w:val="auto"/>
        </w:rPr>
        <w:t>). The parties agree to apply the Exceedance to Customer’s [*CTR]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[*CTR]</w:t>
            </w:r>
          </w:p>
        </w:tc>
        <w:tc>
          <w:tcPr>
            <w:tcW w:w="52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350"/>
        </w:trPr>
        <w:tc>
          <w:tcPr>
            <w:tcW w:w="3280" w:type="dxa"/>
            <w:vAlign w:val="bottom"/>
          </w:tcPr>
          <w:p>
            <w:pPr>
              <w:spacing w:after="0"/>
              <w:rPr>
                <w:sz w:val="20"/>
                <w:szCs w:val="20"/>
                <w:color w:val="auto"/>
              </w:rPr>
            </w:pPr>
            <w:r>
              <w:rPr>
                <w:rFonts w:ascii="Arial" w:cs="Arial" w:eastAsia="Arial" w:hAnsi="Arial"/>
                <w:sz w:val="18"/>
                <w:szCs w:val="18"/>
                <w:color w:val="auto"/>
              </w:rPr>
              <w:t>P.A. No. 1977</w:t>
            </w:r>
          </w:p>
        </w:tc>
        <w:tc>
          <w:tcPr>
            <w:tcW w:w="5200" w:type="dxa"/>
            <w:vAlign w:val="bottom"/>
          </w:tcPr>
          <w:p>
            <w:pPr>
              <w:ind w:left="2260"/>
              <w:spacing w:after="0"/>
              <w:rPr>
                <w:sz w:val="20"/>
                <w:szCs w:val="20"/>
                <w:color w:val="auto"/>
              </w:rPr>
            </w:pPr>
            <w:r>
              <w:rPr>
                <w:rFonts w:ascii="Arial" w:cs="Arial" w:eastAsia="Arial" w:hAnsi="Arial"/>
                <w:sz w:val="18"/>
                <w:szCs w:val="18"/>
                <w:color w:val="auto"/>
              </w:rPr>
              <w:t>SA-38</w:t>
            </w:r>
          </w:p>
        </w:tc>
        <w:tc>
          <w:tcPr>
            <w:tcW w:w="2940" w:type="dxa"/>
            <w:vAlign w:val="bottom"/>
          </w:tcPr>
          <w:p>
            <w:pPr>
              <w:ind w:left="2460"/>
              <w:spacing w:after="0"/>
              <w:rPr>
                <w:sz w:val="20"/>
                <w:szCs w:val="20"/>
                <w:color w:val="auto"/>
              </w:rPr>
            </w:pPr>
            <w:r>
              <w:rPr>
                <w:rFonts w:ascii="Arial" w:cs="Arial" w:eastAsia="Arial" w:hAnsi="Arial"/>
                <w:sz w:val="18"/>
                <w:szCs w:val="18"/>
                <w:color w:val="auto"/>
                <w:w w:val="80"/>
              </w:rPr>
              <w:t>Page 2</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AAL</w:t>
            </w:r>
          </w:p>
        </w:tc>
        <w:tc>
          <w:tcPr>
            <w:tcW w:w="520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3" w:lineRule="exact"/>
        <w:rPr>
          <w:sz w:val="20"/>
          <w:szCs w:val="20"/>
          <w:color w:val="auto"/>
        </w:rPr>
      </w:pPr>
    </w:p>
    <w:p>
      <w:pPr>
        <w:jc w:val="center"/>
        <w:ind w:left="260" w:right="2640"/>
        <w:spacing w:after="0" w:line="255"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5"/>
              </w:rPr>
              <w:t>EXECUTED IN DUPLICATE as of the day and year first above written.</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THE BOEING COMPANY</w:t>
            </w:r>
          </w:p>
        </w:tc>
        <w:tc>
          <w:tcPr>
            <w:tcW w:w="340" w:type="dxa"/>
            <w:vAlign w:val="bottom"/>
          </w:tcPr>
          <w:p>
            <w:pPr>
              <w:spacing w:after="0"/>
              <w:rPr>
                <w:sz w:val="24"/>
                <w:szCs w:val="24"/>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AMERICAN AIRLINES, INC.</w:t>
            </w:r>
          </w:p>
        </w:tc>
        <w:tc>
          <w:tcPr>
            <w:tcW w:w="1740" w:type="dxa"/>
            <w:vAlign w:val="bottom"/>
          </w:tcPr>
          <w:p>
            <w:pPr>
              <w:spacing w:after="0"/>
              <w:rPr>
                <w:sz w:val="24"/>
                <w:szCs w:val="24"/>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The Boeing Company</w:t>
            </w:r>
          </w:p>
        </w:tc>
        <w:tc>
          <w:tcPr>
            <w:tcW w:w="340" w:type="dxa"/>
            <w:vAlign w:val="bottom"/>
          </w:tcPr>
          <w:p>
            <w:pPr>
              <w:spacing w:after="0"/>
              <w:rPr>
                <w:sz w:val="24"/>
                <w:szCs w:val="24"/>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By: /s/ American Airlines, Inc.</w:t>
            </w:r>
          </w:p>
        </w:tc>
        <w:tc>
          <w:tcPr>
            <w:tcW w:w="174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439"/>
        </w:trPr>
        <w:tc>
          <w:tcPr>
            <w:tcW w:w="5400" w:type="dxa"/>
            <w:vAlign w:val="bottom"/>
            <w:gridSpan w:val="2"/>
          </w:tcPr>
          <w:p>
            <w:pPr>
              <w:spacing w:after="0"/>
              <w:rPr>
                <w:sz w:val="20"/>
                <w:szCs w:val="20"/>
                <w:color w:val="auto"/>
              </w:rPr>
            </w:pPr>
            <w:r>
              <w:rPr>
                <w:rFonts w:ascii="Arial" w:cs="Arial" w:eastAsia="Arial" w:hAnsi="Arial"/>
                <w:sz w:val="18"/>
                <w:szCs w:val="18"/>
                <w:color w:val="auto"/>
              </w:rPr>
              <w:t>Its:  Attorney-In-Fact</w:t>
            </w:r>
          </w:p>
        </w:tc>
        <w:tc>
          <w:tcPr>
            <w:tcW w:w="340" w:type="dxa"/>
            <w:vAlign w:val="bottom"/>
          </w:tcPr>
          <w:p>
            <w:pPr>
              <w:spacing w:after="0"/>
              <w:rPr>
                <w:sz w:val="24"/>
                <w:szCs w:val="24"/>
                <w:color w:val="auto"/>
              </w:rPr>
            </w:pPr>
          </w:p>
        </w:tc>
        <w:tc>
          <w:tcPr>
            <w:tcW w:w="3940" w:type="dxa"/>
            <w:vAlign w:val="bottom"/>
            <w:gridSpan w:val="2"/>
          </w:tcPr>
          <w:p>
            <w:pPr>
              <w:ind w:left="120"/>
              <w:spacing w:after="0"/>
              <w:rPr>
                <w:sz w:val="20"/>
                <w:szCs w:val="20"/>
                <w:color w:val="auto"/>
              </w:rPr>
            </w:pPr>
            <w:r>
              <w:rPr>
                <w:rFonts w:ascii="Arial" w:cs="Arial" w:eastAsia="Arial" w:hAnsi="Arial"/>
                <w:sz w:val="18"/>
                <w:szCs w:val="18"/>
                <w:color w:val="auto"/>
              </w:rPr>
              <w:t>Its: Vice President - Fleet Planning</w:t>
            </w:r>
          </w:p>
        </w:tc>
        <w:tc>
          <w:tcPr>
            <w:tcW w:w="1740" w:type="dxa"/>
            <w:vAlign w:val="bottom"/>
          </w:tcPr>
          <w:p>
            <w:pPr>
              <w:spacing w:after="0"/>
              <w:rPr>
                <w:sz w:val="24"/>
                <w:szCs w:val="24"/>
                <w:color w:val="auto"/>
              </w:rPr>
            </w:pPr>
          </w:p>
        </w:tc>
      </w:tr>
      <w:tr>
        <w:trPr>
          <w:trHeight w:val="350"/>
        </w:trPr>
        <w:tc>
          <w:tcPr>
            <w:tcW w:w="540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4280" w:type="dxa"/>
            <w:vAlign w:val="bottom"/>
            <w:gridSpan w:val="3"/>
          </w:tcPr>
          <w:p>
            <w:pPr>
              <w:ind w:left="140"/>
              <w:spacing w:after="0"/>
              <w:rPr>
                <w:sz w:val="20"/>
                <w:szCs w:val="20"/>
                <w:color w:val="auto"/>
              </w:rPr>
            </w:pPr>
            <w:r>
              <w:rPr>
                <w:rFonts w:ascii="Arial" w:cs="Arial" w:eastAsia="Arial" w:hAnsi="Arial"/>
                <w:sz w:val="18"/>
                <w:szCs w:val="18"/>
                <w:color w:val="auto"/>
              </w:rPr>
              <w:t>SA-38</w:t>
            </w:r>
          </w:p>
        </w:tc>
        <w:tc>
          <w:tcPr>
            <w:tcW w:w="1740" w:type="dxa"/>
            <w:vAlign w:val="bottom"/>
          </w:tcPr>
          <w:p>
            <w:pPr>
              <w:ind w:left="1260"/>
              <w:spacing w:after="0"/>
              <w:rPr>
                <w:sz w:val="20"/>
                <w:szCs w:val="20"/>
                <w:color w:val="auto"/>
              </w:rPr>
            </w:pPr>
            <w:r>
              <w:rPr>
                <w:rFonts w:ascii="Arial" w:cs="Arial" w:eastAsia="Arial" w:hAnsi="Arial"/>
                <w:sz w:val="18"/>
                <w:szCs w:val="18"/>
                <w:color w:val="auto"/>
                <w:w w:val="80"/>
              </w:rPr>
              <w:t>Page 3</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AAL</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0" w:name="page121"/>
    <w:bookmarkEnd w:id="120"/>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80" w:type="dxa"/>
            <w:vAlign w:val="bottom"/>
          </w:tcPr>
          <w:p>
            <w:pPr>
              <w:ind w:left="2980"/>
              <w:spacing w:after="0"/>
              <w:rPr>
                <w:sz w:val="20"/>
                <w:szCs w:val="20"/>
                <w:color w:val="auto"/>
              </w:rPr>
            </w:pPr>
            <w:r>
              <w:rPr>
                <w:rFonts w:ascii="Arial" w:cs="Arial" w:eastAsia="Arial" w:hAnsi="Arial"/>
                <w:sz w:val="18"/>
                <w:szCs w:val="18"/>
                <w:color w:val="auto"/>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1820" w:type="dxa"/>
            <w:vAlign w:val="bottom"/>
            <w:gridSpan w:val="4"/>
            <w:vMerge w:val="restart"/>
          </w:tcPr>
          <w:p>
            <w:pPr>
              <w:spacing w:after="0"/>
              <w:rPr>
                <w:sz w:val="20"/>
                <w:szCs w:val="20"/>
                <w:color w:val="auto"/>
              </w:rPr>
            </w:pPr>
            <w:r>
              <w:rPr>
                <w:rFonts w:ascii="Arial" w:cs="Arial" w:eastAsia="Arial" w:hAnsi="Arial"/>
                <w:sz w:val="14"/>
                <w:szCs w:val="14"/>
                <w:color w:val="auto"/>
              </w:rPr>
              <w:t>ARTICLES</w:t>
            </w:r>
          </w:p>
        </w:tc>
        <w:tc>
          <w:tcPr>
            <w:tcW w:w="8980" w:type="dxa"/>
            <w:vAlign w:val="bottom"/>
          </w:tcPr>
          <w:p>
            <w:pPr>
              <w:spacing w:after="0"/>
              <w:rPr>
                <w:sz w:val="24"/>
                <w:szCs w:val="2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SA</w:t>
            </w:r>
          </w:p>
        </w:tc>
        <w:tc>
          <w:tcPr>
            <w:tcW w:w="0" w:type="dxa"/>
            <w:vAlign w:val="bottom"/>
          </w:tcPr>
          <w:p>
            <w:pPr>
              <w:spacing w:after="0"/>
              <w:rPr>
                <w:sz w:val="1"/>
                <w:szCs w:val="1"/>
                <w:color w:val="auto"/>
              </w:rPr>
            </w:pPr>
          </w:p>
        </w:tc>
      </w:tr>
      <w:tr>
        <w:trPr>
          <w:trHeight w:val="174"/>
        </w:trPr>
        <w:tc>
          <w:tcPr>
            <w:tcW w:w="1820" w:type="dxa"/>
            <w:vAlign w:val="bottom"/>
            <w:gridSpan w:val="4"/>
            <w:vMerge w:val="continue"/>
          </w:tcPr>
          <w:p>
            <w:pPr>
              <w:spacing w:after="0"/>
              <w:rPr>
                <w:sz w:val="15"/>
                <w:szCs w:val="15"/>
                <w:color w:val="auto"/>
              </w:rPr>
            </w:pPr>
          </w:p>
        </w:tc>
        <w:tc>
          <w:tcPr>
            <w:tcW w:w="8980" w:type="dxa"/>
            <w:vAlign w:val="bottom"/>
            <w:vMerge w:val="restart"/>
          </w:tcPr>
          <w:p>
            <w:pPr>
              <w:ind w:left="440"/>
              <w:spacing w:after="0"/>
              <w:rPr>
                <w:sz w:val="20"/>
                <w:szCs w:val="20"/>
                <w:color w:val="auto"/>
              </w:rPr>
            </w:pPr>
            <w:r>
              <w:rPr>
                <w:rFonts w:ascii="Arial" w:cs="Arial" w:eastAsia="Arial" w:hAnsi="Arial"/>
                <w:sz w:val="18"/>
                <w:szCs w:val="18"/>
                <w:color w:val="auto"/>
              </w:rPr>
              <w:t>Quantity, Model and Description</w:t>
            </w:r>
          </w:p>
        </w:tc>
        <w:tc>
          <w:tcPr>
            <w:tcW w:w="64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89"/>
        </w:trPr>
        <w:tc>
          <w:tcPr>
            <w:tcW w:w="4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1.</w:t>
            </w: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8980" w:type="dxa"/>
            <w:vAlign w:val="bottom"/>
            <w:vMerge w:val="continue"/>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SA-21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80" w:type="dxa"/>
            <w:vAlign w:val="bottom"/>
          </w:tcPr>
          <w:p>
            <w:pPr>
              <w:ind w:left="440"/>
              <w:spacing w:after="0"/>
              <w:rPr>
                <w:sz w:val="20"/>
                <w:szCs w:val="20"/>
                <w:color w:val="auto"/>
              </w:rPr>
            </w:pPr>
            <w:r>
              <w:rPr>
                <w:rFonts w:ascii="Arial" w:cs="Arial" w:eastAsia="Arial" w:hAnsi="Arial"/>
                <w:sz w:val="18"/>
                <w:szCs w:val="18"/>
                <w:color w:val="auto"/>
              </w:rPr>
              <w:t>Delivery Schedule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80" w:type="dxa"/>
            <w:vAlign w:val="bottom"/>
          </w:tcPr>
          <w:p>
            <w:pPr>
              <w:ind w:left="440"/>
              <w:spacing w:after="0"/>
              <w:rPr>
                <w:sz w:val="20"/>
                <w:szCs w:val="20"/>
                <w:color w:val="auto"/>
              </w:rPr>
            </w:pPr>
            <w:r>
              <w:rPr>
                <w:rFonts w:ascii="Arial" w:cs="Arial" w:eastAsia="Arial" w:hAnsi="Arial"/>
                <w:sz w:val="18"/>
                <w:szCs w:val="18"/>
                <w:color w:val="auto"/>
              </w:rPr>
              <w:t>Price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80" w:type="dxa"/>
            <w:vAlign w:val="bottom"/>
          </w:tcPr>
          <w:p>
            <w:pPr>
              <w:ind w:left="440"/>
              <w:spacing w:after="0"/>
              <w:rPr>
                <w:sz w:val="20"/>
                <w:szCs w:val="20"/>
                <w:color w:val="auto"/>
              </w:rPr>
            </w:pPr>
            <w:r>
              <w:rPr>
                <w:rFonts w:ascii="Arial" w:cs="Arial" w:eastAsia="Arial" w:hAnsi="Arial"/>
                <w:sz w:val="18"/>
                <w:szCs w:val="18"/>
                <w:color w:val="auto"/>
              </w:rPr>
              <w:t>Payment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80" w:type="dxa"/>
            <w:vAlign w:val="bottom"/>
          </w:tcPr>
          <w:p>
            <w:pPr>
              <w:ind w:left="440"/>
              <w:spacing w:after="0"/>
              <w:rPr>
                <w:sz w:val="20"/>
                <w:szCs w:val="20"/>
                <w:color w:val="auto"/>
              </w:rPr>
            </w:pPr>
            <w:r>
              <w:rPr>
                <w:rFonts w:ascii="Arial" w:cs="Arial" w:eastAsia="Arial" w:hAnsi="Arial"/>
                <w:sz w:val="18"/>
                <w:szCs w:val="18"/>
                <w:color w:val="auto"/>
              </w:rPr>
              <w:t>Miscellaneous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20" w:type="dxa"/>
            <w:vAlign w:val="bottom"/>
            <w:gridSpan w:val="4"/>
          </w:tcPr>
          <w:p>
            <w:pPr>
              <w:spacing w:after="0"/>
              <w:rPr>
                <w:sz w:val="20"/>
                <w:szCs w:val="20"/>
                <w:color w:val="auto"/>
              </w:rPr>
            </w:pPr>
            <w:r>
              <w:rPr>
                <w:rFonts w:ascii="Arial" w:cs="Arial" w:eastAsia="Arial" w:hAnsi="Arial"/>
                <w:sz w:val="14"/>
                <w:szCs w:val="14"/>
                <w:color w:val="auto"/>
              </w:rPr>
              <w:t>TABLE</w:t>
            </w:r>
          </w:p>
        </w:tc>
        <w:tc>
          <w:tcPr>
            <w:tcW w:w="8980" w:type="dxa"/>
            <w:vAlign w:val="bottom"/>
            <w:vMerge w:val="restart"/>
          </w:tcPr>
          <w:p>
            <w:pPr>
              <w:ind w:left="440"/>
              <w:spacing w:after="0"/>
              <w:rPr>
                <w:sz w:val="20"/>
                <w:szCs w:val="20"/>
                <w:color w:val="auto"/>
              </w:rPr>
            </w:pPr>
            <w:r>
              <w:rPr>
                <w:rFonts w:ascii="Arial" w:cs="Arial" w:eastAsia="Arial" w:hAnsi="Arial"/>
                <w:sz w:val="18"/>
                <w:szCs w:val="18"/>
                <w:color w:val="auto"/>
              </w:rPr>
              <w:t>Aircraft Delivery, Description, Price and Advance Payments</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1"/>
              </w:rPr>
              <w:t>SA-29</w:t>
            </w:r>
          </w:p>
        </w:tc>
        <w:tc>
          <w:tcPr>
            <w:tcW w:w="0" w:type="dxa"/>
            <w:vAlign w:val="bottom"/>
          </w:tcPr>
          <w:p>
            <w:pPr>
              <w:spacing w:after="0"/>
              <w:rPr>
                <w:sz w:val="1"/>
                <w:szCs w:val="1"/>
                <w:color w:val="auto"/>
              </w:rPr>
            </w:pPr>
          </w:p>
        </w:tc>
      </w:tr>
      <w:tr>
        <w:trPr>
          <w:trHeight w:val="224"/>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9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820" w:type="dxa"/>
            <w:vAlign w:val="bottom"/>
            <w:gridSpan w:val="4"/>
          </w:tcPr>
          <w:p>
            <w:pPr>
              <w:spacing w:after="0"/>
              <w:rPr>
                <w:sz w:val="20"/>
                <w:szCs w:val="20"/>
                <w:color w:val="auto"/>
              </w:rPr>
            </w:pPr>
            <w:r>
              <w:rPr>
                <w:rFonts w:ascii="Arial" w:cs="Arial" w:eastAsia="Arial" w:hAnsi="Arial"/>
                <w:sz w:val="18"/>
                <w:szCs w:val="18"/>
                <w:color w:val="auto"/>
              </w:rPr>
              <w:t>1A</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Description, Price and Advance Payments – Deferred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324"/>
        </w:trPr>
        <w:tc>
          <w:tcPr>
            <w:tcW w:w="1820" w:type="dxa"/>
            <w:vAlign w:val="bottom"/>
            <w:gridSpan w:val="4"/>
          </w:tcPr>
          <w:p>
            <w:pPr>
              <w:spacing w:after="0"/>
              <w:rPr>
                <w:sz w:val="20"/>
                <w:szCs w:val="20"/>
                <w:color w:val="auto"/>
              </w:rPr>
            </w:pPr>
            <w:r>
              <w:rPr>
                <w:rFonts w:ascii="Arial" w:cs="Arial" w:eastAsia="Arial" w:hAnsi="Arial"/>
                <w:sz w:val="18"/>
                <w:szCs w:val="18"/>
                <w:color w:val="auto"/>
              </w:rPr>
              <w:t>1B</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Description, Price and Advance Payments – Exercised MADP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324"/>
        </w:trPr>
        <w:tc>
          <w:tcPr>
            <w:tcW w:w="1820" w:type="dxa"/>
            <w:vAlign w:val="bottom"/>
            <w:gridSpan w:val="4"/>
          </w:tcPr>
          <w:p>
            <w:pPr>
              <w:spacing w:after="0"/>
              <w:rPr>
                <w:sz w:val="20"/>
                <w:szCs w:val="20"/>
                <w:color w:val="auto"/>
              </w:rPr>
            </w:pPr>
            <w:r>
              <w:rPr>
                <w:rFonts w:ascii="Arial" w:cs="Arial" w:eastAsia="Arial" w:hAnsi="Arial"/>
                <w:sz w:val="18"/>
                <w:szCs w:val="18"/>
                <w:color w:val="auto"/>
              </w:rPr>
              <w:t>1C</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Description, Price and Advance Payments – Exercised STAP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324"/>
        </w:trPr>
        <w:tc>
          <w:tcPr>
            <w:tcW w:w="1820" w:type="dxa"/>
            <w:vAlign w:val="bottom"/>
            <w:gridSpan w:val="4"/>
          </w:tcPr>
          <w:p>
            <w:pPr>
              <w:spacing w:after="0"/>
              <w:rPr>
                <w:sz w:val="20"/>
                <w:szCs w:val="20"/>
                <w:color w:val="auto"/>
              </w:rPr>
            </w:pPr>
            <w:r>
              <w:rPr>
                <w:rFonts w:ascii="Arial" w:cs="Arial" w:eastAsia="Arial" w:hAnsi="Arial"/>
                <w:sz w:val="18"/>
                <w:szCs w:val="18"/>
                <w:color w:val="auto"/>
              </w:rPr>
              <w:t>1D</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Description, Price and Advance Payments – Boeing Sky Interior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324"/>
        </w:trPr>
        <w:tc>
          <w:tcPr>
            <w:tcW w:w="1820" w:type="dxa"/>
            <w:vAlign w:val="bottom"/>
            <w:gridSpan w:val="4"/>
          </w:tcPr>
          <w:p>
            <w:pPr>
              <w:spacing w:after="0"/>
              <w:rPr>
                <w:sz w:val="20"/>
                <w:szCs w:val="20"/>
                <w:color w:val="auto"/>
              </w:rPr>
            </w:pPr>
            <w:r>
              <w:rPr>
                <w:rFonts w:ascii="Arial" w:cs="Arial" w:eastAsia="Arial" w:hAnsi="Arial"/>
                <w:sz w:val="18"/>
                <w:szCs w:val="18"/>
                <w:color w:val="auto"/>
              </w:rPr>
              <w:t>1E</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Description, Price and Advance Payments – SA-34 Exercised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SA-34</w:t>
            </w:r>
          </w:p>
        </w:tc>
        <w:tc>
          <w:tcPr>
            <w:tcW w:w="0" w:type="dxa"/>
            <w:vAlign w:val="bottom"/>
          </w:tcPr>
          <w:p>
            <w:pPr>
              <w:spacing w:after="0"/>
              <w:rPr>
                <w:sz w:val="1"/>
                <w:szCs w:val="1"/>
                <w:color w:val="auto"/>
              </w:rPr>
            </w:pPr>
          </w:p>
        </w:tc>
      </w:tr>
      <w:tr>
        <w:trPr>
          <w:trHeight w:val="324"/>
        </w:trPr>
        <w:tc>
          <w:tcPr>
            <w:tcW w:w="1820" w:type="dxa"/>
            <w:vAlign w:val="bottom"/>
            <w:gridSpan w:val="4"/>
          </w:tcPr>
          <w:p>
            <w:pPr>
              <w:spacing w:after="0"/>
              <w:rPr>
                <w:sz w:val="20"/>
                <w:szCs w:val="20"/>
                <w:color w:val="auto"/>
              </w:rPr>
            </w:pPr>
            <w:r>
              <w:rPr>
                <w:rFonts w:ascii="Arial" w:cs="Arial" w:eastAsia="Arial" w:hAnsi="Arial"/>
                <w:sz w:val="18"/>
                <w:szCs w:val="18"/>
                <w:b w:val="1"/>
                <w:bCs w:val="1"/>
                <w:color w:val="auto"/>
              </w:rPr>
              <w:t>1F</w:t>
            </w:r>
          </w:p>
        </w:tc>
        <w:tc>
          <w:tcPr>
            <w:tcW w:w="8980" w:type="dxa"/>
            <w:vAlign w:val="bottom"/>
          </w:tcPr>
          <w:p>
            <w:pPr>
              <w:ind w:left="440"/>
              <w:spacing w:after="0"/>
              <w:rPr>
                <w:sz w:val="20"/>
                <w:szCs w:val="20"/>
                <w:color w:val="auto"/>
              </w:rPr>
            </w:pPr>
            <w:r>
              <w:rPr>
                <w:rFonts w:ascii="Arial" w:cs="Arial" w:eastAsia="Arial" w:hAnsi="Arial"/>
                <w:sz w:val="18"/>
                <w:szCs w:val="18"/>
                <w:b w:val="1"/>
                <w:bCs w:val="1"/>
                <w:color w:val="auto"/>
              </w:rPr>
              <w:t>Aircraft Delivery, Description, Price and Advance Payments – Purchased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SA-38</w:t>
            </w:r>
          </w:p>
        </w:tc>
        <w:tc>
          <w:tcPr>
            <w:tcW w:w="0" w:type="dxa"/>
            <w:vAlign w:val="bottom"/>
          </w:tcPr>
          <w:p>
            <w:pPr>
              <w:spacing w:after="0"/>
              <w:rPr>
                <w:sz w:val="1"/>
                <w:szCs w:val="1"/>
                <w:color w:val="auto"/>
              </w:rPr>
            </w:pPr>
          </w:p>
        </w:tc>
      </w:tr>
      <w:tr>
        <w:trPr>
          <w:trHeight w:val="365"/>
        </w:trPr>
        <w:tc>
          <w:tcPr>
            <w:tcW w:w="1820" w:type="dxa"/>
            <w:vAlign w:val="bottom"/>
            <w:gridSpan w:val="4"/>
          </w:tcPr>
          <w:p>
            <w:pPr>
              <w:spacing w:after="0"/>
              <w:rPr>
                <w:sz w:val="20"/>
                <w:szCs w:val="20"/>
                <w:color w:val="auto"/>
              </w:rPr>
            </w:pPr>
            <w:r>
              <w:rPr>
                <w:rFonts w:ascii="Arial" w:cs="Arial" w:eastAsia="Arial" w:hAnsi="Arial"/>
                <w:sz w:val="14"/>
                <w:szCs w:val="14"/>
                <w:color w:val="auto"/>
              </w:rPr>
              <w:t>EXHIBITS</w:t>
            </w:r>
          </w:p>
        </w:tc>
        <w:tc>
          <w:tcPr>
            <w:tcW w:w="8980" w:type="dxa"/>
            <w:vAlign w:val="bottom"/>
            <w:vMerge w:val="restart"/>
          </w:tcPr>
          <w:p>
            <w:pPr>
              <w:ind w:left="440"/>
              <w:spacing w:after="0"/>
              <w:rPr>
                <w:sz w:val="20"/>
                <w:szCs w:val="20"/>
                <w:color w:val="auto"/>
              </w:rPr>
            </w:pPr>
            <w:r>
              <w:rPr>
                <w:rFonts w:ascii="Arial" w:cs="Arial" w:eastAsia="Arial" w:hAnsi="Arial"/>
                <w:sz w:val="18"/>
                <w:szCs w:val="18"/>
                <w:color w:val="auto"/>
              </w:rPr>
              <w:t>Aircraft Configuration</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A</w:t>
            </w:r>
          </w:p>
        </w:tc>
        <w:tc>
          <w:tcPr>
            <w:tcW w:w="1160" w:type="dxa"/>
            <w:vAlign w:val="bottom"/>
            <w:gridSpan w:val="2"/>
          </w:tcPr>
          <w:p>
            <w:pPr>
              <w:spacing w:after="0"/>
              <w:rPr>
                <w:sz w:val="16"/>
                <w:szCs w:val="16"/>
                <w:color w:val="auto"/>
              </w:rPr>
            </w:pPr>
          </w:p>
        </w:tc>
        <w:tc>
          <w:tcPr>
            <w:tcW w:w="898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A1</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Configuration</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A2</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Configuration</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SA-33</w:t>
            </w: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B</w:t>
            </w:r>
          </w:p>
        </w:tc>
        <w:tc>
          <w:tcPr>
            <w:tcW w:w="8980" w:type="dxa"/>
            <w:vAlign w:val="bottom"/>
          </w:tcPr>
          <w:p>
            <w:pPr>
              <w:ind w:left="440"/>
              <w:spacing w:after="0"/>
              <w:rPr>
                <w:sz w:val="20"/>
                <w:szCs w:val="20"/>
                <w:color w:val="auto"/>
              </w:rPr>
            </w:pPr>
            <w:r>
              <w:rPr>
                <w:rFonts w:ascii="Arial" w:cs="Arial" w:eastAsia="Arial" w:hAnsi="Arial"/>
                <w:sz w:val="18"/>
                <w:szCs w:val="18"/>
                <w:color w:val="auto"/>
              </w:rPr>
              <w:t>Aircraft Delivery Requirements and Responsibilities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4"/>
          </w:tcPr>
          <w:p>
            <w:pPr>
              <w:spacing w:after="0"/>
              <w:rPr>
                <w:sz w:val="20"/>
                <w:szCs w:val="20"/>
                <w:color w:val="auto"/>
              </w:rPr>
            </w:pPr>
            <w:r>
              <w:rPr>
                <w:rFonts w:ascii="Arial" w:cs="Arial" w:eastAsia="Arial" w:hAnsi="Arial"/>
                <w:sz w:val="18"/>
                <w:szCs w:val="18"/>
                <w:color w:val="auto"/>
              </w:rPr>
              <w:t>C</w:t>
            </w:r>
          </w:p>
        </w:tc>
        <w:tc>
          <w:tcPr>
            <w:tcW w:w="8980" w:type="dxa"/>
            <w:vAlign w:val="bottom"/>
          </w:tcPr>
          <w:p>
            <w:pPr>
              <w:ind w:left="440"/>
              <w:spacing w:after="0"/>
              <w:rPr>
                <w:sz w:val="20"/>
                <w:szCs w:val="20"/>
                <w:color w:val="auto"/>
              </w:rPr>
            </w:pPr>
            <w:r>
              <w:rPr>
                <w:rFonts w:ascii="Arial" w:cs="Arial" w:eastAsia="Arial" w:hAnsi="Arial"/>
                <w:sz w:val="18"/>
                <w:szCs w:val="18"/>
                <w:color w:val="auto"/>
              </w:rPr>
              <w:t>Defined Terms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SUPPLEMENTAL EXHIBITS</w:t>
            </w:r>
          </w:p>
        </w:tc>
        <w:tc>
          <w:tcPr>
            <w:tcW w:w="8980" w:type="dxa"/>
            <w:vAlign w:val="bottom"/>
            <w:vMerge w:val="restart"/>
          </w:tcPr>
          <w:p>
            <w:pPr>
              <w:ind w:left="440"/>
              <w:spacing w:after="0"/>
              <w:rPr>
                <w:sz w:val="20"/>
                <w:szCs w:val="20"/>
                <w:color w:val="auto"/>
              </w:rPr>
            </w:pPr>
            <w:r>
              <w:rPr>
                <w:rFonts w:ascii="Arial" w:cs="Arial" w:eastAsia="Arial" w:hAnsi="Arial"/>
                <w:sz w:val="18"/>
                <w:szCs w:val="18"/>
                <w:color w:val="auto"/>
              </w:rPr>
              <w:t>Escalation Adjustment Airframe and Optional Features</w:t>
            </w:r>
          </w:p>
        </w:tc>
        <w:tc>
          <w:tcPr>
            <w:tcW w:w="64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1"/>
              </w:rPr>
              <w:t>SA-20</w:t>
            </w:r>
          </w:p>
        </w:tc>
        <w:tc>
          <w:tcPr>
            <w:tcW w:w="0" w:type="dxa"/>
            <w:vAlign w:val="bottom"/>
          </w:tcPr>
          <w:p>
            <w:pPr>
              <w:spacing w:after="0"/>
              <w:rPr>
                <w:sz w:val="1"/>
                <w:szCs w:val="1"/>
                <w:color w:val="auto"/>
              </w:rPr>
            </w:pPr>
          </w:p>
        </w:tc>
      </w:tr>
      <w:tr>
        <w:trPr>
          <w:trHeight w:val="195"/>
        </w:trPr>
        <w:tc>
          <w:tcPr>
            <w:tcW w:w="1820" w:type="dxa"/>
            <w:vAlign w:val="bottom"/>
            <w:gridSpan w:val="4"/>
          </w:tcPr>
          <w:p>
            <w:pPr>
              <w:spacing w:after="0" w:line="195" w:lineRule="exact"/>
              <w:rPr>
                <w:sz w:val="20"/>
                <w:szCs w:val="20"/>
                <w:color w:val="auto"/>
              </w:rPr>
            </w:pPr>
            <w:r>
              <w:rPr>
                <w:rFonts w:ascii="Arial" w:cs="Arial" w:eastAsia="Arial" w:hAnsi="Arial"/>
                <w:sz w:val="18"/>
                <w:szCs w:val="18"/>
                <w:color w:val="auto"/>
              </w:rPr>
              <w:t>AE1</w:t>
            </w:r>
          </w:p>
        </w:tc>
        <w:tc>
          <w:tcPr>
            <w:tcW w:w="898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BFE1</w:t>
            </w:r>
          </w:p>
        </w:tc>
        <w:tc>
          <w:tcPr>
            <w:tcW w:w="8980" w:type="dxa"/>
            <w:vAlign w:val="bottom"/>
          </w:tcPr>
          <w:p>
            <w:pPr>
              <w:ind w:left="440"/>
              <w:spacing w:after="0"/>
              <w:rPr>
                <w:sz w:val="20"/>
                <w:szCs w:val="20"/>
                <w:color w:val="auto"/>
              </w:rPr>
            </w:pPr>
            <w:r>
              <w:rPr>
                <w:rFonts w:ascii="Arial" w:cs="Arial" w:eastAsia="Arial" w:hAnsi="Arial"/>
                <w:sz w:val="18"/>
                <w:szCs w:val="18"/>
                <w:color w:val="auto"/>
              </w:rPr>
              <w:t>BFE Variables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CS1</w:t>
            </w:r>
          </w:p>
        </w:tc>
        <w:tc>
          <w:tcPr>
            <w:tcW w:w="8980" w:type="dxa"/>
            <w:vAlign w:val="bottom"/>
          </w:tcPr>
          <w:p>
            <w:pPr>
              <w:ind w:left="440"/>
              <w:spacing w:after="0"/>
              <w:rPr>
                <w:sz w:val="20"/>
                <w:szCs w:val="20"/>
                <w:color w:val="auto"/>
              </w:rPr>
            </w:pPr>
            <w:r>
              <w:rPr>
                <w:rFonts w:ascii="Arial" w:cs="Arial" w:eastAsia="Arial" w:hAnsi="Arial"/>
                <w:sz w:val="18"/>
                <w:szCs w:val="18"/>
                <w:color w:val="auto"/>
              </w:rPr>
              <w:t>Customer Support Variables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4"/>
          </w:tcPr>
          <w:p>
            <w:pPr>
              <w:spacing w:after="0"/>
              <w:rPr>
                <w:sz w:val="20"/>
                <w:szCs w:val="20"/>
                <w:color w:val="auto"/>
              </w:rPr>
            </w:pPr>
            <w:r>
              <w:rPr>
                <w:rFonts w:ascii="Arial" w:cs="Arial" w:eastAsia="Arial" w:hAnsi="Arial"/>
                <w:sz w:val="18"/>
                <w:szCs w:val="18"/>
                <w:color w:val="auto"/>
              </w:rPr>
              <w:t>SLP1</w:t>
            </w:r>
          </w:p>
        </w:tc>
        <w:tc>
          <w:tcPr>
            <w:tcW w:w="8980" w:type="dxa"/>
            <w:vAlign w:val="bottom"/>
          </w:tcPr>
          <w:p>
            <w:pPr>
              <w:ind w:left="440"/>
              <w:spacing w:after="0"/>
              <w:rPr>
                <w:sz w:val="20"/>
                <w:szCs w:val="20"/>
                <w:color w:val="auto"/>
              </w:rPr>
            </w:pPr>
            <w:r>
              <w:rPr>
                <w:rFonts w:ascii="Arial" w:cs="Arial" w:eastAsia="Arial" w:hAnsi="Arial"/>
                <w:sz w:val="18"/>
                <w:szCs w:val="18"/>
                <w:color w:val="auto"/>
              </w:rPr>
              <w:t>Service Life Policy Components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gridSpan w:val="4"/>
          </w:tcPr>
          <w:p>
            <w:pPr>
              <w:spacing w:after="0"/>
              <w:rPr>
                <w:sz w:val="20"/>
                <w:szCs w:val="20"/>
                <w:color w:val="auto"/>
              </w:rPr>
            </w:pPr>
            <w:r>
              <w:rPr>
                <w:rFonts w:ascii="Arial" w:cs="Arial" w:eastAsia="Arial" w:hAnsi="Arial"/>
                <w:sz w:val="18"/>
                <w:szCs w:val="18"/>
                <w:color w:val="auto"/>
              </w:rPr>
              <w:t>EE1</w:t>
            </w:r>
          </w:p>
        </w:tc>
        <w:tc>
          <w:tcPr>
            <w:tcW w:w="8980" w:type="dxa"/>
            <w:vAlign w:val="bottom"/>
          </w:tcPr>
          <w:p>
            <w:pPr>
              <w:ind w:left="440"/>
              <w:spacing w:after="0"/>
              <w:rPr>
                <w:sz w:val="20"/>
                <w:szCs w:val="20"/>
                <w:color w:val="auto"/>
              </w:rPr>
            </w:pPr>
            <w:r>
              <w:rPr>
                <w:rFonts w:ascii="Arial" w:cs="Arial" w:eastAsia="Arial" w:hAnsi="Arial"/>
                <w:sz w:val="18"/>
                <w:szCs w:val="18"/>
                <w:color w:val="auto"/>
              </w:rPr>
              <w:t>Engine Escalation, Engine Warranty and Patent Indemnity</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80" w:type="dxa"/>
            <w:vAlign w:val="bottom"/>
          </w:tcPr>
          <w:p>
            <w:pPr>
              <w:ind w:left="2860"/>
              <w:spacing w:after="0"/>
              <w:rPr>
                <w:sz w:val="20"/>
                <w:szCs w:val="20"/>
                <w:color w:val="auto"/>
              </w:rPr>
            </w:pPr>
            <w:r>
              <w:rPr>
                <w:rFonts w:ascii="Arial" w:cs="Arial" w:eastAsia="Arial" w:hAnsi="Arial"/>
                <w:sz w:val="18"/>
                <w:szCs w:val="18"/>
                <w:b w:val="1"/>
                <w:bCs w:val="1"/>
                <w:color w:val="auto"/>
              </w:rPr>
              <w:t>BOEING PROPRIETARY</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20" w:type="dxa"/>
            <w:vAlign w:val="bottom"/>
            <w:gridSpan w:val="4"/>
          </w:tcPr>
          <w:p>
            <w:pPr>
              <w:spacing w:after="0"/>
              <w:rPr>
                <w:sz w:val="20"/>
                <w:szCs w:val="20"/>
                <w:color w:val="auto"/>
              </w:rPr>
            </w:pPr>
            <w:r>
              <w:rPr>
                <w:rFonts w:ascii="Arial" w:cs="Arial" w:eastAsia="Arial" w:hAnsi="Arial"/>
                <w:sz w:val="18"/>
                <w:szCs w:val="18"/>
                <w:color w:val="auto"/>
              </w:rPr>
              <w:t>P.A. No. 1977</w:t>
            </w:r>
          </w:p>
        </w:tc>
        <w:tc>
          <w:tcPr>
            <w:tcW w:w="8980" w:type="dxa"/>
            <w:vAlign w:val="bottom"/>
          </w:tcPr>
          <w:p>
            <w:pPr>
              <w:ind w:left="3900"/>
              <w:spacing w:after="0"/>
              <w:rPr>
                <w:sz w:val="20"/>
                <w:szCs w:val="20"/>
                <w:color w:val="auto"/>
              </w:rPr>
            </w:pPr>
            <w:r>
              <w:rPr>
                <w:rFonts w:ascii="Arial" w:cs="Arial" w:eastAsia="Arial" w:hAnsi="Arial"/>
                <w:sz w:val="18"/>
                <w:szCs w:val="18"/>
                <w:color w:val="auto"/>
              </w:rPr>
              <w:t>SA-38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4"/>
              </w:rPr>
              <w:t>Page 1</w:t>
            </w:r>
          </w:p>
        </w:tc>
        <w:tc>
          <w:tcPr>
            <w:tcW w:w="0" w:type="dxa"/>
            <w:vAlign w:val="bottom"/>
          </w:tcPr>
          <w:p>
            <w:pPr>
              <w:spacing w:after="0"/>
              <w:rPr>
                <w:sz w:val="1"/>
                <w:szCs w:val="1"/>
                <w:color w:val="auto"/>
              </w:rPr>
            </w:pPr>
          </w:p>
        </w:tc>
      </w:tr>
      <w:tr>
        <w:trPr>
          <w:trHeight w:val="230"/>
        </w:trPr>
        <w:tc>
          <w:tcPr>
            <w:tcW w:w="1820" w:type="dxa"/>
            <w:vAlign w:val="bottom"/>
            <w:gridSpan w:val="4"/>
          </w:tcPr>
          <w:p>
            <w:pPr>
              <w:spacing w:after="0"/>
              <w:rPr>
                <w:sz w:val="20"/>
                <w:szCs w:val="20"/>
                <w:color w:val="auto"/>
              </w:rPr>
            </w:pPr>
            <w:r>
              <w:rPr>
                <w:rFonts w:ascii="Arial" w:cs="Arial" w:eastAsia="Arial" w:hAnsi="Arial"/>
                <w:sz w:val="18"/>
                <w:szCs w:val="18"/>
                <w:color w:val="auto"/>
              </w:rPr>
              <w:t>Table of Contents</w:t>
            </w:r>
          </w:p>
        </w:tc>
        <w:tc>
          <w:tcPr>
            <w:tcW w:w="8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1" w:name="page122"/>
    <w:bookmarkEnd w:id="121"/>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80" w:type="dxa"/>
            <w:vAlign w:val="bottom"/>
          </w:tcPr>
          <w:p>
            <w:pPr>
              <w:ind w:left="680"/>
              <w:spacing w:after="0"/>
              <w:rPr>
                <w:sz w:val="20"/>
                <w:szCs w:val="20"/>
                <w:color w:val="auto"/>
              </w:rPr>
            </w:pPr>
            <w:r>
              <w:rPr>
                <w:rFonts w:ascii="Arial" w:cs="Arial" w:eastAsia="Arial" w:hAnsi="Arial"/>
                <w:sz w:val="18"/>
                <w:szCs w:val="18"/>
                <w:color w:val="auto"/>
              </w:rPr>
              <w:t>TABLE OF CONTENTS, continued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32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SA</w:t>
            </w:r>
          </w:p>
        </w:tc>
        <w:tc>
          <w:tcPr>
            <w:tcW w:w="0" w:type="dxa"/>
            <w:vAlign w:val="bottom"/>
          </w:tcPr>
          <w:p>
            <w:pPr>
              <w:spacing w:after="0"/>
              <w:rPr>
                <w:sz w:val="1"/>
                <w:szCs w:val="1"/>
                <w:color w:val="auto"/>
              </w:rPr>
            </w:pPr>
          </w:p>
        </w:tc>
      </w:tr>
      <w:tr>
        <w:trPr>
          <w:trHeight w:val="174"/>
        </w:trPr>
        <w:tc>
          <w:tcPr>
            <w:tcW w:w="2320" w:type="dxa"/>
            <w:vAlign w:val="bottom"/>
            <w:gridSpan w:val="2"/>
            <w:vMerge w:val="continue"/>
          </w:tcPr>
          <w:p>
            <w:pPr>
              <w:spacing w:after="0"/>
              <w:rPr>
                <w:sz w:val="15"/>
                <w:szCs w:val="15"/>
                <w:color w:val="auto"/>
              </w:rPr>
            </w:pPr>
          </w:p>
        </w:tc>
        <w:tc>
          <w:tcPr>
            <w:tcW w:w="8480" w:type="dxa"/>
            <w:vAlign w:val="bottom"/>
            <w:gridSpan w:val="3"/>
            <w:vMerge w:val="restart"/>
          </w:tcPr>
          <w:p>
            <w:pPr>
              <w:ind w:left="280"/>
              <w:spacing w:after="0"/>
              <w:rPr>
                <w:sz w:val="20"/>
                <w:szCs w:val="20"/>
                <w:color w:val="auto"/>
              </w:rPr>
            </w:pPr>
            <w:r>
              <w:rPr>
                <w:rFonts w:ascii="Arial" w:cs="Arial" w:eastAsia="Arial" w:hAnsi="Arial"/>
                <w:sz w:val="18"/>
                <w:szCs w:val="18"/>
                <w:color w:val="auto"/>
              </w:rPr>
              <w:t>Miscellaneous Commitments for Model 737, 757,767 and 777 Aircraft</w:t>
            </w: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4"/>
        </w:trPr>
        <w:tc>
          <w:tcPr>
            <w:tcW w:w="1540" w:type="dxa"/>
            <w:vAlign w:val="bottom"/>
            <w:tcBorders>
              <w:top w:val="single" w:sz="8" w:color="auto"/>
            </w:tcBorders>
          </w:tcPr>
          <w:p>
            <w:pPr>
              <w:spacing w:after="0" w:line="204" w:lineRule="exact"/>
              <w:rPr>
                <w:sz w:val="20"/>
                <w:szCs w:val="20"/>
                <w:color w:val="auto"/>
              </w:rPr>
            </w:pPr>
            <w:r>
              <w:rPr>
                <w:rFonts w:ascii="Arial" w:cs="Arial" w:eastAsia="Arial" w:hAnsi="Arial"/>
                <w:sz w:val="18"/>
                <w:szCs w:val="18"/>
                <w:color w:val="auto"/>
              </w:rPr>
              <w:t>6-1162-AKP-070</w:t>
            </w:r>
          </w:p>
        </w:tc>
        <w:tc>
          <w:tcPr>
            <w:tcW w:w="780" w:type="dxa"/>
            <w:vAlign w:val="bottom"/>
          </w:tcPr>
          <w:p>
            <w:pPr>
              <w:spacing w:after="0"/>
              <w:rPr>
                <w:sz w:val="17"/>
                <w:szCs w:val="17"/>
                <w:color w:val="auto"/>
              </w:rPr>
            </w:pPr>
          </w:p>
        </w:tc>
        <w:tc>
          <w:tcPr>
            <w:tcW w:w="8480" w:type="dxa"/>
            <w:vAlign w:val="bottom"/>
            <w:gridSpan w:val="3"/>
            <w:vMerge w:val="continue"/>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strike w:val="1"/>
                <w:w w:val="96"/>
              </w:rPr>
              <w:t>6-1162-AKP-072R1</w:t>
            </w:r>
          </w:p>
        </w:tc>
        <w:tc>
          <w:tcPr>
            <w:tcW w:w="78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6-1162-AKP-073</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Accident Claims and Litigation</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6-1162-AKP-074R2</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Business Considerations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6-1162-AKP-075R1</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Aircraft Purchase Rights and Substitution Rights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 Attachment A</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 Attachment B</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r>
              <w:rPr>
                <w:rFonts w:ascii="Arial" w:cs="Arial" w:eastAsia="Arial" w:hAnsi="Arial"/>
                <w:sz w:val="18"/>
                <w:szCs w:val="18"/>
                <w:color w:val="auto"/>
                <w:strike w:val="1"/>
                <w:w w:val="91"/>
              </w:rPr>
              <w:t>Attachment C</w:t>
            </w:r>
          </w:p>
        </w:tc>
        <w:tc>
          <w:tcPr>
            <w:tcW w:w="70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6-1162-AKP-076</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Aircraft Performance Guarantees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6-1162-AKP-077</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Spares Matters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6-1162-AKP-078</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Model 737 Miscellaneous Commitments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6-1162-AKP-079</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6-1162-AKP-080</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Installation of Cabin Systems Equipment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6-1162-AKP-081</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Model 737 Maintenance Cost Commitment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6-1162-AKP-082</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Confidentiality</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6-1162-AKP-083</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Model 737 Introduction Cost Commitment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6-1162-AKP-084</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Performance Retention Commitment</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6-1162-AKP-085</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Component Reliability Commitments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6-1162-AKP-117</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Delivery Schedule</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6-1162-SSM-1405R1</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Multiple Operating Weight Program Attachment B</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 Attachment B</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6-1162-CLO-1035</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Aircraft Performance Guarantees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SA-28</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AAL-PA-1977-LA-1105509</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Aircraft Performance Guarantees, 737-700</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AAL-PA-1977-LA-1105511</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Aircraft Performance Guarantees, 737-900ER</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Arial" w:cs="Arial" w:eastAsia="Arial" w:hAnsi="Arial"/>
                <w:sz w:val="18"/>
                <w:szCs w:val="18"/>
                <w:color w:val="auto"/>
              </w:rPr>
              <w:t>6-1162-CLO-1038</w:t>
            </w:r>
          </w:p>
        </w:tc>
        <w:tc>
          <w:tcPr>
            <w:tcW w:w="8480" w:type="dxa"/>
            <w:vAlign w:val="bottom"/>
            <w:gridSpan w:val="3"/>
          </w:tcPr>
          <w:p>
            <w:pPr>
              <w:ind w:left="280"/>
              <w:spacing w:after="0"/>
              <w:rPr>
                <w:sz w:val="20"/>
                <w:szCs w:val="20"/>
                <w:color w:val="auto"/>
              </w:rPr>
            </w:pPr>
            <w:r>
              <w:rPr>
                <w:rFonts w:ascii="Arial" w:cs="Arial" w:eastAsia="Arial" w:hAnsi="Arial"/>
                <w:sz w:val="18"/>
                <w:szCs w:val="18"/>
                <w:color w:val="auto"/>
              </w:rPr>
              <w:t>Advance Payments and Permitted Transactions</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SA-31</w:t>
            </w:r>
          </w:p>
        </w:tc>
        <w:tc>
          <w:tcPr>
            <w:tcW w:w="0" w:type="dxa"/>
            <w:vAlign w:val="bottom"/>
          </w:tcPr>
          <w:p>
            <w:pPr>
              <w:spacing w:after="0"/>
              <w:rPr>
                <w:sz w:val="1"/>
                <w:szCs w:val="1"/>
                <w:color w:val="auto"/>
              </w:rPr>
            </w:pPr>
          </w:p>
        </w:tc>
      </w:tr>
      <w:tr>
        <w:trPr>
          <w:trHeight w:val="350"/>
        </w:trPr>
        <w:tc>
          <w:tcPr>
            <w:tcW w:w="232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80" w:type="dxa"/>
            <w:vAlign w:val="bottom"/>
          </w:tcPr>
          <w:p>
            <w:pPr>
              <w:ind w:left="2000"/>
              <w:spacing w:after="0"/>
              <w:rPr>
                <w:sz w:val="20"/>
                <w:szCs w:val="20"/>
                <w:color w:val="auto"/>
              </w:rPr>
            </w:pPr>
            <w:r>
              <w:rPr>
                <w:rFonts w:ascii="Arial" w:cs="Arial" w:eastAsia="Arial" w:hAnsi="Arial"/>
                <w:sz w:val="18"/>
                <w:szCs w:val="18"/>
                <w:color w:val="auto"/>
              </w:rPr>
              <w:t>SA-38</w:t>
            </w:r>
          </w:p>
        </w:tc>
        <w:tc>
          <w:tcPr>
            <w:tcW w:w="620" w:type="dxa"/>
            <w:vAlign w:val="bottom"/>
          </w:tcPr>
          <w:p>
            <w:pPr>
              <w:ind w:left="140"/>
              <w:spacing w:after="0"/>
              <w:rPr>
                <w:sz w:val="20"/>
                <w:szCs w:val="20"/>
                <w:color w:val="auto"/>
              </w:rPr>
            </w:pPr>
            <w:r>
              <w:rPr>
                <w:rFonts w:ascii="Arial" w:cs="Arial" w:eastAsia="Arial" w:hAnsi="Arial"/>
                <w:sz w:val="18"/>
                <w:szCs w:val="18"/>
                <w:color w:val="auto"/>
                <w:w w:val="80"/>
              </w:rPr>
              <w:t>Page 2</w:t>
            </w: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BOEING PROPRIETARY</w:t>
      </w:r>
    </w:p>
    <w:p>
      <w:pPr>
        <w:spacing w:after="0" w:line="23" w:lineRule="exact"/>
        <w:rPr>
          <w:sz w:val="20"/>
          <w:szCs w:val="20"/>
          <w:color w:val="auto"/>
        </w:rPr>
      </w:pPr>
    </w:p>
    <w:p>
      <w:pPr>
        <w:jc w:val="center"/>
        <w:ind w:left="260" w:right="2640"/>
        <w:spacing w:after="0" w:line="255"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color w:val="auto"/>
              </w:rPr>
              <w:t>LETTER AGREEMENTS, Continued</w:t>
            </w:r>
          </w:p>
        </w:tc>
        <w:tc>
          <w:tcPr>
            <w:tcW w:w="8260" w:type="dxa"/>
            <w:vAlign w:val="bottom"/>
          </w:tcPr>
          <w:p>
            <w:pPr>
              <w:spacing w:after="0"/>
              <w:rPr>
                <w:sz w:val="14"/>
                <w:szCs w:val="14"/>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color w:val="auto"/>
                <w:w w:val="96"/>
              </w:rPr>
              <w:t>SA</w:t>
            </w:r>
          </w:p>
        </w:tc>
        <w:tc>
          <w:tcPr>
            <w:tcW w:w="0" w:type="dxa"/>
            <w:vAlign w:val="bottom"/>
          </w:tcPr>
          <w:p>
            <w:pPr>
              <w:spacing w:after="0"/>
              <w:rPr>
                <w:sz w:val="1"/>
                <w:szCs w:val="1"/>
                <w:color w:val="auto"/>
              </w:rPr>
            </w:pPr>
          </w:p>
        </w:tc>
      </w:tr>
      <w:tr>
        <w:trPr>
          <w:trHeight w:val="174"/>
        </w:trPr>
        <w:tc>
          <w:tcPr>
            <w:tcW w:w="2540" w:type="dxa"/>
            <w:vAlign w:val="bottom"/>
            <w:gridSpan w:val="2"/>
            <w:vMerge w:val="continue"/>
          </w:tcPr>
          <w:p>
            <w:pPr>
              <w:spacing w:after="0"/>
              <w:rPr>
                <w:sz w:val="15"/>
                <w:szCs w:val="15"/>
                <w:color w:val="auto"/>
              </w:rPr>
            </w:pPr>
          </w:p>
        </w:tc>
        <w:tc>
          <w:tcPr>
            <w:tcW w:w="8260" w:type="dxa"/>
            <w:vAlign w:val="bottom"/>
            <w:vMerge w:val="restart"/>
          </w:tcPr>
          <w:p>
            <w:pPr>
              <w:ind w:left="300"/>
              <w:spacing w:after="0"/>
              <w:rPr>
                <w:sz w:val="20"/>
                <w:szCs w:val="20"/>
                <w:color w:val="auto"/>
              </w:rPr>
            </w:pPr>
            <w:r>
              <w:rPr>
                <w:rFonts w:ascii="Arial" w:cs="Arial" w:eastAsia="Arial" w:hAnsi="Arial"/>
                <w:sz w:val="18"/>
                <w:szCs w:val="18"/>
                <w:color w:val="auto"/>
              </w:rPr>
              <w:t>Advance Payments and Permitted Transactions 2</w:t>
            </w:r>
          </w:p>
        </w:tc>
        <w:tc>
          <w:tcPr>
            <w:tcW w:w="640" w:type="dxa"/>
            <w:vAlign w:val="bottom"/>
            <w:gridSpan w:val="2"/>
          </w:tcPr>
          <w:p>
            <w:pPr>
              <w:jc w:val="center"/>
              <w:ind w:right="20"/>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17"/>
        </w:trPr>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6-1162-CLO-1082</w:t>
            </w:r>
          </w:p>
        </w:tc>
        <w:tc>
          <w:tcPr>
            <w:tcW w:w="3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SA-32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AAL-PA-1977-LA-01073</w:t>
            </w:r>
          </w:p>
        </w:tc>
        <w:tc>
          <w:tcPr>
            <w:tcW w:w="8260" w:type="dxa"/>
            <w:vAlign w:val="bottom"/>
          </w:tcPr>
          <w:p>
            <w:pPr>
              <w:ind w:left="300"/>
              <w:spacing w:after="0"/>
              <w:rPr>
                <w:sz w:val="20"/>
                <w:szCs w:val="20"/>
                <w:color w:val="auto"/>
              </w:rPr>
            </w:pPr>
            <w:r>
              <w:rPr>
                <w:rFonts w:ascii="Arial" w:cs="Arial" w:eastAsia="Arial" w:hAnsi="Arial"/>
                <w:sz w:val="18"/>
                <w:szCs w:val="18"/>
                <w:color w:val="auto"/>
              </w:rPr>
              <w:t>Advance Payments and Permitted Transactions 3</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SA-34</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AAL-PA-1977-LA-1105271</w:t>
            </w:r>
          </w:p>
        </w:tc>
        <w:tc>
          <w:tcPr>
            <w:tcW w:w="8260" w:type="dxa"/>
            <w:vAlign w:val="bottom"/>
          </w:tcPr>
          <w:p>
            <w:pPr>
              <w:ind w:left="300"/>
              <w:spacing w:after="0"/>
              <w:rPr>
                <w:sz w:val="20"/>
                <w:szCs w:val="20"/>
                <w:color w:val="auto"/>
              </w:rPr>
            </w:pPr>
            <w:r>
              <w:rPr>
                <w:rFonts w:ascii="Arial" w:cs="Arial" w:eastAsia="Arial" w:hAnsi="Arial"/>
                <w:sz w:val="18"/>
                <w:szCs w:val="18"/>
                <w:color w:val="auto"/>
              </w:rPr>
              <w:t>Advance Payments and Permitted Transactions 4</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AAL-PA-1977-LA-1105272R1</w:t>
            </w:r>
          </w:p>
        </w:tc>
        <w:tc>
          <w:tcPr>
            <w:tcW w:w="8260" w:type="dxa"/>
            <w:vAlign w:val="bottom"/>
          </w:tcPr>
          <w:p>
            <w:pPr>
              <w:ind w:left="300"/>
              <w:spacing w:after="0"/>
              <w:rPr>
                <w:sz w:val="20"/>
                <w:szCs w:val="20"/>
                <w:color w:val="auto"/>
              </w:rPr>
            </w:pPr>
            <w:r>
              <w:rPr>
                <w:rFonts w:ascii="Arial" w:cs="Arial" w:eastAsia="Arial" w:hAnsi="Arial"/>
                <w:sz w:val="18"/>
                <w:szCs w:val="18"/>
                <w:color w:val="auto"/>
              </w:rPr>
              <w:t>Business Considerations 2</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AAL-PA-1977-LA-1105616</w:t>
            </w:r>
          </w:p>
        </w:tc>
        <w:tc>
          <w:tcPr>
            <w:tcW w:w="8260" w:type="dxa"/>
            <w:vAlign w:val="bottom"/>
          </w:tcPr>
          <w:p>
            <w:pPr>
              <w:ind w:left="300"/>
              <w:spacing w:after="0"/>
              <w:rPr>
                <w:sz w:val="20"/>
                <w:szCs w:val="20"/>
                <w:color w:val="auto"/>
              </w:rPr>
            </w:pPr>
            <w:r>
              <w:rPr>
                <w:rFonts w:ascii="Arial" w:cs="Arial" w:eastAsia="Arial" w:hAnsi="Arial"/>
                <w:sz w:val="18"/>
                <w:szCs w:val="18"/>
                <w:color w:val="auto"/>
              </w:rPr>
              <w:t>Open Configuration Matters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AAL-PA-1977-LA-1105863</w:t>
            </w:r>
          </w:p>
        </w:tc>
        <w:tc>
          <w:tcPr>
            <w:tcW w:w="8260" w:type="dxa"/>
            <w:vAlign w:val="bottom"/>
          </w:tcPr>
          <w:p>
            <w:pPr>
              <w:ind w:left="300"/>
              <w:spacing w:after="0"/>
              <w:rPr>
                <w:sz w:val="20"/>
                <w:szCs w:val="20"/>
                <w:color w:val="auto"/>
              </w:rPr>
            </w:pPr>
            <w:r>
              <w:rPr>
                <w:rFonts w:ascii="Arial" w:cs="Arial" w:eastAsia="Arial" w:hAnsi="Arial"/>
                <w:sz w:val="18"/>
                <w:szCs w:val="18"/>
                <w:color w:val="auto"/>
              </w:rPr>
              <w:t>Performance Guarantees for Rights Aircraft</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SA-35</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AAL-PA-1977-LA-08834</w:t>
            </w:r>
          </w:p>
        </w:tc>
        <w:tc>
          <w:tcPr>
            <w:tcW w:w="8260" w:type="dxa"/>
            <w:vAlign w:val="bottom"/>
          </w:tcPr>
          <w:p>
            <w:pPr>
              <w:ind w:left="300"/>
              <w:spacing w:after="0"/>
              <w:rPr>
                <w:sz w:val="20"/>
                <w:szCs w:val="20"/>
                <w:color w:val="auto"/>
              </w:rPr>
            </w:pPr>
            <w:r>
              <w:rPr>
                <w:rFonts w:ascii="Arial" w:cs="Arial" w:eastAsia="Arial" w:hAnsi="Arial"/>
                <w:sz w:val="18"/>
                <w:szCs w:val="18"/>
                <w:color w:val="auto"/>
              </w:rPr>
              <w:t>Business Considerations 3</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AAL-PA-1977-LA-08835</w:t>
            </w:r>
          </w:p>
        </w:tc>
        <w:tc>
          <w:tcPr>
            <w:tcW w:w="8260" w:type="dxa"/>
            <w:vAlign w:val="bottom"/>
          </w:tcPr>
          <w:p>
            <w:pPr>
              <w:ind w:left="300"/>
              <w:spacing w:after="0"/>
              <w:rPr>
                <w:sz w:val="20"/>
                <w:szCs w:val="20"/>
                <w:color w:val="auto"/>
              </w:rPr>
            </w:pPr>
            <w:r>
              <w:rPr>
                <w:rFonts w:ascii="Arial" w:cs="Arial" w:eastAsia="Arial" w:hAnsi="Arial"/>
                <w:sz w:val="18"/>
                <w:szCs w:val="18"/>
                <w:color w:val="auto"/>
              </w:rPr>
              <w:t>[*CTR]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AAL-PA-1977-LA-1106665</w:t>
            </w:r>
          </w:p>
        </w:tc>
        <w:tc>
          <w:tcPr>
            <w:tcW w:w="8260" w:type="dxa"/>
            <w:vAlign w:val="bottom"/>
          </w:tcPr>
          <w:p>
            <w:pPr>
              <w:ind w:left="300"/>
              <w:spacing w:after="0"/>
              <w:rPr>
                <w:sz w:val="20"/>
                <w:szCs w:val="20"/>
                <w:color w:val="auto"/>
              </w:rPr>
            </w:pPr>
            <w:r>
              <w:rPr>
                <w:rFonts w:ascii="Arial" w:cs="Arial" w:eastAsia="Arial" w:hAnsi="Arial"/>
                <w:sz w:val="18"/>
                <w:szCs w:val="18"/>
                <w:color w:val="auto"/>
              </w:rPr>
              <w:t>[*CTR]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AAL-PA-1977-LA-1106666</w:t>
            </w:r>
          </w:p>
        </w:tc>
        <w:tc>
          <w:tcPr>
            <w:tcW w:w="8260" w:type="dxa"/>
            <w:vAlign w:val="bottom"/>
          </w:tcPr>
          <w:p>
            <w:pPr>
              <w:ind w:left="300"/>
              <w:spacing w:after="0"/>
              <w:rPr>
                <w:sz w:val="20"/>
                <w:szCs w:val="20"/>
                <w:color w:val="auto"/>
              </w:rPr>
            </w:pPr>
            <w:r>
              <w:rPr>
                <w:rFonts w:ascii="Arial" w:cs="Arial" w:eastAsia="Arial" w:hAnsi="Arial"/>
                <w:sz w:val="18"/>
                <w:szCs w:val="18"/>
                <w:color w:val="auto"/>
              </w:rPr>
              <w:t>[*CTR]</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324"/>
        </w:trPr>
        <w:tc>
          <w:tcPr>
            <w:tcW w:w="2540" w:type="dxa"/>
            <w:vAlign w:val="bottom"/>
            <w:gridSpan w:val="2"/>
          </w:tcPr>
          <w:p>
            <w:pPr>
              <w:spacing w:after="0"/>
              <w:rPr>
                <w:sz w:val="20"/>
                <w:szCs w:val="20"/>
                <w:color w:val="auto"/>
              </w:rPr>
            </w:pPr>
            <w:r>
              <w:rPr>
                <w:rFonts w:ascii="Arial" w:cs="Arial" w:eastAsia="Arial" w:hAnsi="Arial"/>
                <w:sz w:val="18"/>
                <w:szCs w:val="18"/>
                <w:color w:val="auto"/>
              </w:rPr>
              <w:t>AAL-LA-1106678</w:t>
            </w:r>
          </w:p>
        </w:tc>
        <w:tc>
          <w:tcPr>
            <w:tcW w:w="8260" w:type="dxa"/>
            <w:vAlign w:val="bottom"/>
          </w:tcPr>
          <w:p>
            <w:pPr>
              <w:ind w:left="300"/>
              <w:spacing w:after="0"/>
              <w:rPr>
                <w:sz w:val="20"/>
                <w:szCs w:val="20"/>
                <w:color w:val="auto"/>
              </w:rPr>
            </w:pPr>
            <w:r>
              <w:rPr>
                <w:rFonts w:ascii="Arial" w:cs="Arial" w:eastAsia="Arial" w:hAnsi="Arial"/>
                <w:sz w:val="18"/>
                <w:szCs w:val="18"/>
                <w:color w:val="auto"/>
              </w:rPr>
              <w:t>Assignment Matters</w:t>
            </w:r>
          </w:p>
        </w:tc>
        <w:tc>
          <w:tcPr>
            <w:tcW w:w="6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SA-36</w:t>
            </w:r>
          </w:p>
        </w:tc>
        <w:tc>
          <w:tcPr>
            <w:tcW w:w="0" w:type="dxa"/>
            <w:vAlign w:val="bottom"/>
          </w:tcPr>
          <w:p>
            <w:pPr>
              <w:spacing w:after="0"/>
              <w:rPr>
                <w:sz w:val="1"/>
                <w:szCs w:val="1"/>
                <w:color w:val="auto"/>
              </w:rPr>
            </w:pPr>
          </w:p>
        </w:tc>
      </w:tr>
      <w:tr>
        <w:trPr>
          <w:trHeight w:val="715"/>
        </w:trPr>
        <w:tc>
          <w:tcPr>
            <w:tcW w:w="254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8260" w:type="dxa"/>
            <w:vAlign w:val="bottom"/>
          </w:tcPr>
          <w:p>
            <w:pPr>
              <w:ind w:left="3180"/>
              <w:spacing w:after="0"/>
              <w:rPr>
                <w:sz w:val="20"/>
                <w:szCs w:val="20"/>
                <w:color w:val="auto"/>
              </w:rPr>
            </w:pPr>
            <w:r>
              <w:rPr>
                <w:rFonts w:ascii="Arial" w:cs="Arial" w:eastAsia="Arial" w:hAnsi="Arial"/>
                <w:sz w:val="18"/>
                <w:szCs w:val="18"/>
                <w:color w:val="auto"/>
              </w:rPr>
              <w:t>SA-38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4"/>
              </w:rPr>
              <w:t>Page 3</w:t>
            </w: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8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left="500"/>
        <w:spacing w:after="0"/>
        <w:rPr>
          <w:sz w:val="20"/>
          <w:szCs w:val="20"/>
          <w:color w:val="auto"/>
        </w:rPr>
      </w:pPr>
      <w:r>
        <w:rPr>
          <w:rFonts w:ascii="Arial" w:cs="Arial" w:eastAsia="Arial" w:hAnsi="Arial"/>
          <w:sz w:val="18"/>
          <w:szCs w:val="18"/>
          <w:b w:val="1"/>
          <w:bCs w:val="1"/>
          <w:color w:val="auto"/>
        </w:rPr>
        <w:t>BOEING PROPRIETARY</w:t>
      </w:r>
    </w:p>
    <w:p>
      <w:pPr>
        <w:spacing w:after="0" w:line="23" w:lineRule="exact"/>
        <w:rPr>
          <w:sz w:val="20"/>
          <w:szCs w:val="20"/>
          <w:color w:val="auto"/>
        </w:rPr>
      </w:pPr>
    </w:p>
    <w:p>
      <w:pPr>
        <w:jc w:val="center"/>
        <w:ind w:left="260" w:right="2640"/>
        <w:spacing w:after="0" w:line="255"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20"/>
                <w:szCs w:val="20"/>
                <w:color w:val="auto"/>
              </w:rPr>
            </w:pPr>
            <w:r>
              <w:rPr>
                <w:rFonts w:ascii="Arial" w:cs="Arial" w:eastAsia="Arial" w:hAnsi="Arial"/>
                <w:sz w:val="18"/>
                <w:szCs w:val="18"/>
                <w:b w:val="1"/>
                <w:bCs w:val="1"/>
                <w:color w:val="auto"/>
              </w:rPr>
              <w:t>Airframe Model/MTOW:</w:t>
            </w:r>
          </w:p>
        </w:tc>
        <w:tc>
          <w:tcPr>
            <w:tcW w:w="2320" w:type="dxa"/>
            <w:vAlign w:val="bottom"/>
          </w:tcPr>
          <w:p>
            <w:pPr>
              <w:jc w:val="right"/>
              <w:ind w:right="1210"/>
              <w:spacing w:after="0"/>
              <w:rPr>
                <w:sz w:val="20"/>
                <w:szCs w:val="20"/>
                <w:color w:val="auto"/>
              </w:rPr>
            </w:pPr>
            <w:r>
              <w:rPr>
                <w:rFonts w:ascii="Arial" w:cs="Arial" w:eastAsia="Arial" w:hAnsi="Arial"/>
                <w:sz w:val="18"/>
                <w:szCs w:val="18"/>
                <w:color w:val="auto"/>
              </w:rPr>
              <w:t>737-800</w:t>
            </w:r>
          </w:p>
        </w:tc>
        <w:tc>
          <w:tcPr>
            <w:tcW w:w="1700" w:type="dxa"/>
            <w:vAlign w:val="bottom"/>
          </w:tcPr>
          <w:p>
            <w:pPr>
              <w:spacing w:after="0"/>
              <w:rPr>
                <w:sz w:val="20"/>
                <w:szCs w:val="20"/>
                <w:color w:val="auto"/>
              </w:rPr>
            </w:pPr>
            <w:r>
              <w:rPr>
                <w:rFonts w:ascii="Arial" w:cs="Arial" w:eastAsia="Arial" w:hAnsi="Arial"/>
                <w:sz w:val="18"/>
                <w:szCs w:val="18"/>
                <w:color w:val="auto"/>
              </w:rPr>
              <w:t>[*CTR] pounds</w:t>
            </w:r>
          </w:p>
        </w:tc>
        <w:tc>
          <w:tcPr>
            <w:tcW w:w="2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Detail Specification:</w:t>
            </w:r>
          </w:p>
        </w:tc>
        <w:tc>
          <w:tcPr>
            <w:tcW w:w="1940" w:type="dxa"/>
            <w:vAlign w:val="bottom"/>
            <w:gridSpan w:val="2"/>
          </w:tcPr>
          <w:p>
            <w:pPr>
              <w:ind w:left="80"/>
              <w:spacing w:after="0"/>
              <w:rPr>
                <w:sz w:val="20"/>
                <w:szCs w:val="20"/>
                <w:color w:val="auto"/>
              </w:rPr>
            </w:pPr>
            <w:r>
              <w:rPr>
                <w:rFonts w:ascii="Arial" w:cs="Arial" w:eastAsia="Arial" w:hAnsi="Arial"/>
                <w:sz w:val="18"/>
                <w:szCs w:val="18"/>
                <w:color w:val="auto"/>
                <w:w w:val="93"/>
              </w:rPr>
              <w:t>D019A001AAL38P-2 (as</w:t>
            </w:r>
          </w:p>
        </w:tc>
      </w:tr>
      <w:tr>
        <w:trPr>
          <w:trHeight w:val="216"/>
        </w:trPr>
        <w:tc>
          <w:tcPr>
            <w:tcW w:w="30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may be subsequently</w:t>
            </w:r>
          </w:p>
        </w:tc>
      </w:tr>
      <w:tr>
        <w:trPr>
          <w:trHeight w:val="230"/>
        </w:trPr>
        <w:tc>
          <w:tcPr>
            <w:tcW w:w="3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color w:val="auto"/>
              </w:rPr>
              <w:t>amended)</w:t>
            </w:r>
          </w:p>
        </w:tc>
      </w:tr>
      <w:tr>
        <w:trPr>
          <w:trHeight w:val="319"/>
        </w:trPr>
        <w:tc>
          <w:tcPr>
            <w:tcW w:w="3040" w:type="dxa"/>
            <w:vAlign w:val="bottom"/>
          </w:tcPr>
          <w:p>
            <w:pPr>
              <w:spacing w:after="0"/>
              <w:rPr>
                <w:sz w:val="20"/>
                <w:szCs w:val="20"/>
                <w:color w:val="auto"/>
              </w:rPr>
            </w:pPr>
            <w:r>
              <w:rPr>
                <w:rFonts w:ascii="Arial" w:cs="Arial" w:eastAsia="Arial" w:hAnsi="Arial"/>
                <w:sz w:val="18"/>
                <w:szCs w:val="18"/>
                <w:b w:val="1"/>
                <w:bCs w:val="1"/>
                <w:color w:val="auto"/>
              </w:rPr>
              <w:t>Engine Model/Thrust:</w:t>
            </w:r>
          </w:p>
        </w:tc>
        <w:tc>
          <w:tcPr>
            <w:tcW w:w="2320" w:type="dxa"/>
            <w:vAlign w:val="bottom"/>
          </w:tcPr>
          <w:p>
            <w:pPr>
              <w:jc w:val="center"/>
              <w:ind w:right="790"/>
              <w:spacing w:after="0"/>
              <w:rPr>
                <w:sz w:val="20"/>
                <w:szCs w:val="20"/>
                <w:color w:val="auto"/>
              </w:rPr>
            </w:pPr>
            <w:r>
              <w:rPr>
                <w:rFonts w:ascii="Arial" w:cs="Arial" w:eastAsia="Arial" w:hAnsi="Arial"/>
                <w:sz w:val="18"/>
                <w:szCs w:val="18"/>
                <w:color w:val="auto"/>
                <w:w w:val="93"/>
              </w:rPr>
              <w:t>CFM56-7B24</w:t>
            </w:r>
          </w:p>
        </w:tc>
        <w:tc>
          <w:tcPr>
            <w:tcW w:w="1700" w:type="dxa"/>
            <w:vAlign w:val="bottom"/>
          </w:tcPr>
          <w:p>
            <w:pPr>
              <w:spacing w:after="0"/>
              <w:rPr>
                <w:sz w:val="20"/>
                <w:szCs w:val="20"/>
                <w:color w:val="auto"/>
              </w:rPr>
            </w:pPr>
            <w:r>
              <w:rPr>
                <w:rFonts w:ascii="Arial" w:cs="Arial" w:eastAsia="Arial" w:hAnsi="Arial"/>
                <w:sz w:val="18"/>
                <w:szCs w:val="18"/>
                <w:color w:val="auto"/>
              </w:rPr>
              <w:t>[*CTR] pounds</w:t>
            </w:r>
          </w:p>
        </w:tc>
        <w:tc>
          <w:tcPr>
            <w:tcW w:w="2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Airframe Price Base</w:t>
            </w:r>
          </w:p>
        </w:tc>
        <w:tc>
          <w:tcPr>
            <w:tcW w:w="180" w:type="dxa"/>
            <w:vAlign w:val="bottom"/>
          </w:tcPr>
          <w:p>
            <w:pPr>
              <w:spacing w:after="0"/>
              <w:rPr>
                <w:sz w:val="24"/>
                <w:szCs w:val="24"/>
                <w:color w:val="auto"/>
              </w:rPr>
            </w:pPr>
          </w:p>
        </w:tc>
        <w:tc>
          <w:tcPr>
            <w:tcW w:w="1760" w:type="dxa"/>
            <w:vAlign w:val="bottom"/>
          </w:tcPr>
          <w:p>
            <w:pPr>
              <w:ind w:left="340"/>
              <w:spacing w:after="0"/>
              <w:rPr>
                <w:sz w:val="20"/>
                <w:szCs w:val="20"/>
                <w:color w:val="auto"/>
              </w:rPr>
            </w:pPr>
            <w:r>
              <w:rPr>
                <w:rFonts w:ascii="Arial" w:cs="Arial" w:eastAsia="Arial" w:hAnsi="Arial"/>
                <w:sz w:val="18"/>
                <w:szCs w:val="18"/>
                <w:color w:val="auto"/>
              </w:rPr>
              <w:t>[*CTR]</w:t>
            </w:r>
          </w:p>
        </w:tc>
      </w:tr>
      <w:tr>
        <w:trPr>
          <w:trHeight w:val="234"/>
        </w:trPr>
        <w:tc>
          <w:tcPr>
            <w:tcW w:w="3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Year/Escalation Formula:</w:t>
            </w:r>
          </w:p>
        </w:tc>
      </w:tr>
      <w:tr>
        <w:trPr>
          <w:trHeight w:val="319"/>
        </w:trPr>
        <w:tc>
          <w:tcPr>
            <w:tcW w:w="3040" w:type="dxa"/>
            <w:vAlign w:val="bottom"/>
          </w:tcPr>
          <w:p>
            <w:pPr>
              <w:spacing w:after="0"/>
              <w:rPr>
                <w:sz w:val="20"/>
                <w:szCs w:val="20"/>
                <w:color w:val="auto"/>
              </w:rPr>
            </w:pPr>
            <w:r>
              <w:rPr>
                <w:rFonts w:ascii="Arial" w:cs="Arial" w:eastAsia="Arial" w:hAnsi="Arial"/>
                <w:sz w:val="18"/>
                <w:szCs w:val="18"/>
                <w:b w:val="1"/>
                <w:bCs w:val="1"/>
                <w:color w:val="auto"/>
              </w:rPr>
              <w:t>Airframe Price:</w:t>
            </w:r>
          </w:p>
        </w:tc>
        <w:tc>
          <w:tcPr>
            <w:tcW w:w="2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rPr>
              <w:t>Engine Price Base</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Year/Escalation Formula:</w:t>
            </w:r>
          </w:p>
        </w:tc>
      </w:tr>
      <w:tr>
        <w:trPr>
          <w:trHeight w:val="324"/>
        </w:trPr>
        <w:tc>
          <w:tcPr>
            <w:tcW w:w="3040" w:type="dxa"/>
            <w:vAlign w:val="bottom"/>
          </w:tcPr>
          <w:p>
            <w:pPr>
              <w:spacing w:after="0"/>
              <w:rPr>
                <w:sz w:val="20"/>
                <w:szCs w:val="20"/>
                <w:color w:val="auto"/>
              </w:rPr>
            </w:pPr>
            <w:r>
              <w:rPr>
                <w:rFonts w:ascii="Arial" w:cs="Arial" w:eastAsia="Arial" w:hAnsi="Arial"/>
                <w:sz w:val="18"/>
                <w:szCs w:val="18"/>
                <w:b w:val="1"/>
                <w:bCs w:val="1"/>
                <w:color w:val="auto"/>
              </w:rPr>
              <w:t>Optional Features:</w:t>
            </w:r>
          </w:p>
        </w:tc>
        <w:tc>
          <w:tcPr>
            <w:tcW w:w="2320" w:type="dxa"/>
            <w:vAlign w:val="bottom"/>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1"/>
        </w:trPr>
        <w:tc>
          <w:tcPr>
            <w:tcW w:w="3040" w:type="dxa"/>
            <w:vAlign w:val="bottom"/>
          </w:tcPr>
          <w:p>
            <w:pPr>
              <w:spacing w:after="0"/>
              <w:rPr>
                <w:sz w:val="20"/>
                <w:szCs w:val="20"/>
                <w:color w:val="auto"/>
              </w:rPr>
            </w:pPr>
            <w:r>
              <w:rPr>
                <w:rFonts w:ascii="Arial" w:cs="Arial" w:eastAsia="Arial" w:hAnsi="Arial"/>
                <w:sz w:val="18"/>
                <w:szCs w:val="18"/>
                <w:b w:val="1"/>
                <w:bCs w:val="1"/>
                <w:color w:val="auto"/>
                <w:w w:val="98"/>
              </w:rPr>
              <w:t>Sub-Total of Airframe and Features:</w:t>
            </w:r>
          </w:p>
        </w:tc>
        <w:tc>
          <w:tcPr>
            <w:tcW w:w="2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Airframe Escalation Data:</w:t>
            </w:r>
          </w:p>
        </w:tc>
      </w:tr>
      <w:tr>
        <w:trPr>
          <w:trHeight w:val="345"/>
        </w:trPr>
        <w:tc>
          <w:tcPr>
            <w:tcW w:w="3040" w:type="dxa"/>
            <w:vAlign w:val="bottom"/>
          </w:tcPr>
          <w:p>
            <w:pPr>
              <w:spacing w:after="0"/>
              <w:rPr>
                <w:sz w:val="20"/>
                <w:szCs w:val="20"/>
                <w:color w:val="auto"/>
              </w:rPr>
            </w:pPr>
            <w:r>
              <w:rPr>
                <w:rFonts w:ascii="Arial" w:cs="Arial" w:eastAsia="Arial" w:hAnsi="Arial"/>
                <w:sz w:val="18"/>
                <w:szCs w:val="18"/>
                <w:b w:val="1"/>
                <w:bCs w:val="1"/>
                <w:color w:val="auto"/>
              </w:rPr>
              <w:t>Engine Price (Per Aircraft):</w:t>
            </w:r>
          </w:p>
        </w:tc>
        <w:tc>
          <w:tcPr>
            <w:tcW w:w="2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5"/>
              </w:rPr>
              <w:t>Base Year Index (ECI):</w:t>
            </w:r>
          </w:p>
        </w:tc>
        <w:tc>
          <w:tcPr>
            <w:tcW w:w="180" w:type="dxa"/>
            <w:vAlign w:val="bottom"/>
            <w:tcBorders>
              <w:top w:val="single" w:sz="8" w:color="auto"/>
            </w:tcBorders>
          </w:tcPr>
          <w:p>
            <w:pPr>
              <w:spacing w:after="0"/>
              <w:rPr>
                <w:sz w:val="24"/>
                <w:szCs w:val="24"/>
                <w:color w:val="auto"/>
              </w:rPr>
            </w:pPr>
          </w:p>
        </w:tc>
        <w:tc>
          <w:tcPr>
            <w:tcW w:w="1760" w:type="dxa"/>
            <w:vAlign w:val="bottom"/>
          </w:tcPr>
          <w:p>
            <w:pPr>
              <w:ind w:left="340"/>
              <w:spacing w:after="0"/>
              <w:rPr>
                <w:sz w:val="20"/>
                <w:szCs w:val="20"/>
                <w:color w:val="auto"/>
              </w:rPr>
            </w:pPr>
            <w:r>
              <w:rPr>
                <w:rFonts w:ascii="Arial" w:cs="Arial" w:eastAsia="Arial" w:hAnsi="Arial"/>
                <w:sz w:val="18"/>
                <w:szCs w:val="18"/>
                <w:color w:val="auto"/>
              </w:rPr>
              <w:t>[*CTR]</w:t>
            </w: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Aircraft Basic Price (Excluding BFE/SPE):</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b w:val="1"/>
                <w:bCs w:val="1"/>
                <w:color w:val="auto"/>
                <w:w w:val="95"/>
              </w:rPr>
              <w:t>Base Year Index (CPI):</w:t>
            </w:r>
          </w:p>
        </w:tc>
        <w:tc>
          <w:tcPr>
            <w:tcW w:w="180" w:type="dxa"/>
            <w:vAlign w:val="bottom"/>
          </w:tcPr>
          <w:p>
            <w:pPr>
              <w:spacing w:after="0"/>
              <w:rPr>
                <w:sz w:val="24"/>
                <w:szCs w:val="24"/>
                <w:color w:val="auto"/>
              </w:rPr>
            </w:pPr>
          </w:p>
        </w:tc>
        <w:tc>
          <w:tcPr>
            <w:tcW w:w="1760" w:type="dxa"/>
            <w:vAlign w:val="bottom"/>
          </w:tcPr>
          <w:p>
            <w:pPr>
              <w:ind w:left="340"/>
              <w:spacing w:after="0"/>
              <w:rPr>
                <w:sz w:val="20"/>
                <w:szCs w:val="20"/>
                <w:color w:val="auto"/>
              </w:rPr>
            </w:pPr>
            <w:r>
              <w:rPr>
                <w:rFonts w:ascii="Arial" w:cs="Arial" w:eastAsia="Arial" w:hAnsi="Arial"/>
                <w:sz w:val="18"/>
                <w:szCs w:val="18"/>
                <w:color w:val="auto"/>
              </w:rPr>
              <w:t>[*CTR]</w:t>
            </w:r>
          </w:p>
        </w:tc>
      </w:tr>
      <w:tr>
        <w:trPr>
          <w:trHeight w:val="33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Buyer Furnished Equipment (BFE) Estimate:</w:t>
            </w: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Seller Purchased Equipment (SPE) Estimate:</w:t>
            </w: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4"/>
        </w:trPr>
        <w:tc>
          <w:tcPr>
            <w:tcW w:w="3040" w:type="dxa"/>
            <w:vAlign w:val="bottom"/>
          </w:tcPr>
          <w:p>
            <w:pPr>
              <w:spacing w:after="0"/>
              <w:rPr>
                <w:sz w:val="20"/>
                <w:szCs w:val="20"/>
                <w:color w:val="auto"/>
              </w:rPr>
            </w:pPr>
            <w:r>
              <w:rPr>
                <w:rFonts w:ascii="Arial" w:cs="Arial" w:eastAsia="Arial" w:hAnsi="Arial"/>
                <w:sz w:val="18"/>
                <w:szCs w:val="18"/>
                <w:b w:val="1"/>
                <w:bCs w:val="1"/>
                <w:color w:val="auto"/>
              </w:rPr>
              <w:t>Deposit per Aircraft:</w:t>
            </w:r>
          </w:p>
        </w:tc>
        <w:tc>
          <w:tcPr>
            <w:tcW w:w="23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3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Delivery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Aircraft Serial</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Escalation Estimate</w:t>
            </w:r>
          </w:p>
        </w:tc>
        <w:tc>
          <w:tcPr>
            <w:tcW w:w="0" w:type="dxa"/>
            <w:vAlign w:val="bottom"/>
          </w:tcPr>
          <w:p>
            <w:pPr>
              <w:spacing w:after="0"/>
              <w:rPr>
                <w:sz w:val="1"/>
                <w:szCs w:val="1"/>
                <w:color w:val="auto"/>
              </w:rPr>
            </w:pPr>
          </w:p>
        </w:tc>
      </w:tr>
      <w:tr>
        <w:trPr>
          <w:trHeight w:val="144"/>
        </w:trPr>
        <w:tc>
          <w:tcPr>
            <w:tcW w:w="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Factor</w:t>
            </w:r>
          </w:p>
        </w:tc>
        <w:tc>
          <w:tcPr>
            <w:tcW w:w="1320" w:type="dxa"/>
            <w:vAlign w:val="bottom"/>
            <w:vMerge w:val="continue"/>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32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4"/>
          <w:szCs w:val="14"/>
          <w:b w:val="1"/>
          <w:bCs w:val="1"/>
          <w:color w:val="auto"/>
        </w:rPr>
        <w:t>Advance Payment Per Aircraft (Amts. Due/Mos. Prior to Delivery):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0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[*CTR]</w:t>
            </w:r>
          </w:p>
        </w:tc>
        <w:tc>
          <w:tcPr>
            <w:tcW w:w="134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rPr>
              <w:t>[*CTR]</w:t>
            </w:r>
          </w:p>
        </w:tc>
        <w:tc>
          <w:tcPr>
            <w:tcW w:w="132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4"/>
                <w:szCs w:val="14"/>
                <w:color w:val="auto"/>
              </w:rPr>
              <w:t>[*CTR]</w:t>
            </w:r>
          </w:p>
        </w:tc>
        <w:tc>
          <w:tcPr>
            <w:tcW w:w="12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b w:val="1"/>
                <w:bCs w:val="1"/>
                <w:color w:val="auto"/>
                <w:w w:val="95"/>
              </w:rPr>
              <w:t>Total</w:t>
            </w:r>
          </w:p>
        </w:tc>
      </w:tr>
      <w:tr>
        <w:trPr>
          <w:trHeight w:val="181"/>
        </w:trPr>
        <w:tc>
          <w:tcPr>
            <w:tcW w:w="1300" w:type="dxa"/>
            <w:vAlign w:val="bottom"/>
          </w:tcPr>
          <w:p>
            <w:pPr>
              <w:ind w:left="400"/>
              <w:spacing w:after="0"/>
              <w:rPr>
                <w:sz w:val="20"/>
                <w:szCs w:val="20"/>
                <w:color w:val="auto"/>
              </w:rPr>
            </w:pPr>
            <w:r>
              <w:rPr>
                <w:rFonts w:ascii="Arial" w:cs="Arial" w:eastAsia="Arial" w:hAnsi="Arial"/>
                <w:sz w:val="14"/>
                <w:szCs w:val="14"/>
                <w:color w:val="auto"/>
              </w:rPr>
              <w:t>[*CTR]</w:t>
            </w:r>
          </w:p>
        </w:tc>
        <w:tc>
          <w:tcPr>
            <w:tcW w:w="1340" w:type="dxa"/>
            <w:vAlign w:val="bottom"/>
          </w:tcPr>
          <w:p>
            <w:pPr>
              <w:ind w:left="440"/>
              <w:spacing w:after="0"/>
              <w:rPr>
                <w:sz w:val="20"/>
                <w:szCs w:val="20"/>
                <w:color w:val="auto"/>
              </w:rPr>
            </w:pPr>
            <w:r>
              <w:rPr>
                <w:rFonts w:ascii="Arial" w:cs="Arial" w:eastAsia="Arial" w:hAnsi="Arial"/>
                <w:sz w:val="14"/>
                <w:szCs w:val="14"/>
                <w:color w:val="auto"/>
              </w:rPr>
              <w:t>[*CTR]</w:t>
            </w:r>
          </w:p>
        </w:tc>
        <w:tc>
          <w:tcPr>
            <w:tcW w:w="1320" w:type="dxa"/>
            <w:vAlign w:val="bottom"/>
          </w:tcPr>
          <w:p>
            <w:pPr>
              <w:ind w:left="460"/>
              <w:spacing w:after="0"/>
              <w:rPr>
                <w:sz w:val="20"/>
                <w:szCs w:val="20"/>
                <w:color w:val="auto"/>
              </w:rPr>
            </w:pPr>
            <w:r>
              <w:rPr>
                <w:rFonts w:ascii="Arial" w:cs="Arial" w:eastAsia="Arial" w:hAnsi="Arial"/>
                <w:sz w:val="14"/>
                <w:szCs w:val="14"/>
                <w:color w:val="auto"/>
              </w:rPr>
              <w:t>[*CTR]</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[*CTR]</w:t>
            </w:r>
          </w:p>
        </w:tc>
      </w:tr>
    </w:tbl>
    <w:p>
      <w:pPr>
        <w:spacing w:after="0" w:line="1" w:lineRule="exact"/>
        <w:rPr>
          <w:sz w:val="20"/>
          <w:szCs w:val="20"/>
          <w:color w:val="auto"/>
        </w:rPr>
      </w:pPr>
    </w:p>
    <w:p>
      <w:pPr>
        <w:sectPr>
          <w:pgSz w:w="11900" w:h="16838" w:orient="portrait"/>
          <w:cols w:equalWidth="0" w:num="2">
            <w:col w:w="6120" w:space="120"/>
            <w:col w:w="5180"/>
          </w:cols>
          <w:pgMar w:left="240" w:top="270" w:right="239" w:bottom="144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[*CTR]</w:t>
            </w:r>
          </w:p>
        </w:tc>
        <w:tc>
          <w:tcPr>
            <w:tcW w:w="1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15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SA-38</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420"/>
          </w:cols>
          <w:pgMar w:left="240" w:top="270" w:right="239" w:bottom="1440" w:gutter="0" w:footer="0" w:header="0"/>
          <w:type w:val="continuous"/>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737-800 Aircraft Delivery, Description, Price and Advance Payments Purchased Aircraft</w:t>
      </w:r>
    </w:p>
    <w:p>
      <w:pPr>
        <w:sectPr>
          <w:pgSz w:w="11900" w:h="16838" w:orient="portrait"/>
          <w:cols w:equalWidth="0" w:num="1">
            <w:col w:w="11420"/>
          </w:cols>
          <w:pgMar w:left="240" w:top="270" w:right="239" w:bottom="1440" w:gutter="0" w:footer="0" w:header="0"/>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Delivery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Aircraft Serial</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Escalation Estimate</w:t>
            </w:r>
          </w:p>
        </w:tc>
        <w:tc>
          <w:tcPr>
            <w:tcW w:w="0" w:type="dxa"/>
            <w:vAlign w:val="bottom"/>
          </w:tcPr>
          <w:p>
            <w:pPr>
              <w:spacing w:after="0"/>
              <w:rPr>
                <w:sz w:val="1"/>
                <w:szCs w:val="1"/>
                <w:color w:val="auto"/>
              </w:rPr>
            </w:pPr>
          </w:p>
        </w:tc>
      </w:tr>
      <w:tr>
        <w:trPr>
          <w:trHeight w:val="144"/>
        </w:trPr>
        <w:tc>
          <w:tcPr>
            <w:tcW w:w="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Factor</w:t>
            </w:r>
          </w:p>
        </w:tc>
        <w:tc>
          <w:tcPr>
            <w:tcW w:w="1320" w:type="dxa"/>
            <w:vAlign w:val="bottom"/>
            <w:vMerge w:val="continue"/>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32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Advance Payment Per Aircraft (Amts. Due/Mos. Prior to Delivery):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0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[*CTR]</w:t>
            </w:r>
          </w:p>
        </w:tc>
        <w:tc>
          <w:tcPr>
            <w:tcW w:w="134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rPr>
              <w:t>[*CTR]</w:t>
            </w:r>
          </w:p>
        </w:tc>
        <w:tc>
          <w:tcPr>
            <w:tcW w:w="132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4"/>
                <w:szCs w:val="14"/>
                <w:color w:val="auto"/>
              </w:rPr>
              <w:t>[*CTR]</w:t>
            </w:r>
          </w:p>
        </w:tc>
        <w:tc>
          <w:tcPr>
            <w:tcW w:w="12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b w:val="1"/>
                <w:bCs w:val="1"/>
                <w:color w:val="auto"/>
                <w:w w:val="95"/>
              </w:rPr>
              <w:t>Total</w:t>
            </w:r>
          </w:p>
        </w:tc>
      </w:tr>
      <w:tr>
        <w:trPr>
          <w:trHeight w:val="181"/>
        </w:trPr>
        <w:tc>
          <w:tcPr>
            <w:tcW w:w="1300" w:type="dxa"/>
            <w:vAlign w:val="bottom"/>
          </w:tcPr>
          <w:p>
            <w:pPr>
              <w:ind w:left="400"/>
              <w:spacing w:after="0"/>
              <w:rPr>
                <w:sz w:val="20"/>
                <w:szCs w:val="20"/>
                <w:color w:val="auto"/>
              </w:rPr>
            </w:pPr>
            <w:r>
              <w:rPr>
                <w:rFonts w:ascii="Arial" w:cs="Arial" w:eastAsia="Arial" w:hAnsi="Arial"/>
                <w:sz w:val="14"/>
                <w:szCs w:val="14"/>
                <w:color w:val="auto"/>
              </w:rPr>
              <w:t>[*CTR]</w:t>
            </w:r>
          </w:p>
        </w:tc>
        <w:tc>
          <w:tcPr>
            <w:tcW w:w="1340" w:type="dxa"/>
            <w:vAlign w:val="bottom"/>
          </w:tcPr>
          <w:p>
            <w:pPr>
              <w:ind w:left="440"/>
              <w:spacing w:after="0"/>
              <w:rPr>
                <w:sz w:val="20"/>
                <w:szCs w:val="20"/>
                <w:color w:val="auto"/>
              </w:rPr>
            </w:pPr>
            <w:r>
              <w:rPr>
                <w:rFonts w:ascii="Arial" w:cs="Arial" w:eastAsia="Arial" w:hAnsi="Arial"/>
                <w:sz w:val="14"/>
                <w:szCs w:val="14"/>
                <w:color w:val="auto"/>
              </w:rPr>
              <w:t>[*CTR]</w:t>
            </w:r>
          </w:p>
        </w:tc>
        <w:tc>
          <w:tcPr>
            <w:tcW w:w="1320" w:type="dxa"/>
            <w:vAlign w:val="bottom"/>
          </w:tcPr>
          <w:p>
            <w:pPr>
              <w:ind w:left="460"/>
              <w:spacing w:after="0"/>
              <w:rPr>
                <w:sz w:val="20"/>
                <w:szCs w:val="20"/>
                <w:color w:val="auto"/>
              </w:rPr>
            </w:pPr>
            <w:r>
              <w:rPr>
                <w:rFonts w:ascii="Arial" w:cs="Arial" w:eastAsia="Arial" w:hAnsi="Arial"/>
                <w:sz w:val="14"/>
                <w:szCs w:val="14"/>
                <w:color w:val="auto"/>
              </w:rPr>
              <w:t>[*CTR]</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[*CTR]</w:t>
            </w:r>
          </w:p>
        </w:tc>
      </w:tr>
    </w:tbl>
    <w:p>
      <w:pPr>
        <w:spacing w:after="0" w:line="1" w:lineRule="exact"/>
        <w:rPr>
          <w:sz w:val="20"/>
          <w:szCs w:val="20"/>
          <w:color w:val="auto"/>
        </w:rPr>
      </w:pPr>
    </w:p>
    <w:p>
      <w:pPr>
        <w:sectPr>
          <w:pgSz w:w="11900" w:h="16838" w:orient="portrait"/>
          <w:cols w:equalWidth="0" w:num="2">
            <w:col w:w="6120" w:space="120"/>
            <w:col w:w="5180"/>
          </w:cols>
          <w:pgMar w:left="240" w:top="270" w:right="239" w:bottom="144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[*CTR]</w:t>
            </w:r>
          </w:p>
        </w:tc>
        <w:tc>
          <w:tcPr>
            <w:tcW w:w="1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bl>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15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SA-38</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420"/>
          </w:cols>
          <w:pgMar w:left="240" w:top="270" w:right="239" w:bottom="1440" w:gutter="0" w:footer="0" w:header="0"/>
          <w:type w:val="continuous"/>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737-800 Aircraft Delivery, Description, Price and Advance Payments Purchased Aircraft</w:t>
      </w:r>
    </w:p>
    <w:p>
      <w:pPr>
        <w:sectPr>
          <w:pgSz w:w="11900" w:h="16838" w:orient="portrait"/>
          <w:cols w:equalWidth="0" w:num="1">
            <w:col w:w="11420"/>
          </w:cols>
          <w:pgMar w:left="240" w:top="270" w:right="239" w:bottom="1440" w:gutter="0" w:footer="0" w:header="0"/>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Delivery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Aircraft Serial</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Escalation Estimate</w:t>
            </w:r>
          </w:p>
        </w:tc>
        <w:tc>
          <w:tcPr>
            <w:tcW w:w="0" w:type="dxa"/>
            <w:vAlign w:val="bottom"/>
          </w:tcPr>
          <w:p>
            <w:pPr>
              <w:spacing w:after="0"/>
              <w:rPr>
                <w:sz w:val="1"/>
                <w:szCs w:val="1"/>
                <w:color w:val="auto"/>
              </w:rPr>
            </w:pPr>
          </w:p>
        </w:tc>
      </w:tr>
      <w:tr>
        <w:trPr>
          <w:trHeight w:val="144"/>
        </w:trPr>
        <w:tc>
          <w:tcPr>
            <w:tcW w:w="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Factor</w:t>
            </w:r>
          </w:p>
        </w:tc>
        <w:tc>
          <w:tcPr>
            <w:tcW w:w="1320" w:type="dxa"/>
            <w:vAlign w:val="bottom"/>
            <w:vMerge w:val="continue"/>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32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Advance Payment Per Aircraft (Amts. Due/Mos. Prior to Delivery):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0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[*CTR]</w:t>
            </w:r>
          </w:p>
        </w:tc>
        <w:tc>
          <w:tcPr>
            <w:tcW w:w="134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rPr>
              <w:t>[*CTR]</w:t>
            </w:r>
          </w:p>
        </w:tc>
        <w:tc>
          <w:tcPr>
            <w:tcW w:w="132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4"/>
                <w:szCs w:val="14"/>
                <w:color w:val="auto"/>
              </w:rPr>
              <w:t>[*CTR]</w:t>
            </w:r>
          </w:p>
        </w:tc>
        <w:tc>
          <w:tcPr>
            <w:tcW w:w="12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b w:val="1"/>
                <w:bCs w:val="1"/>
                <w:color w:val="auto"/>
                <w:w w:val="95"/>
              </w:rPr>
              <w:t>Total</w:t>
            </w:r>
          </w:p>
        </w:tc>
      </w:tr>
      <w:tr>
        <w:trPr>
          <w:trHeight w:val="181"/>
        </w:trPr>
        <w:tc>
          <w:tcPr>
            <w:tcW w:w="1300" w:type="dxa"/>
            <w:vAlign w:val="bottom"/>
          </w:tcPr>
          <w:p>
            <w:pPr>
              <w:ind w:left="400"/>
              <w:spacing w:after="0"/>
              <w:rPr>
                <w:sz w:val="20"/>
                <w:szCs w:val="20"/>
                <w:color w:val="auto"/>
              </w:rPr>
            </w:pPr>
            <w:r>
              <w:rPr>
                <w:rFonts w:ascii="Arial" w:cs="Arial" w:eastAsia="Arial" w:hAnsi="Arial"/>
                <w:sz w:val="14"/>
                <w:szCs w:val="14"/>
                <w:color w:val="auto"/>
              </w:rPr>
              <w:t>[*CTR]</w:t>
            </w:r>
          </w:p>
        </w:tc>
        <w:tc>
          <w:tcPr>
            <w:tcW w:w="1340" w:type="dxa"/>
            <w:vAlign w:val="bottom"/>
          </w:tcPr>
          <w:p>
            <w:pPr>
              <w:ind w:left="440"/>
              <w:spacing w:after="0"/>
              <w:rPr>
                <w:sz w:val="20"/>
                <w:szCs w:val="20"/>
                <w:color w:val="auto"/>
              </w:rPr>
            </w:pPr>
            <w:r>
              <w:rPr>
                <w:rFonts w:ascii="Arial" w:cs="Arial" w:eastAsia="Arial" w:hAnsi="Arial"/>
                <w:sz w:val="14"/>
                <w:szCs w:val="14"/>
                <w:color w:val="auto"/>
              </w:rPr>
              <w:t>[*CTR]</w:t>
            </w:r>
          </w:p>
        </w:tc>
        <w:tc>
          <w:tcPr>
            <w:tcW w:w="1320" w:type="dxa"/>
            <w:vAlign w:val="bottom"/>
          </w:tcPr>
          <w:p>
            <w:pPr>
              <w:ind w:left="460"/>
              <w:spacing w:after="0"/>
              <w:rPr>
                <w:sz w:val="20"/>
                <w:szCs w:val="20"/>
                <w:color w:val="auto"/>
              </w:rPr>
            </w:pPr>
            <w:r>
              <w:rPr>
                <w:rFonts w:ascii="Arial" w:cs="Arial" w:eastAsia="Arial" w:hAnsi="Arial"/>
                <w:sz w:val="14"/>
                <w:szCs w:val="14"/>
                <w:color w:val="auto"/>
              </w:rPr>
              <w:t>[*CTR]</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[*CTR]</w:t>
            </w:r>
          </w:p>
        </w:tc>
      </w:tr>
    </w:tbl>
    <w:p>
      <w:pPr>
        <w:spacing w:after="0" w:line="1" w:lineRule="exact"/>
        <w:rPr>
          <w:sz w:val="20"/>
          <w:szCs w:val="20"/>
          <w:color w:val="auto"/>
        </w:rPr>
      </w:pPr>
    </w:p>
    <w:p>
      <w:pPr>
        <w:sectPr>
          <w:pgSz w:w="11900" w:h="16838" w:orient="portrait"/>
          <w:cols w:equalWidth="0" w:num="2">
            <w:col w:w="6120" w:space="120"/>
            <w:col w:w="5180"/>
          </w:cols>
          <w:pgMar w:left="240" w:top="270" w:right="239" w:bottom="144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[*CTR]</w:t>
            </w:r>
          </w:p>
        </w:tc>
        <w:tc>
          <w:tcPr>
            <w:tcW w:w="1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bl>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15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SA-38</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0" w:right="23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737-800 Aircraft Delivery, Description, Price and Advance Payments Purchased Aircraft</w:t>
      </w:r>
    </w:p>
    <w:p>
      <w:pPr>
        <w:sectPr>
          <w:pgSz w:w="11900" w:h="16838" w:orient="portrait"/>
          <w:cols w:equalWidth="0" w:num="1">
            <w:col w:w="11420"/>
          </w:cols>
          <w:pgMar w:left="240" w:top="270" w:right="239" w:bottom="1440" w:gutter="0" w:footer="0" w:header="0"/>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Delivery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Aircraft Serial</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Escalation Estimate</w:t>
            </w:r>
          </w:p>
        </w:tc>
        <w:tc>
          <w:tcPr>
            <w:tcW w:w="0" w:type="dxa"/>
            <w:vAlign w:val="bottom"/>
          </w:tcPr>
          <w:p>
            <w:pPr>
              <w:spacing w:after="0"/>
              <w:rPr>
                <w:sz w:val="1"/>
                <w:szCs w:val="1"/>
                <w:color w:val="auto"/>
              </w:rPr>
            </w:pPr>
          </w:p>
        </w:tc>
      </w:tr>
      <w:tr>
        <w:trPr>
          <w:trHeight w:val="144"/>
        </w:trPr>
        <w:tc>
          <w:tcPr>
            <w:tcW w:w="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Factor</w:t>
            </w:r>
          </w:p>
        </w:tc>
        <w:tc>
          <w:tcPr>
            <w:tcW w:w="1320" w:type="dxa"/>
            <w:vAlign w:val="bottom"/>
            <w:vMerge w:val="continue"/>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32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Advance Payment Per Aircraft (Amts. Due/Mos. Prior to Delivery):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0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[*CTR]</w:t>
            </w:r>
          </w:p>
        </w:tc>
        <w:tc>
          <w:tcPr>
            <w:tcW w:w="134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rPr>
              <w:t>[*CTR]</w:t>
            </w:r>
          </w:p>
        </w:tc>
        <w:tc>
          <w:tcPr>
            <w:tcW w:w="132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4"/>
                <w:szCs w:val="14"/>
                <w:color w:val="auto"/>
              </w:rPr>
              <w:t>[*CTR]</w:t>
            </w:r>
          </w:p>
        </w:tc>
        <w:tc>
          <w:tcPr>
            <w:tcW w:w="12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b w:val="1"/>
                <w:bCs w:val="1"/>
                <w:color w:val="auto"/>
                <w:w w:val="95"/>
              </w:rPr>
              <w:t>Total</w:t>
            </w:r>
          </w:p>
        </w:tc>
      </w:tr>
      <w:tr>
        <w:trPr>
          <w:trHeight w:val="181"/>
        </w:trPr>
        <w:tc>
          <w:tcPr>
            <w:tcW w:w="1300" w:type="dxa"/>
            <w:vAlign w:val="bottom"/>
          </w:tcPr>
          <w:p>
            <w:pPr>
              <w:ind w:left="400"/>
              <w:spacing w:after="0"/>
              <w:rPr>
                <w:sz w:val="20"/>
                <w:szCs w:val="20"/>
                <w:color w:val="auto"/>
              </w:rPr>
            </w:pPr>
            <w:r>
              <w:rPr>
                <w:rFonts w:ascii="Arial" w:cs="Arial" w:eastAsia="Arial" w:hAnsi="Arial"/>
                <w:sz w:val="14"/>
                <w:szCs w:val="14"/>
                <w:color w:val="auto"/>
              </w:rPr>
              <w:t>[*CTR]</w:t>
            </w:r>
          </w:p>
        </w:tc>
        <w:tc>
          <w:tcPr>
            <w:tcW w:w="1340" w:type="dxa"/>
            <w:vAlign w:val="bottom"/>
          </w:tcPr>
          <w:p>
            <w:pPr>
              <w:ind w:left="440"/>
              <w:spacing w:after="0"/>
              <w:rPr>
                <w:sz w:val="20"/>
                <w:szCs w:val="20"/>
                <w:color w:val="auto"/>
              </w:rPr>
            </w:pPr>
            <w:r>
              <w:rPr>
                <w:rFonts w:ascii="Arial" w:cs="Arial" w:eastAsia="Arial" w:hAnsi="Arial"/>
                <w:sz w:val="14"/>
                <w:szCs w:val="14"/>
                <w:color w:val="auto"/>
              </w:rPr>
              <w:t>[*CTR]</w:t>
            </w:r>
          </w:p>
        </w:tc>
        <w:tc>
          <w:tcPr>
            <w:tcW w:w="1320" w:type="dxa"/>
            <w:vAlign w:val="bottom"/>
          </w:tcPr>
          <w:p>
            <w:pPr>
              <w:ind w:left="460"/>
              <w:spacing w:after="0"/>
              <w:rPr>
                <w:sz w:val="20"/>
                <w:szCs w:val="20"/>
                <w:color w:val="auto"/>
              </w:rPr>
            </w:pPr>
            <w:r>
              <w:rPr>
                <w:rFonts w:ascii="Arial" w:cs="Arial" w:eastAsia="Arial" w:hAnsi="Arial"/>
                <w:sz w:val="14"/>
                <w:szCs w:val="14"/>
                <w:color w:val="auto"/>
              </w:rPr>
              <w:t>[*CTR]</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[*CTR]</w:t>
            </w:r>
          </w:p>
        </w:tc>
      </w:tr>
    </w:tbl>
    <w:p>
      <w:pPr>
        <w:spacing w:after="0" w:line="1" w:lineRule="exact"/>
        <w:rPr>
          <w:sz w:val="20"/>
          <w:szCs w:val="20"/>
          <w:color w:val="auto"/>
        </w:rPr>
      </w:pPr>
    </w:p>
    <w:p>
      <w:pPr>
        <w:sectPr>
          <w:pgSz w:w="11900" w:h="16838" w:orient="portrait"/>
          <w:cols w:equalWidth="0" w:num="2">
            <w:col w:w="6120" w:space="120"/>
            <w:col w:w="5180"/>
          </w:cols>
          <w:pgMar w:left="240" w:top="270" w:right="239" w:bottom="144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[*CTR]</w:t>
            </w:r>
          </w:p>
        </w:tc>
        <w:tc>
          <w:tcPr>
            <w:tcW w:w="1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bl>
    <w:p>
      <w:pPr>
        <w:spacing w:after="0" w:line="1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15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SA-38</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0" w:right="239" w:bottom="1440" w:gutter="0" w:footer="0" w:header="0"/>
          <w:type w:val="continuous"/>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737-800 Aircraft Delivery, Description, Price and Advance Payments Purchased Aircraft</w:t>
      </w:r>
    </w:p>
    <w:p>
      <w:pPr>
        <w:sectPr>
          <w:pgSz w:w="11900" w:h="16838" w:orient="portrait"/>
          <w:cols w:equalWidth="0" w:num="1">
            <w:col w:w="11420"/>
          </w:cols>
          <w:pgMar w:left="240" w:top="270" w:right="239" w:bottom="1440" w:gutter="0" w:footer="0" w:header="0"/>
        </w:sectPr>
      </w:pP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Delivery</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13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7"/>
              </w:rPr>
              <w:t>Aircraft Serial</w:t>
            </w:r>
          </w:p>
        </w:tc>
        <w:tc>
          <w:tcPr>
            <w:tcW w:w="13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Escalation Estimate</w:t>
            </w:r>
          </w:p>
        </w:tc>
        <w:tc>
          <w:tcPr>
            <w:tcW w:w="0" w:type="dxa"/>
            <w:vAlign w:val="bottom"/>
          </w:tcPr>
          <w:p>
            <w:pPr>
              <w:spacing w:after="0"/>
              <w:rPr>
                <w:sz w:val="1"/>
                <w:szCs w:val="1"/>
                <w:color w:val="auto"/>
              </w:rPr>
            </w:pPr>
          </w:p>
        </w:tc>
      </w:tr>
      <w:tr>
        <w:trPr>
          <w:trHeight w:val="144"/>
        </w:trPr>
        <w:tc>
          <w:tcPr>
            <w:tcW w:w="8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Factor</w:t>
            </w:r>
          </w:p>
        </w:tc>
        <w:tc>
          <w:tcPr>
            <w:tcW w:w="1320" w:type="dxa"/>
            <w:vAlign w:val="bottom"/>
            <w:vMerge w:val="continue"/>
          </w:tcPr>
          <w:p>
            <w:pPr>
              <w:spacing w:after="0"/>
              <w:rPr>
                <w:sz w:val="12"/>
                <w:szCs w:val="12"/>
                <w:color w:val="auto"/>
              </w:rPr>
            </w:pPr>
          </w:p>
        </w:tc>
        <w:tc>
          <w:tcPr>
            <w:tcW w:w="138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1"/>
              </w:rPr>
              <w:t>Adv Payment Base</w:t>
            </w:r>
          </w:p>
        </w:tc>
        <w:tc>
          <w:tcPr>
            <w:tcW w:w="0" w:type="dxa"/>
            <w:vAlign w:val="bottom"/>
          </w:tcPr>
          <w:p>
            <w:pPr>
              <w:spacing w:after="0"/>
              <w:rPr>
                <w:sz w:val="1"/>
                <w:szCs w:val="1"/>
                <w:color w:val="auto"/>
              </w:rPr>
            </w:pPr>
          </w:p>
        </w:tc>
      </w:tr>
      <w:tr>
        <w:trPr>
          <w:trHeight w:val="149"/>
        </w:trPr>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Date</w:t>
            </w:r>
          </w:p>
        </w:tc>
        <w:tc>
          <w:tcPr>
            <w:tcW w:w="300" w:type="dxa"/>
            <w:vAlign w:val="bottom"/>
          </w:tcPr>
          <w:p>
            <w:pPr>
              <w:spacing w:after="0"/>
              <w:rPr>
                <w:sz w:val="12"/>
                <w:szCs w:val="12"/>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Aircraft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(Airframe)</w:t>
            </w:r>
          </w:p>
        </w:tc>
        <w:tc>
          <w:tcPr>
            <w:tcW w:w="132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8"/>
              </w:rPr>
              <w:t>Number</w:t>
            </w:r>
          </w:p>
        </w:tc>
        <w:tc>
          <w:tcPr>
            <w:tcW w:w="1380" w:type="dxa"/>
            <w:vAlign w:val="bottom"/>
          </w:tcPr>
          <w:p>
            <w:pPr>
              <w:jc w:val="center"/>
              <w:ind w:left="88"/>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Advance Payment Per Aircraft (Amts. Due/Mos. Prior to Delivery):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30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[*CTR]</w:t>
            </w:r>
          </w:p>
        </w:tc>
        <w:tc>
          <w:tcPr>
            <w:tcW w:w="1340" w:type="dxa"/>
            <w:vAlign w:val="bottom"/>
            <w:tcBorders>
              <w:top w:val="single" w:sz="8" w:color="auto"/>
            </w:tcBorders>
          </w:tcPr>
          <w:p>
            <w:pPr>
              <w:ind w:left="440"/>
              <w:spacing w:after="0" w:line="123" w:lineRule="exact"/>
              <w:rPr>
                <w:sz w:val="20"/>
                <w:szCs w:val="20"/>
                <w:color w:val="auto"/>
              </w:rPr>
            </w:pPr>
            <w:r>
              <w:rPr>
                <w:rFonts w:ascii="Arial" w:cs="Arial" w:eastAsia="Arial" w:hAnsi="Arial"/>
                <w:sz w:val="14"/>
                <w:szCs w:val="14"/>
                <w:color w:val="auto"/>
              </w:rPr>
              <w:t>[*CTR]</w:t>
            </w:r>
          </w:p>
        </w:tc>
        <w:tc>
          <w:tcPr>
            <w:tcW w:w="1320" w:type="dxa"/>
            <w:vAlign w:val="bottom"/>
            <w:tcBorders>
              <w:top w:val="single" w:sz="8" w:color="auto"/>
            </w:tcBorders>
          </w:tcPr>
          <w:p>
            <w:pPr>
              <w:ind w:left="460"/>
              <w:spacing w:after="0" w:line="123" w:lineRule="exact"/>
              <w:rPr>
                <w:sz w:val="20"/>
                <w:szCs w:val="20"/>
                <w:color w:val="auto"/>
              </w:rPr>
            </w:pPr>
            <w:r>
              <w:rPr>
                <w:rFonts w:ascii="Arial" w:cs="Arial" w:eastAsia="Arial" w:hAnsi="Arial"/>
                <w:sz w:val="14"/>
                <w:szCs w:val="14"/>
                <w:color w:val="auto"/>
              </w:rPr>
              <w:t>[*CTR]</w:t>
            </w:r>
          </w:p>
        </w:tc>
        <w:tc>
          <w:tcPr>
            <w:tcW w:w="1220" w:type="dxa"/>
            <w:vAlign w:val="bottom"/>
            <w:tcBorders>
              <w:top w:val="single" w:sz="8" w:color="auto"/>
            </w:tcBorders>
          </w:tcPr>
          <w:p>
            <w:pPr>
              <w:jc w:val="center"/>
              <w:ind w:left="28"/>
              <w:spacing w:after="0" w:line="123" w:lineRule="exact"/>
              <w:rPr>
                <w:sz w:val="20"/>
                <w:szCs w:val="20"/>
                <w:color w:val="auto"/>
              </w:rPr>
            </w:pPr>
            <w:r>
              <w:rPr>
                <w:rFonts w:ascii="Arial" w:cs="Arial" w:eastAsia="Arial" w:hAnsi="Arial"/>
                <w:sz w:val="14"/>
                <w:szCs w:val="14"/>
                <w:b w:val="1"/>
                <w:bCs w:val="1"/>
                <w:color w:val="auto"/>
                <w:w w:val="95"/>
              </w:rPr>
              <w:t>Total</w:t>
            </w:r>
          </w:p>
        </w:tc>
      </w:tr>
      <w:tr>
        <w:trPr>
          <w:trHeight w:val="181"/>
        </w:trPr>
        <w:tc>
          <w:tcPr>
            <w:tcW w:w="1300" w:type="dxa"/>
            <w:vAlign w:val="bottom"/>
          </w:tcPr>
          <w:p>
            <w:pPr>
              <w:ind w:left="400"/>
              <w:spacing w:after="0"/>
              <w:rPr>
                <w:sz w:val="20"/>
                <w:szCs w:val="20"/>
                <w:color w:val="auto"/>
              </w:rPr>
            </w:pPr>
            <w:r>
              <w:rPr>
                <w:rFonts w:ascii="Arial" w:cs="Arial" w:eastAsia="Arial" w:hAnsi="Arial"/>
                <w:sz w:val="14"/>
                <w:szCs w:val="14"/>
                <w:color w:val="auto"/>
              </w:rPr>
              <w:t>[*CTR]</w:t>
            </w:r>
          </w:p>
        </w:tc>
        <w:tc>
          <w:tcPr>
            <w:tcW w:w="1340" w:type="dxa"/>
            <w:vAlign w:val="bottom"/>
          </w:tcPr>
          <w:p>
            <w:pPr>
              <w:ind w:left="440"/>
              <w:spacing w:after="0"/>
              <w:rPr>
                <w:sz w:val="20"/>
                <w:szCs w:val="20"/>
                <w:color w:val="auto"/>
              </w:rPr>
            </w:pPr>
            <w:r>
              <w:rPr>
                <w:rFonts w:ascii="Arial" w:cs="Arial" w:eastAsia="Arial" w:hAnsi="Arial"/>
                <w:sz w:val="14"/>
                <w:szCs w:val="14"/>
                <w:color w:val="auto"/>
              </w:rPr>
              <w:t>[*CTR]</w:t>
            </w:r>
          </w:p>
        </w:tc>
        <w:tc>
          <w:tcPr>
            <w:tcW w:w="1320" w:type="dxa"/>
            <w:vAlign w:val="bottom"/>
          </w:tcPr>
          <w:p>
            <w:pPr>
              <w:ind w:left="460"/>
              <w:spacing w:after="0"/>
              <w:rPr>
                <w:sz w:val="20"/>
                <w:szCs w:val="20"/>
                <w:color w:val="auto"/>
              </w:rPr>
            </w:pPr>
            <w:r>
              <w:rPr>
                <w:rFonts w:ascii="Arial" w:cs="Arial" w:eastAsia="Arial" w:hAnsi="Arial"/>
                <w:sz w:val="14"/>
                <w:szCs w:val="14"/>
                <w:color w:val="auto"/>
              </w:rPr>
              <w:t>[*CTR]</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[*CTR]</w:t>
            </w:r>
          </w:p>
        </w:tc>
      </w:tr>
    </w:tbl>
    <w:p>
      <w:pPr>
        <w:spacing w:after="0" w:line="1" w:lineRule="exact"/>
        <w:rPr>
          <w:sz w:val="20"/>
          <w:szCs w:val="20"/>
          <w:color w:val="auto"/>
        </w:rPr>
      </w:pPr>
    </w:p>
    <w:p>
      <w:pPr>
        <w:sectPr>
          <w:pgSz w:w="11900" w:h="16838" w:orient="portrait"/>
          <w:cols w:equalWidth="0" w:num="2">
            <w:col w:w="6120" w:space="120"/>
            <w:col w:w="5180"/>
          </w:cols>
          <w:pgMar w:left="240" w:top="270" w:right="239" w:bottom="144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[*CTR]</w:t>
            </w:r>
          </w:p>
        </w:tc>
        <w:tc>
          <w:tcPr>
            <w:tcW w:w="1140" w:type="dxa"/>
            <w:vAlign w:val="bottom"/>
            <w:tcBorders>
              <w:top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14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color w:val="auto"/>
              </w:rPr>
              <w:t>[*CTR]</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[*CTR]</w:t>
            </w: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6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[*CTR]</w:t>
            </w:r>
          </w:p>
        </w:tc>
        <w:tc>
          <w:tcPr>
            <w:tcW w:w="1140" w:type="dxa"/>
            <w:vAlign w:val="bottom"/>
          </w:tcPr>
          <w:p>
            <w:pPr>
              <w:ind w:left="300"/>
              <w:spacing w:after="0"/>
              <w:rPr>
                <w:sz w:val="20"/>
                <w:szCs w:val="20"/>
                <w:color w:val="auto"/>
              </w:rPr>
            </w:pPr>
            <w:r>
              <w:rPr>
                <w:rFonts w:ascii="Arial" w:cs="Arial" w:eastAsia="Arial" w:hAnsi="Arial"/>
                <w:sz w:val="18"/>
                <w:szCs w:val="18"/>
                <w:color w:val="auto"/>
              </w:rPr>
              <w:t>[*CTR]</w:t>
            </w:r>
          </w:p>
        </w:tc>
      </w:tr>
    </w:tbl>
    <w:p>
      <w:pPr>
        <w:spacing w:after="0" w:line="202" w:lineRule="exact"/>
        <w:rPr>
          <w:sz w:val="20"/>
          <w:szCs w:val="20"/>
          <w:color w:val="auto"/>
        </w:rPr>
      </w:pPr>
    </w:p>
    <w:p>
      <w:pPr>
        <w:ind w:left="180"/>
        <w:spacing w:after="0"/>
        <w:tabs>
          <w:tab w:leader="none" w:pos="12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5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[*CTR] = [CONFIDENTIAL PORTION OMITTED AND FILED SEPARATELY WITH THE COMMISSION PURSUANT TO A REQUEST FOR CONFIDENTIAL TREATMENT]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15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b w:val="1"/>
          <w:bCs w:val="1"/>
          <w:color w:val="auto"/>
        </w:rPr>
        <w:t>SA-38</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0" w:right="239" w:bottom="1440" w:gutter="0" w:footer="0" w:header="0"/>
          <w:type w:val="continuous"/>
        </w:sectPr>
      </w:pPr>
    </w:p>
    <w:bookmarkStart w:id="128" w:name="page129"/>
    <w:bookmarkEnd w:id="128"/>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3120" w:type="dxa"/>
            <w:vAlign w:val="bottom"/>
            <w:gridSpan w:val="4"/>
          </w:tcPr>
          <w:p>
            <w:pPr>
              <w:jc w:val="right"/>
              <w:spacing w:after="0"/>
              <w:rPr>
                <w:sz w:val="20"/>
                <w:szCs w:val="20"/>
                <w:color w:val="auto"/>
              </w:rPr>
            </w:pPr>
            <w:r>
              <w:rPr>
                <w:rFonts w:ascii="Arial" w:cs="Arial" w:eastAsia="Arial" w:hAnsi="Arial"/>
                <w:sz w:val="18"/>
                <w:szCs w:val="18"/>
                <w:color w:val="auto"/>
              </w:rPr>
              <w:t>Three Months Ended September 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right"/>
              <w:ind w:right="410"/>
              <w:spacing w:after="0"/>
              <w:rPr>
                <w:sz w:val="20"/>
                <w:szCs w:val="20"/>
                <w:color w:val="auto"/>
              </w:rPr>
            </w:pPr>
            <w:r>
              <w:rPr>
                <w:rFonts w:ascii="Arial" w:cs="Arial" w:eastAsia="Arial" w:hAnsi="Arial"/>
                <w:sz w:val="18"/>
                <w:szCs w:val="18"/>
                <w:color w:val="auto"/>
                <w:w w:val="96"/>
              </w:rPr>
              <w:t>Nine Months Ended September 30,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2014</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0"/>
                <w:szCs w:val="20"/>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2,645</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Total fixed charges (per below)</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43"/>
        </w:trPr>
        <w:tc>
          <w:tcPr>
            <w:tcW w:w="4180" w:type="dxa"/>
            <w:vAlign w:val="bottom"/>
          </w:tcPr>
          <w:p>
            <w:pPr>
              <w:ind w:left="280"/>
              <w:spacing w:after="0"/>
              <w:rPr>
                <w:sz w:val="20"/>
                <w:szCs w:val="20"/>
                <w:color w:val="auto"/>
              </w:rPr>
            </w:pPr>
            <w:r>
              <w:rPr>
                <w:rFonts w:ascii="Arial" w:cs="Arial" w:eastAsia="Arial" w:hAnsi="Arial"/>
                <w:sz w:val="18"/>
                <w:szCs w:val="18"/>
                <w:color w:val="auto"/>
              </w:rPr>
              <w:t>Less: Interest capitalized</w:t>
            </w:r>
          </w:p>
        </w:tc>
        <w:tc>
          <w:tcPr>
            <w:tcW w:w="114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earnings before income taxes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0"/>
        </w:trPr>
        <w:tc>
          <w:tcPr>
            <w:tcW w:w="4180" w:type="dxa"/>
            <w:vAlign w:val="bottom"/>
            <w:vMerge w:val="restart"/>
          </w:tcPr>
          <w:p>
            <w:pPr>
              <w:ind w:left="40"/>
              <w:spacing w:after="0"/>
              <w:rPr>
                <w:sz w:val="20"/>
                <w:szCs w:val="20"/>
                <w:color w:val="auto"/>
              </w:rPr>
            </w:pPr>
            <w:r>
              <w:rPr>
                <w:rFonts w:ascii="Arial" w:cs="Arial" w:eastAsia="Arial" w:hAnsi="Arial"/>
                <w:sz w:val="18"/>
                <w:szCs w:val="18"/>
                <w:color w:val="auto"/>
              </w:rPr>
              <w:t>Fixed charges:</w:t>
            </w: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4180" w:type="dxa"/>
            <w:vAlign w:val="bottom"/>
          </w:tcPr>
          <w:p>
            <w:pPr>
              <w:ind w:left="280"/>
              <w:spacing w:after="0"/>
              <w:rPr>
                <w:sz w:val="20"/>
                <w:szCs w:val="20"/>
                <w:color w:val="auto"/>
              </w:rPr>
            </w:pPr>
            <w:r>
              <w:rPr>
                <w:rFonts w:ascii="Arial" w:cs="Arial" w:eastAsia="Arial" w:hAnsi="Arial"/>
                <w:sz w:val="18"/>
                <w:szCs w:val="18"/>
                <w:color w:val="auto"/>
              </w:rPr>
              <w:t>Portion of rental expense representative of the</w:t>
            </w: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80"/>
              <w:spacing w:after="0"/>
              <w:rPr>
                <w:sz w:val="20"/>
                <w:szCs w:val="20"/>
                <w:color w:val="auto"/>
              </w:rPr>
            </w:pPr>
            <w:r>
              <w:rPr>
                <w:rFonts w:ascii="Arial" w:cs="Arial" w:eastAsia="Arial" w:hAnsi="Arial"/>
                <w:sz w:val="18"/>
                <w:szCs w:val="18"/>
                <w:color w:val="auto"/>
              </w:rPr>
              <w:t>interest factor</w:t>
            </w:r>
          </w:p>
        </w:tc>
        <w:tc>
          <w:tcPr>
            <w:tcW w:w="1140" w:type="dxa"/>
            <w:vAlign w:val="bottom"/>
          </w:tcPr>
          <w:p>
            <w:pPr>
              <w:spacing w:after="0"/>
              <w:rPr>
                <w:sz w:val="20"/>
                <w:szCs w:val="20"/>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11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1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1.56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80" w:hanging="332"/>
        <w:spacing w:after="0" w:line="216" w:lineRule="auto"/>
        <w:tabs>
          <w:tab w:leader="none" w:pos="340" w:val="left"/>
        </w:tabs>
        <w:numPr>
          <w:ilvl w:val="0"/>
          <w:numId w:val="70"/>
        </w:numPr>
        <w:rPr>
          <w:rFonts w:ascii="Arial" w:cs="Arial" w:eastAsia="Arial" w:hAnsi="Arial"/>
          <w:sz w:val="25"/>
          <w:szCs w:val="25"/>
          <w:color w:val="auto"/>
          <w:vertAlign w:val="superscript"/>
        </w:rPr>
      </w:pPr>
      <w:r>
        <w:rPr>
          <w:rFonts w:ascii="Arial" w:cs="Arial" w:eastAsia="Arial" w:hAnsi="Arial"/>
          <w:sz w:val="18"/>
          <w:szCs w:val="18"/>
          <w:color w:val="auto"/>
        </w:rPr>
        <w:t>The nine months ended September 30, 2014 includes non-cash interest accretion related to outstanding Mandatorily Convertible Preferred Stock and Other Bankruptcy Settlement Obligations.</w:t>
      </w:r>
    </w:p>
    <w:p>
      <w:pPr>
        <w:sectPr>
          <w:pgSz w:w="11900" w:h="16838" w:orient="portrait"/>
          <w:cols w:equalWidth="0" w:num="1">
            <w:col w:w="11420"/>
          </w:cols>
          <w:pgMar w:left="240" w:top="580"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8"/>
                <w:szCs w:val="18"/>
                <w:color w:val="auto"/>
                <w:w w:val="96"/>
              </w:rPr>
              <w:t>Three Months Ended September 30,</w:t>
            </w:r>
          </w:p>
        </w:tc>
        <w:tc>
          <w:tcPr>
            <w:tcW w:w="160" w:type="dxa"/>
            <w:vAlign w:val="bottom"/>
          </w:tcPr>
          <w:p>
            <w:pPr>
              <w:spacing w:after="0"/>
              <w:rPr>
                <w:sz w:val="20"/>
                <w:szCs w:val="20"/>
                <w:color w:val="auto"/>
              </w:rPr>
            </w:pPr>
          </w:p>
        </w:tc>
        <w:tc>
          <w:tcPr>
            <w:tcW w:w="2740" w:type="dxa"/>
            <w:vAlign w:val="bottom"/>
            <w:gridSpan w:val="4"/>
          </w:tcPr>
          <w:p>
            <w:pPr>
              <w:jc w:val="right"/>
              <w:ind w:right="90"/>
              <w:spacing w:after="0"/>
              <w:rPr>
                <w:sz w:val="20"/>
                <w:szCs w:val="20"/>
                <w:color w:val="auto"/>
              </w:rPr>
            </w:pPr>
            <w:r>
              <w:rPr>
                <w:rFonts w:ascii="Arial" w:cs="Arial" w:eastAsia="Arial" w:hAnsi="Arial"/>
                <w:sz w:val="18"/>
                <w:szCs w:val="18"/>
                <w:color w:val="auto"/>
                <w:w w:val="90"/>
              </w:rPr>
              <w:t>Nine Months Ended September 30,</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Total fixed charges (per below)</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3300" w:type="dxa"/>
            <w:vAlign w:val="bottom"/>
          </w:tcPr>
          <w:p>
            <w:pPr>
              <w:ind w:left="260"/>
              <w:spacing w:after="0"/>
              <w:rPr>
                <w:sz w:val="20"/>
                <w:szCs w:val="20"/>
                <w:color w:val="auto"/>
              </w:rPr>
            </w:pPr>
            <w:r>
              <w:rPr>
                <w:rFonts w:ascii="Arial" w:cs="Arial" w:eastAsia="Arial" w:hAnsi="Arial"/>
                <w:sz w:val="18"/>
                <w:szCs w:val="18"/>
                <w:color w:val="auto"/>
              </w:rPr>
              <w:t>Less: Interest capitalized</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Total earnings before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Arial" w:cs="Arial" w:eastAsia="Arial" w:hAnsi="Arial"/>
                <w:sz w:val="18"/>
                <w:szCs w:val="18"/>
                <w:color w:val="auto"/>
              </w:rPr>
              <w:t>Fixed charges:</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0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3300" w:type="dxa"/>
            <w:vAlign w:val="bottom"/>
          </w:tcPr>
          <w:p>
            <w:pPr>
              <w:ind w:left="260"/>
              <w:spacing w:after="0"/>
              <w:rPr>
                <w:sz w:val="20"/>
                <w:szCs w:val="20"/>
                <w:color w:val="auto"/>
              </w:rPr>
            </w:pPr>
            <w:r>
              <w:rPr>
                <w:rFonts w:ascii="Arial" w:cs="Arial" w:eastAsia="Arial" w:hAnsi="Arial"/>
                <w:sz w:val="18"/>
                <w:szCs w:val="18"/>
                <w:color w:val="auto"/>
                <w:w w:val="94"/>
              </w:rPr>
              <w:t>Portion of rental expense representative</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60"/>
              <w:spacing w:after="0"/>
              <w:rPr>
                <w:sz w:val="20"/>
                <w:szCs w:val="20"/>
                <w:color w:val="auto"/>
              </w:rPr>
            </w:pPr>
            <w:r>
              <w:rPr>
                <w:rFonts w:ascii="Arial" w:cs="Arial" w:eastAsia="Arial" w:hAnsi="Arial"/>
                <w:sz w:val="18"/>
                <w:szCs w:val="18"/>
                <w:color w:val="auto"/>
              </w:rPr>
              <w:t>of the interest factor</w:t>
            </w: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fixed charges</w:t>
            </w:r>
          </w:p>
        </w:tc>
        <w:tc>
          <w:tcPr>
            <w:tcW w:w="9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300" w:type="dxa"/>
            <w:vAlign w:val="bottom"/>
          </w:tcPr>
          <w:p>
            <w:pPr>
              <w:ind w:left="20"/>
              <w:spacing w:after="0"/>
              <w:rPr>
                <w:sz w:val="20"/>
                <w:szCs w:val="20"/>
                <w:color w:val="auto"/>
              </w:rPr>
            </w:pPr>
            <w:r>
              <w:rPr>
                <w:rFonts w:ascii="Arial" w:cs="Arial" w:eastAsia="Arial" w:hAnsi="Arial"/>
                <w:sz w:val="18"/>
                <w:szCs w:val="18"/>
                <w:color w:val="auto"/>
              </w:rPr>
              <w:t>Ratio of earnings to fixed charges</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80"/>
          </w:cols>
          <w:pgMar w:left="1380" w:top="58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645"/>
        <w:spacing w:after="0" w:line="275" w:lineRule="auto"/>
        <w:tabs>
          <w:tab w:leader="none" w:pos="1530" w:val="left"/>
        </w:tabs>
        <w:numPr>
          <w:ilvl w:val="2"/>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645"/>
        <w:spacing w:after="0" w:line="275" w:lineRule="auto"/>
        <w:tabs>
          <w:tab w:leader="none" w:pos="1548" w:val="left"/>
        </w:tabs>
        <w:numPr>
          <w:ilvl w:val="2"/>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140"/>
        <w:spacing w:after="0"/>
        <w:tabs>
          <w:tab w:leader="none" w:pos="6960" w:val="left"/>
        </w:tabs>
        <w:rPr>
          <w:sz w:val="20"/>
          <w:szCs w:val="20"/>
          <w:color w:val="auto"/>
        </w:rPr>
      </w:pPr>
      <w:r>
        <w:rPr>
          <w:rFonts w:ascii="Arial" w:cs="Arial" w:eastAsia="Arial" w:hAnsi="Arial"/>
          <w:sz w:val="16"/>
          <w:szCs w:val="16"/>
          <w:color w:val="auto"/>
        </w:rPr>
        <w:t>Date: October 22,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34925</wp:posOffset>
            </wp:positionV>
            <wp:extent cx="22809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81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60" w:val="left"/>
        </w:tabs>
        <w:rPr>
          <w:sz w:val="20"/>
          <w:szCs w:val="20"/>
          <w:color w:val="auto"/>
        </w:rPr>
      </w:pPr>
      <w:r>
        <w:rPr>
          <w:rFonts w:ascii="Arial" w:cs="Arial" w:eastAsia="Arial" w:hAnsi="Arial"/>
          <w:sz w:val="16"/>
          <w:szCs w:val="16"/>
          <w:color w:val="auto"/>
        </w:rPr>
        <w:t>Date: October 22,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34925</wp:posOffset>
            </wp:positionV>
            <wp:extent cx="22809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Title: Executive Vice President and Chief</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20"/>
          </w:cols>
          <w:pgMar w:left="240" w:top="124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7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October 22,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34925</wp:posOffset>
            </wp:positionV>
            <wp:extent cx="23069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124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7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7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7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October 22,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34925</wp:posOffset>
            </wp:positionV>
            <wp:extent cx="23152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Executive Vice President and Chief Financial</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1246"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October 22,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7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October 22, 2014</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796" w:right="239" w:bottom="1440" w:gutter="0" w:footer="0" w:header="0"/>
        </w:sectPr>
      </w:pPr>
    </w:p>
    <w:bookmarkStart w:id="135" w:name="page136"/>
    <w:bookmarkEnd w:id="135"/>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October 22,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7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October 22, 2014</w:t>
      </w:r>
    </w:p>
    <w:p>
      <w:pPr>
        <w:spacing w:after="0" w:line="13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2"/>
    </w:lvl>
  </w:abstractNum>
  <w:abstractNum w:abstractNumId="4">
    <w:nsid w:val="580BD78F"/>
    <w:multiLevelType w:val="hybridMultilevel"/>
    <w:lvl w:ilvl="0">
      <w:lvlJc w:val="left"/>
      <w:lvlText w:val="•"/>
      <w:numFmt w:val="bullet"/>
      <w:start w:val="1"/>
    </w:lvl>
    <w:lvl w:ilvl="1">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lowerLetter"/>
      <w:start w:val="1"/>
    </w:lvl>
  </w:abstractNum>
  <w:abstractNum w:abstractNumId="9">
    <w:nsid w:val="2A487CB0"/>
    <w:multiLevelType w:val="hybridMultilevel"/>
    <w:lvl w:ilvl="0">
      <w:lvlJc w:val="left"/>
      <w:lvlText w:val="(%1)"/>
      <w:numFmt w:val="lowerLetter"/>
      <w:start w:val="2"/>
    </w:lvl>
  </w:abstractNum>
  <w:abstractNum w:abstractNumId="10">
    <w:nsid w:val="1D4ED43B"/>
    <w:multiLevelType w:val="hybridMultilevel"/>
    <w:lvl w:ilvl="0">
      <w:lvlJc w:val="left"/>
      <w:lvlText w:val="(%1)"/>
      <w:numFmt w:val="lowerLetter"/>
      <w:start w:val="3"/>
    </w:lvl>
  </w:abstractNum>
  <w:abstractNum w:abstractNumId="11">
    <w:nsid w:val="725A06FB"/>
    <w:multiLevelType w:val="hybridMultilevel"/>
    <w:lvl w:ilvl="0">
      <w:lvlJc w:val="left"/>
      <w:lvlText w:val="(%1)"/>
      <w:numFmt w:val="lowerLetter"/>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1)"/>
      <w:numFmt w:val="decimal"/>
      <w:start w:val="1"/>
    </w:lvl>
  </w:abstractNum>
  <w:abstractNum w:abstractNumId="21">
    <w:nsid w:val="684A481A"/>
    <w:multiLevelType w:val="hybridMultilevel"/>
    <w:lvl w:ilvl="0">
      <w:lvlJc w:val="left"/>
      <w:lvlText w:val="(%1)"/>
      <w:numFmt w:val="lowerLetter"/>
      <w:start w:val="1"/>
    </w:lvl>
  </w:abstractNum>
  <w:abstractNum w:abstractNumId="22">
    <w:nsid w:val="579478FE"/>
    <w:multiLevelType w:val="hybridMultilevel"/>
    <w:lvl w:ilvl="0">
      <w:lvlJc w:val="left"/>
      <w:lvlText w:val="(%1)"/>
      <w:numFmt w:val="lowerLetter"/>
      <w:start w:val="2"/>
    </w:lvl>
  </w:abstractNum>
  <w:abstractNum w:abstractNumId="23">
    <w:nsid w:val="749ABB43"/>
    <w:multiLevelType w:val="hybridMultilevel"/>
    <w:lvl w:ilvl="0">
      <w:lvlJc w:val="left"/>
      <w:lvlText w:val="(%1)"/>
      <w:numFmt w:val="lowerLetter"/>
      <w:start w:val="4"/>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3"/>
    </w:lvl>
  </w:abstractNum>
  <w:abstractNum w:abstractNumId="31">
    <w:nsid w:val="374A3FE6"/>
    <w:multiLevelType w:val="hybridMultilevel"/>
    <w:lvl w:ilvl="0">
      <w:lvlJc w:val="left"/>
      <w:lvlText w:val="(%1)"/>
      <w:numFmt w:val="decimal"/>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3"/>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3"/>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
      <w:numFmt w:val="bullet"/>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lvl w:ilvl="1">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
      <w:numFmt w:val="bullet"/>
      <w:start w:val="1"/>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
      <w:numFmt w:val="bullet"/>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decimal"/>
      <w:start w:val="2"/>
    </w:lvl>
  </w:abstractNum>
  <w:abstractNum w:abstractNumId="68">
    <w:nsid w:val="168E121F"/>
    <w:multiLevelType w:val="hybridMultilevel"/>
    <w:lvl w:ilvl="0">
      <w:lvlJc w:val="left"/>
      <w:lvlText w:val="%1."/>
      <w:numFmt w:val="decimal"/>
      <w:start w:val="3"/>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5DC79EA8"/>
    <w:multiLevelType w:val="hybridMultilevel"/>
    <w:lvl w:ilvl="0">
      <w:lvlJc w:val="left"/>
      <w:lvlText w:val="%1."/>
      <w:numFmt w:val="decimal"/>
      <w:start w:val="1"/>
    </w:lvl>
    <w:lvl w:ilvl="1">
      <w:lvlJc w:val="left"/>
      <w:lvlText w:val="(%2)"/>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2019-12-05T03:00:41Z</dcterms:created>
  <dcterms:modified xsi:type="dcterms:W3CDTF">2019-12-05T03:00:41Z</dcterms:modified>
</cp:coreProperties>
</file>