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90170</wp:posOffset>
            </wp:positionV>
            <wp:extent cx="1243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38100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55"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5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 the Quarterly Period Ended June 30, 2014</w:t>
      </w:r>
    </w:p>
    <w:p>
      <w:pPr>
        <w:spacing w:after="0" w:line="269"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06" w:lineRule="exact"/>
        <w:rPr>
          <w:sz w:val="24"/>
          <w:szCs w:val="24"/>
          <w:color w:val="auto"/>
        </w:rPr>
      </w:pPr>
    </w:p>
    <w:p>
      <w:pPr>
        <w:ind w:left="358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3915410</wp:posOffset>
            </wp:positionH>
            <wp:positionV relativeFrom="paragraph">
              <wp:posOffset>34290</wp:posOffset>
            </wp:positionV>
            <wp:extent cx="10807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3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172085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90"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American Airlines Group Inc.</w:t>
      </w:r>
    </w:p>
    <w:p>
      <w:pPr>
        <w:spacing w:after="0" w:line="135"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98425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60"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4680" w:type="dxa"/>
            <w:vAlign w:val="bottom"/>
          </w:tcPr>
          <w:p>
            <w:pPr>
              <w:jc w:val="center"/>
              <w:ind w:right="719"/>
              <w:spacing w:after="0"/>
              <w:rPr>
                <w:sz w:val="20"/>
                <w:szCs w:val="20"/>
                <w:color w:val="auto"/>
              </w:rPr>
            </w:pPr>
            <w:r>
              <w:rPr>
                <w:rFonts w:ascii="Arial" w:cs="Arial" w:eastAsia="Arial" w:hAnsi="Arial"/>
                <w:sz w:val="18"/>
                <w:szCs w:val="18"/>
                <w:b w:val="1"/>
                <w:bCs w:val="1"/>
                <w:color w:val="auto"/>
                <w:w w:val="91"/>
              </w:rPr>
              <w:t>Delaware</w:t>
            </w:r>
          </w:p>
        </w:tc>
        <w:tc>
          <w:tcPr>
            <w:tcW w:w="3840" w:type="dxa"/>
            <w:vAlign w:val="bottom"/>
          </w:tcPr>
          <w:p>
            <w:pPr>
              <w:jc w:val="right"/>
              <w:ind w:right="999"/>
              <w:spacing w:after="0"/>
              <w:rPr>
                <w:sz w:val="20"/>
                <w:szCs w:val="20"/>
                <w:color w:val="auto"/>
              </w:rPr>
            </w:pPr>
            <w:r>
              <w:rPr>
                <w:rFonts w:ascii="Arial" w:cs="Arial" w:eastAsia="Arial" w:hAnsi="Arial"/>
                <w:sz w:val="18"/>
                <w:szCs w:val="18"/>
                <w:b w:val="1"/>
                <w:bCs w:val="1"/>
                <w:color w:val="auto"/>
              </w:rPr>
              <w:t>75-1825172</w:t>
            </w:r>
          </w:p>
        </w:tc>
      </w:tr>
      <w:tr>
        <w:trPr>
          <w:trHeight w:val="218"/>
        </w:trPr>
        <w:tc>
          <w:tcPr>
            <w:tcW w:w="4680" w:type="dxa"/>
            <w:vAlign w:val="bottom"/>
          </w:tcPr>
          <w:p>
            <w:pPr>
              <w:jc w:val="center"/>
              <w:ind w:right="719"/>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840" w:type="dxa"/>
            <w:vAlign w:val="bottom"/>
          </w:tcPr>
          <w:p>
            <w:pPr>
              <w:jc w:val="center"/>
              <w:ind w:left="739"/>
              <w:spacing w:after="0"/>
              <w:rPr>
                <w:sz w:val="20"/>
                <w:szCs w:val="20"/>
                <w:color w:val="auto"/>
              </w:rPr>
            </w:pPr>
            <w:r>
              <w:rPr>
                <w:rFonts w:ascii="Arial" w:cs="Arial" w:eastAsia="Arial" w:hAnsi="Arial"/>
                <w:sz w:val="14"/>
                <w:szCs w:val="14"/>
                <w:color w:val="auto"/>
                <w:w w:val="97"/>
              </w:rPr>
              <w:t>(I.R.S. Employer Identification No.)</w:t>
            </w:r>
          </w:p>
        </w:tc>
      </w:tr>
      <w:tr>
        <w:trPr>
          <w:trHeight w:val="431"/>
        </w:trPr>
        <w:tc>
          <w:tcPr>
            <w:tcW w:w="4680" w:type="dxa"/>
            <w:vAlign w:val="bottom"/>
          </w:tcPr>
          <w:p>
            <w:pPr>
              <w:jc w:val="center"/>
              <w:ind w:right="719"/>
              <w:spacing w:after="0"/>
              <w:rPr>
                <w:sz w:val="20"/>
                <w:szCs w:val="20"/>
                <w:color w:val="auto"/>
              </w:rPr>
            </w:pPr>
            <w:r>
              <w:rPr>
                <w:rFonts w:ascii="Arial" w:cs="Arial" w:eastAsia="Arial" w:hAnsi="Arial"/>
                <w:sz w:val="18"/>
                <w:szCs w:val="18"/>
                <w:b w:val="1"/>
                <w:bCs w:val="1"/>
                <w:color w:val="auto"/>
                <w:w w:val="92"/>
              </w:rPr>
              <w:t>4333 Amon Carter Blvd., Fort Worth, Texas 76155</w:t>
            </w:r>
          </w:p>
        </w:tc>
        <w:tc>
          <w:tcPr>
            <w:tcW w:w="3840" w:type="dxa"/>
            <w:vAlign w:val="bottom"/>
          </w:tcPr>
          <w:p>
            <w:pPr>
              <w:jc w:val="right"/>
              <w:ind w:right="879"/>
              <w:spacing w:after="0"/>
              <w:rPr>
                <w:sz w:val="20"/>
                <w:szCs w:val="20"/>
                <w:color w:val="auto"/>
              </w:rPr>
            </w:pPr>
            <w:r>
              <w:rPr>
                <w:rFonts w:ascii="Arial" w:cs="Arial" w:eastAsia="Arial" w:hAnsi="Arial"/>
                <w:sz w:val="18"/>
                <w:szCs w:val="18"/>
                <w:b w:val="1"/>
                <w:bCs w:val="1"/>
                <w:color w:val="auto"/>
              </w:rPr>
              <w:t>(817) 963-1234</w:t>
            </w:r>
          </w:p>
        </w:tc>
      </w:tr>
      <w:tr>
        <w:trPr>
          <w:trHeight w:val="285"/>
        </w:trPr>
        <w:tc>
          <w:tcPr>
            <w:tcW w:w="4680" w:type="dxa"/>
            <w:vAlign w:val="bottom"/>
          </w:tcPr>
          <w:p>
            <w:pPr>
              <w:jc w:val="center"/>
              <w:ind w:right="739"/>
              <w:spacing w:after="0"/>
              <w:rPr>
                <w:sz w:val="20"/>
                <w:szCs w:val="20"/>
                <w:color w:val="auto"/>
              </w:rPr>
            </w:pPr>
            <w:r>
              <w:rPr>
                <w:rFonts w:ascii="Arial" w:cs="Arial" w:eastAsia="Arial" w:hAnsi="Arial"/>
                <w:sz w:val="14"/>
                <w:szCs w:val="14"/>
                <w:color w:val="auto"/>
                <w:w w:val="95"/>
              </w:rPr>
              <w:t>(Address of principal executive offices, including zip code)</w:t>
            </w:r>
          </w:p>
        </w:tc>
        <w:tc>
          <w:tcPr>
            <w:tcW w:w="3840" w:type="dxa"/>
            <w:vAlign w:val="bottom"/>
          </w:tcPr>
          <w:p>
            <w:pPr>
              <w:jc w:val="center"/>
              <w:ind w:left="719"/>
              <w:spacing w:after="0"/>
              <w:rPr>
                <w:sz w:val="20"/>
                <w:szCs w:val="20"/>
                <w:color w:val="auto"/>
              </w:rPr>
            </w:pPr>
            <w:r>
              <w:rPr>
                <w:rFonts w:ascii="Arial" w:cs="Arial" w:eastAsia="Arial" w:hAnsi="Arial"/>
                <w:sz w:val="14"/>
                <w:szCs w:val="14"/>
                <w:color w:val="auto"/>
                <w:w w:val="92"/>
              </w:rPr>
              <w:t>(Registrant's telephone number, including area code)</w:t>
            </w:r>
          </w:p>
        </w:tc>
      </w:tr>
    </w:tbl>
    <w:p>
      <w:pPr>
        <w:spacing w:after="0" w:line="2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1-2691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172085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90"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American Airlines, Inc.</w:t>
      </w:r>
    </w:p>
    <w:p>
      <w:pPr>
        <w:spacing w:after="0" w:line="135"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98425</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60"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4680" w:type="dxa"/>
            <w:vAlign w:val="bottom"/>
          </w:tcPr>
          <w:p>
            <w:pPr>
              <w:jc w:val="center"/>
              <w:ind w:right="719"/>
              <w:spacing w:after="0"/>
              <w:rPr>
                <w:sz w:val="20"/>
                <w:szCs w:val="20"/>
                <w:color w:val="auto"/>
              </w:rPr>
            </w:pPr>
            <w:r>
              <w:rPr>
                <w:rFonts w:ascii="Arial" w:cs="Arial" w:eastAsia="Arial" w:hAnsi="Arial"/>
                <w:sz w:val="18"/>
                <w:szCs w:val="18"/>
                <w:b w:val="1"/>
                <w:bCs w:val="1"/>
                <w:color w:val="auto"/>
                <w:w w:val="91"/>
              </w:rPr>
              <w:t>Delaware</w:t>
            </w:r>
          </w:p>
        </w:tc>
        <w:tc>
          <w:tcPr>
            <w:tcW w:w="3840" w:type="dxa"/>
            <w:vAlign w:val="bottom"/>
          </w:tcPr>
          <w:p>
            <w:pPr>
              <w:jc w:val="right"/>
              <w:ind w:right="999"/>
              <w:spacing w:after="0"/>
              <w:rPr>
                <w:sz w:val="20"/>
                <w:szCs w:val="20"/>
                <w:color w:val="auto"/>
              </w:rPr>
            </w:pPr>
            <w:r>
              <w:rPr>
                <w:rFonts w:ascii="Arial" w:cs="Arial" w:eastAsia="Arial" w:hAnsi="Arial"/>
                <w:sz w:val="18"/>
                <w:szCs w:val="18"/>
                <w:b w:val="1"/>
                <w:bCs w:val="1"/>
                <w:color w:val="auto"/>
              </w:rPr>
              <w:t>13-1502798</w:t>
            </w:r>
          </w:p>
        </w:tc>
      </w:tr>
      <w:tr>
        <w:trPr>
          <w:trHeight w:val="218"/>
        </w:trPr>
        <w:tc>
          <w:tcPr>
            <w:tcW w:w="4680" w:type="dxa"/>
            <w:vAlign w:val="bottom"/>
          </w:tcPr>
          <w:p>
            <w:pPr>
              <w:jc w:val="center"/>
              <w:ind w:right="719"/>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840" w:type="dxa"/>
            <w:vAlign w:val="bottom"/>
          </w:tcPr>
          <w:p>
            <w:pPr>
              <w:jc w:val="center"/>
              <w:ind w:left="739"/>
              <w:spacing w:after="0"/>
              <w:rPr>
                <w:sz w:val="20"/>
                <w:szCs w:val="20"/>
                <w:color w:val="auto"/>
              </w:rPr>
            </w:pPr>
            <w:r>
              <w:rPr>
                <w:rFonts w:ascii="Arial" w:cs="Arial" w:eastAsia="Arial" w:hAnsi="Arial"/>
                <w:sz w:val="14"/>
                <w:szCs w:val="14"/>
                <w:color w:val="auto"/>
                <w:w w:val="97"/>
              </w:rPr>
              <w:t>(I.R.S. Employer Identification No.)</w:t>
            </w:r>
          </w:p>
        </w:tc>
      </w:tr>
      <w:tr>
        <w:trPr>
          <w:trHeight w:val="431"/>
        </w:trPr>
        <w:tc>
          <w:tcPr>
            <w:tcW w:w="4680" w:type="dxa"/>
            <w:vAlign w:val="bottom"/>
          </w:tcPr>
          <w:p>
            <w:pPr>
              <w:jc w:val="center"/>
              <w:ind w:right="719"/>
              <w:spacing w:after="0"/>
              <w:rPr>
                <w:sz w:val="20"/>
                <w:szCs w:val="20"/>
                <w:color w:val="auto"/>
              </w:rPr>
            </w:pPr>
            <w:r>
              <w:rPr>
                <w:rFonts w:ascii="Arial" w:cs="Arial" w:eastAsia="Arial" w:hAnsi="Arial"/>
                <w:sz w:val="18"/>
                <w:szCs w:val="18"/>
                <w:b w:val="1"/>
                <w:bCs w:val="1"/>
                <w:color w:val="auto"/>
                <w:w w:val="92"/>
              </w:rPr>
              <w:t>4333 Amon Carter Blvd., Fort Worth, Texas 76155</w:t>
            </w:r>
          </w:p>
        </w:tc>
        <w:tc>
          <w:tcPr>
            <w:tcW w:w="3840" w:type="dxa"/>
            <w:vAlign w:val="bottom"/>
          </w:tcPr>
          <w:p>
            <w:pPr>
              <w:jc w:val="right"/>
              <w:ind w:right="879"/>
              <w:spacing w:after="0"/>
              <w:rPr>
                <w:sz w:val="20"/>
                <w:szCs w:val="20"/>
                <w:color w:val="auto"/>
              </w:rPr>
            </w:pPr>
            <w:r>
              <w:rPr>
                <w:rFonts w:ascii="Arial" w:cs="Arial" w:eastAsia="Arial" w:hAnsi="Arial"/>
                <w:sz w:val="18"/>
                <w:szCs w:val="18"/>
                <w:b w:val="1"/>
                <w:bCs w:val="1"/>
                <w:color w:val="auto"/>
              </w:rPr>
              <w:t>(817) 963-1234</w:t>
            </w:r>
          </w:p>
        </w:tc>
      </w:tr>
      <w:tr>
        <w:trPr>
          <w:trHeight w:val="285"/>
        </w:trPr>
        <w:tc>
          <w:tcPr>
            <w:tcW w:w="4680" w:type="dxa"/>
            <w:vAlign w:val="bottom"/>
          </w:tcPr>
          <w:p>
            <w:pPr>
              <w:jc w:val="center"/>
              <w:ind w:right="739"/>
              <w:spacing w:after="0"/>
              <w:rPr>
                <w:sz w:val="20"/>
                <w:szCs w:val="20"/>
                <w:color w:val="auto"/>
              </w:rPr>
            </w:pPr>
            <w:r>
              <w:rPr>
                <w:rFonts w:ascii="Arial" w:cs="Arial" w:eastAsia="Arial" w:hAnsi="Arial"/>
                <w:sz w:val="14"/>
                <w:szCs w:val="14"/>
                <w:color w:val="auto"/>
                <w:w w:val="95"/>
              </w:rPr>
              <w:t>(Address of principal executive offices, including zip code)</w:t>
            </w:r>
          </w:p>
        </w:tc>
        <w:tc>
          <w:tcPr>
            <w:tcW w:w="3840" w:type="dxa"/>
            <w:vAlign w:val="bottom"/>
          </w:tcPr>
          <w:p>
            <w:pPr>
              <w:jc w:val="center"/>
              <w:ind w:left="719"/>
              <w:spacing w:after="0"/>
              <w:rPr>
                <w:sz w:val="20"/>
                <w:szCs w:val="20"/>
                <w:color w:val="auto"/>
              </w:rPr>
            </w:pPr>
            <w:r>
              <w:rPr>
                <w:rFonts w:ascii="Arial" w:cs="Arial" w:eastAsia="Arial" w:hAnsi="Arial"/>
                <w:sz w:val="14"/>
                <w:szCs w:val="14"/>
                <w:color w:val="auto"/>
                <w:w w:val="92"/>
              </w:rPr>
              <w:t>(Registrant's telephone number, including area code)</w:t>
            </w:r>
          </w:p>
        </w:tc>
      </w:tr>
    </w:tbl>
    <w:p>
      <w:pPr>
        <w:spacing w:after="0" w:line="83" w:lineRule="exact"/>
        <w:rPr>
          <w:sz w:val="24"/>
          <w:szCs w:val="24"/>
          <w:color w:val="auto"/>
        </w:rPr>
      </w:pPr>
    </w:p>
    <w:p>
      <w:pPr>
        <w:ind w:right="140"/>
        <w:spacing w:after="0" w:line="29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84" w:lineRule="exact"/>
        <w:tabs>
          <w:tab w:leader="none" w:pos="214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49" w:lineRule="exact"/>
        <w:rPr>
          <w:sz w:val="24"/>
          <w:szCs w:val="24"/>
          <w:color w:val="auto"/>
        </w:rPr>
      </w:pPr>
    </w:p>
    <w:p>
      <w:pPr>
        <w:spacing w:after="0" w:line="184" w:lineRule="exact"/>
        <w:tabs>
          <w:tab w:leader="none" w:pos="172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153" w:lineRule="exact"/>
        <w:rPr>
          <w:sz w:val="24"/>
          <w:szCs w:val="24"/>
          <w:color w:val="auto"/>
        </w:rPr>
      </w:pPr>
    </w:p>
    <w:p>
      <w:pPr>
        <w:jc w:val="both"/>
        <w:spacing w:after="0" w:line="257"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84" w:lineRule="exact"/>
        <w:tabs>
          <w:tab w:leader="none" w:pos="214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49" w:lineRule="exact"/>
        <w:rPr>
          <w:sz w:val="24"/>
          <w:szCs w:val="24"/>
          <w:color w:val="auto"/>
        </w:rPr>
      </w:pPr>
    </w:p>
    <w:p>
      <w:pPr>
        <w:spacing w:after="0" w:line="184" w:lineRule="exact"/>
        <w:tabs>
          <w:tab w:leader="none" w:pos="172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153" w:lineRule="exact"/>
        <w:rPr>
          <w:sz w:val="24"/>
          <w:szCs w:val="24"/>
          <w:color w:val="auto"/>
        </w:rPr>
      </w:pPr>
    </w:p>
    <w:p>
      <w:pPr>
        <w:ind w:right="540"/>
        <w:spacing w:after="0" w:line="26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"accelerated filer," "large accelerated filer" and "smaller reporting company" in Rule 12b-2 of the Exchange Act.</w:t>
      </w:r>
    </w:p>
    <w:p>
      <w:pPr>
        <w:ind w:right="1900"/>
        <w:spacing w:after="0" w:line="222" w:lineRule="exact"/>
        <w:rPr>
          <w:sz w:val="20"/>
          <w:szCs w:val="20"/>
          <w:color w:val="auto"/>
        </w:rPr>
      </w:pPr>
      <w:r>
        <w:rPr>
          <w:rFonts w:ascii="Arial" w:cs="Arial" w:eastAsia="Arial" w:hAnsi="Arial"/>
          <w:sz w:val="16"/>
          <w:szCs w:val="16"/>
          <w:color w:val="auto"/>
        </w:rPr>
        <w:t xml:space="preserve">American Airlines Group Inc. </w:t>
      </w: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American Airlines, Inc. </w:t>
      </w: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9" w:lineRule="exact"/>
        <w:rPr>
          <w:sz w:val="24"/>
          <w:szCs w:val="24"/>
          <w:color w:val="auto"/>
        </w:rPr>
      </w:pPr>
    </w:p>
    <w:p>
      <w:pPr>
        <w:spacing w:after="0" w:line="184" w:lineRule="exact"/>
        <w:tabs>
          <w:tab w:leader="none" w:pos="214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49" w:lineRule="exact"/>
        <w:rPr>
          <w:sz w:val="24"/>
          <w:szCs w:val="24"/>
          <w:color w:val="auto"/>
        </w:rPr>
      </w:pPr>
    </w:p>
    <w:p>
      <w:pPr>
        <w:spacing w:after="0" w:line="184" w:lineRule="exact"/>
        <w:tabs>
          <w:tab w:leader="none" w:pos="172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72" w:lineRule="exact"/>
        <w:rPr>
          <w:sz w:val="24"/>
          <w:szCs w:val="24"/>
          <w:color w:val="auto"/>
        </w:rPr>
      </w:pPr>
    </w:p>
    <w:p>
      <w:pPr>
        <w:ind w:right="440"/>
        <w:spacing w:after="0" w:line="275" w:lineRule="auto"/>
        <w:rPr>
          <w:sz w:val="20"/>
          <w:szCs w:val="20"/>
          <w:color w:val="auto"/>
        </w:rPr>
      </w:pPr>
      <w:r>
        <w:rPr>
          <w:rFonts w:ascii="Arial" w:cs="Arial" w:eastAsia="Arial" w:hAnsi="Arial"/>
          <w:sz w:val="16"/>
          <w:szCs w:val="16"/>
          <w:color w:val="auto"/>
        </w:rPr>
        <w:t>Indicate by check mark whether the registrant has filed all documents and reports required to be filed by Section 12, 13, or 15(d) of the Securities Exchange Act of 1934 subsequent to the distribution of securities under a plan confirmed by a court.</w:t>
      </w:r>
    </w:p>
    <w:p>
      <w:pPr>
        <w:spacing w:after="0" w:line="62" w:lineRule="exact"/>
        <w:rPr>
          <w:sz w:val="24"/>
          <w:szCs w:val="24"/>
          <w:color w:val="auto"/>
        </w:rPr>
      </w:pPr>
    </w:p>
    <w:p>
      <w:pPr>
        <w:spacing w:after="0" w:line="184" w:lineRule="exact"/>
        <w:tabs>
          <w:tab w:leader="none" w:pos="2140" w:val="left"/>
        </w:tabs>
        <w:rPr>
          <w:sz w:val="20"/>
          <w:szCs w:val="20"/>
          <w:color w:val="auto"/>
        </w:rPr>
      </w:pPr>
      <w:r>
        <w:rPr>
          <w:rFonts w:ascii="Arial" w:cs="Arial" w:eastAsia="Arial" w:hAnsi="Arial"/>
          <w:sz w:val="16"/>
          <w:szCs w:val="16"/>
          <w:color w:val="auto"/>
        </w:rPr>
        <w:t>American Airlines Group Inc.</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43" w:lineRule="exact"/>
        <w:rPr>
          <w:sz w:val="24"/>
          <w:szCs w:val="24"/>
          <w:color w:val="auto"/>
        </w:rPr>
      </w:pPr>
    </w:p>
    <w:p>
      <w:pPr>
        <w:spacing w:after="0" w:line="184" w:lineRule="exact"/>
        <w:tabs>
          <w:tab w:leader="none" w:pos="1720" w:val="left"/>
        </w:tabs>
        <w:rPr>
          <w:sz w:val="20"/>
          <w:szCs w:val="20"/>
          <w:color w:val="auto"/>
        </w:rPr>
      </w:pPr>
      <w:r>
        <w:rPr>
          <w:rFonts w:ascii="Arial" w:cs="Arial" w:eastAsia="Arial" w:hAnsi="Arial"/>
          <w:sz w:val="16"/>
          <w:szCs w:val="16"/>
          <w:color w:val="auto"/>
        </w:rPr>
        <w:t>American Airlines, Inc.</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Yes</w:t>
      </w:r>
      <w:r>
        <w:rPr>
          <w:rFonts w:ascii="MS PGothic" w:cs="MS PGothic" w:eastAsia="MS PGothic" w:hAnsi="MS PGothic"/>
          <w:sz w:val="16"/>
          <w:szCs w:val="16"/>
          <w:color w:val="auto"/>
        </w:rPr>
        <w:t xml:space="preserve">  ☐ </w:t>
      </w:r>
      <w:r>
        <w:rPr>
          <w:rFonts w:ascii="Arial" w:cs="Arial" w:eastAsia="Arial" w:hAnsi="Arial"/>
          <w:sz w:val="16"/>
          <w:szCs w:val="16"/>
          <w:color w:val="auto"/>
        </w:rPr>
        <w:t>No</w:t>
      </w:r>
    </w:p>
    <w:p>
      <w:pPr>
        <w:spacing w:after="0" w:line="159" w:lineRule="exact"/>
        <w:rPr>
          <w:sz w:val="24"/>
          <w:szCs w:val="24"/>
          <w:color w:val="auto"/>
        </w:rPr>
      </w:pPr>
    </w:p>
    <w:p>
      <w:pPr>
        <w:spacing w:after="0"/>
        <w:rPr>
          <w:sz w:val="20"/>
          <w:szCs w:val="20"/>
          <w:color w:val="auto"/>
        </w:rPr>
      </w:pPr>
      <w:r>
        <w:rPr>
          <w:rFonts w:ascii="Arial" w:cs="Arial" w:eastAsia="Arial" w:hAnsi="Arial"/>
          <w:sz w:val="16"/>
          <w:szCs w:val="16"/>
          <w:color w:val="auto"/>
        </w:rPr>
        <w:t>As of July 18, 2014, there were 720,102,826 shares of American Airlines Group Inc. common stock outstanding.</w:t>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As of July 18, 2014, there were 1,000 shares of American Airlines, Inc. common stock outstanding, all of which were held by American Airlines Group Inc.</w:t>
      </w:r>
    </w:p>
    <w:p>
      <w:pPr>
        <w:sectPr>
          <w:pgSz w:w="11900" w:h="16838" w:orient="portrait"/>
          <w:cols w:equalWidth="0" w:num="1">
            <w:col w:w="11380"/>
          </w:cols>
          <w:pgMar w:left="240" w:top="873" w:right="279" w:bottom="847"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American Airlines 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American Airlines,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Period Ended 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373" w:lineRule="exact"/>
        <w:rPr>
          <w:sz w:val="20"/>
          <w:szCs w:val="20"/>
          <w:color w:val="auto"/>
        </w:rPr>
      </w:pPr>
    </w:p>
    <w:p>
      <w:pPr>
        <w:ind w:left="10900"/>
        <w:spacing w:after="0"/>
        <w:rPr>
          <w:sz w:val="20"/>
          <w:szCs w:val="20"/>
          <w:color w:val="auto"/>
        </w:rPr>
      </w:pPr>
      <w:r>
        <w:rPr>
          <w:rFonts w:ascii="Arial" w:cs="Arial" w:eastAsia="Arial" w:hAnsi="Arial"/>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 FINANCIAL INFORMATION</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ind w:left="40"/>
              <w:spacing w:after="0"/>
              <w:rPr>
                <w:sz w:val="20"/>
                <w:szCs w:val="20"/>
                <w:color w:val="auto"/>
              </w:rPr>
            </w:pPr>
            <w:r>
              <w:rPr>
                <w:rFonts w:ascii="Arial" w:cs="Arial" w:eastAsia="Arial" w:hAnsi="Arial"/>
                <w:sz w:val="18"/>
                <w:szCs w:val="18"/>
                <w:color w:val="auto"/>
              </w:rPr>
              <w:t>Item 1A.</w:t>
            </w:r>
          </w:p>
        </w:tc>
        <w:tc>
          <w:tcPr>
            <w:tcW w:w="9900" w:type="dxa"/>
            <w:vAlign w:val="bottom"/>
          </w:tcPr>
          <w:p>
            <w:pPr>
              <w:ind w:left="200"/>
              <w:spacing w:after="0"/>
              <w:rPr>
                <w:sz w:val="20"/>
                <w:szCs w:val="20"/>
                <w:color w:val="auto"/>
              </w:rPr>
            </w:pPr>
            <w:r>
              <w:rPr>
                <w:rFonts w:ascii="Arial" w:cs="Arial" w:eastAsia="Arial" w:hAnsi="Arial"/>
                <w:sz w:val="18"/>
                <w:szCs w:val="18"/>
                <w:color w:val="auto"/>
              </w:rPr>
              <w:t>Condensed Consolidated Financial Statements of American Airlines Group Inc.</w:t>
            </w:r>
          </w:p>
        </w:tc>
        <w:tc>
          <w:tcPr>
            <w:tcW w:w="18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6</w:t>
              </w:r>
            </w:hyperlink>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8"/>
        </w:trPr>
        <w:tc>
          <w:tcPr>
            <w:tcW w:w="880" w:type="dxa"/>
            <w:vAlign w:val="bottom"/>
          </w:tcPr>
          <w:p>
            <w:pPr>
              <w:spacing w:after="0"/>
              <w:rPr>
                <w:sz w:val="4"/>
                <w:szCs w:val="4"/>
                <w:color w:val="auto"/>
              </w:rPr>
            </w:pPr>
          </w:p>
        </w:tc>
        <w:tc>
          <w:tcPr>
            <w:tcW w:w="99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03"/>
        </w:trPr>
        <w:tc>
          <w:tcPr>
            <w:tcW w:w="880" w:type="dxa"/>
            <w:vAlign w:val="bottom"/>
            <w:shd w:val="clear" w:color="auto" w:fill="CCEEFF"/>
          </w:tcPr>
          <w:p>
            <w:pPr>
              <w:spacing w:after="0"/>
              <w:rPr>
                <w:sz w:val="17"/>
                <w:szCs w:val="17"/>
                <w:color w:val="auto"/>
              </w:rPr>
            </w:pPr>
          </w:p>
        </w:tc>
        <w:tc>
          <w:tcPr>
            <w:tcW w:w="99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Condensed Consolidated Statements of Operations</w:t>
            </w:r>
          </w:p>
        </w:tc>
        <w:tc>
          <w:tcPr>
            <w:tcW w:w="180" w:type="dxa"/>
            <w:vAlign w:val="bottom"/>
            <w:gridSpan w:val="2"/>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99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r>
      <w:tr>
        <w:trPr>
          <w:trHeight w:val="203"/>
        </w:trPr>
        <w:tc>
          <w:tcPr>
            <w:tcW w:w="880" w:type="dxa"/>
            <w:vAlign w:val="bottom"/>
          </w:tcPr>
          <w:p>
            <w:pPr>
              <w:spacing w:after="0"/>
              <w:rPr>
                <w:sz w:val="17"/>
                <w:szCs w:val="17"/>
                <w:color w:val="auto"/>
              </w:rPr>
            </w:pPr>
          </w:p>
        </w:tc>
        <w:tc>
          <w:tcPr>
            <w:tcW w:w="9900" w:type="dxa"/>
            <w:vAlign w:val="bottom"/>
          </w:tcPr>
          <w:p>
            <w:pPr>
              <w:ind w:left="200"/>
              <w:spacing w:after="0" w:line="202" w:lineRule="exact"/>
              <w:rPr>
                <w:sz w:val="20"/>
                <w:szCs w:val="20"/>
                <w:color w:val="auto"/>
              </w:rPr>
            </w:pPr>
            <w:r>
              <w:rPr>
                <w:rFonts w:ascii="Arial" w:cs="Arial" w:eastAsia="Arial" w:hAnsi="Arial"/>
                <w:sz w:val="18"/>
                <w:szCs w:val="18"/>
                <w:color w:val="auto"/>
              </w:rPr>
              <w:t>Condensed Consolidated Statements of Comprehensive Income (Loss)</w:t>
            </w:r>
          </w:p>
        </w:tc>
        <w:tc>
          <w:tcPr>
            <w:tcW w:w="180" w:type="dxa"/>
            <w:vAlign w:val="bottom"/>
            <w:gridSpan w:val="2"/>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7</w:t>
              </w:r>
            </w:hyperlink>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8"/>
        </w:trPr>
        <w:tc>
          <w:tcPr>
            <w:tcW w:w="880" w:type="dxa"/>
            <w:vAlign w:val="bottom"/>
          </w:tcPr>
          <w:p>
            <w:pPr>
              <w:spacing w:after="0"/>
              <w:rPr>
                <w:sz w:val="4"/>
                <w:szCs w:val="4"/>
                <w:color w:val="auto"/>
              </w:rPr>
            </w:pPr>
          </w:p>
        </w:tc>
        <w:tc>
          <w:tcPr>
            <w:tcW w:w="99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03"/>
        </w:trPr>
        <w:tc>
          <w:tcPr>
            <w:tcW w:w="880" w:type="dxa"/>
            <w:vAlign w:val="bottom"/>
            <w:shd w:val="clear" w:color="auto" w:fill="CCEEFF"/>
          </w:tcPr>
          <w:p>
            <w:pPr>
              <w:spacing w:after="0"/>
              <w:rPr>
                <w:sz w:val="17"/>
                <w:szCs w:val="17"/>
                <w:color w:val="auto"/>
              </w:rPr>
            </w:pPr>
          </w:p>
        </w:tc>
        <w:tc>
          <w:tcPr>
            <w:tcW w:w="99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Condensed Consolidated Balance Sheets</w:t>
            </w:r>
          </w:p>
        </w:tc>
        <w:tc>
          <w:tcPr>
            <w:tcW w:w="180" w:type="dxa"/>
            <w:vAlign w:val="bottom"/>
            <w:gridSpan w:val="2"/>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8</w:t>
              </w:r>
            </w:hyperlink>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99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r>
      <w:tr>
        <w:trPr>
          <w:trHeight w:val="203"/>
        </w:trPr>
        <w:tc>
          <w:tcPr>
            <w:tcW w:w="880" w:type="dxa"/>
            <w:vAlign w:val="bottom"/>
          </w:tcPr>
          <w:p>
            <w:pPr>
              <w:spacing w:after="0"/>
              <w:rPr>
                <w:sz w:val="17"/>
                <w:szCs w:val="17"/>
                <w:color w:val="auto"/>
              </w:rPr>
            </w:pPr>
          </w:p>
        </w:tc>
        <w:tc>
          <w:tcPr>
            <w:tcW w:w="9900" w:type="dxa"/>
            <w:vAlign w:val="bottom"/>
          </w:tcPr>
          <w:p>
            <w:pPr>
              <w:ind w:left="200"/>
              <w:spacing w:after="0" w:line="202" w:lineRule="exact"/>
              <w:rPr>
                <w:sz w:val="20"/>
                <w:szCs w:val="20"/>
                <w:color w:val="auto"/>
              </w:rPr>
            </w:pPr>
            <w:r>
              <w:rPr>
                <w:rFonts w:ascii="Arial" w:cs="Arial" w:eastAsia="Arial" w:hAnsi="Arial"/>
                <w:sz w:val="18"/>
                <w:szCs w:val="18"/>
                <w:color w:val="auto"/>
              </w:rPr>
              <w:t>Condensed Consolidated Statements of Cash Flows</w:t>
            </w:r>
          </w:p>
        </w:tc>
        <w:tc>
          <w:tcPr>
            <w:tcW w:w="180" w:type="dxa"/>
            <w:vAlign w:val="bottom"/>
            <w:gridSpan w:val="2"/>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9</w:t>
              </w:r>
            </w:hyperlink>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8"/>
        </w:trPr>
        <w:tc>
          <w:tcPr>
            <w:tcW w:w="880" w:type="dxa"/>
            <w:vAlign w:val="bottom"/>
          </w:tcPr>
          <w:p>
            <w:pPr>
              <w:spacing w:after="0"/>
              <w:rPr>
                <w:sz w:val="4"/>
                <w:szCs w:val="4"/>
                <w:color w:val="auto"/>
              </w:rPr>
            </w:pPr>
          </w:p>
        </w:tc>
        <w:tc>
          <w:tcPr>
            <w:tcW w:w="99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Notes to the Condensed Consolidated Financial Statements</w:t>
            </w:r>
          </w:p>
        </w:tc>
        <w:tc>
          <w:tcPr>
            <w:tcW w:w="18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10</w:t>
              </w:r>
            </w:hyperlink>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r>
      <w:tr>
        <w:trPr>
          <w:trHeight w:val="203"/>
        </w:trPr>
        <w:tc>
          <w:tcPr>
            <w:tcW w:w="880" w:type="dxa"/>
            <w:vAlign w:val="bottom"/>
          </w:tcPr>
          <w:p>
            <w:pPr>
              <w:ind w:left="40"/>
              <w:spacing w:after="0" w:line="202" w:lineRule="exact"/>
              <w:rPr>
                <w:sz w:val="20"/>
                <w:szCs w:val="20"/>
                <w:color w:val="auto"/>
              </w:rPr>
            </w:pPr>
            <w:r>
              <w:rPr>
                <w:rFonts w:ascii="Arial" w:cs="Arial" w:eastAsia="Arial" w:hAnsi="Arial"/>
                <w:sz w:val="18"/>
                <w:szCs w:val="18"/>
                <w:color w:val="auto"/>
              </w:rPr>
              <w:t>Item 1B.</w:t>
            </w:r>
          </w:p>
        </w:tc>
        <w:tc>
          <w:tcPr>
            <w:tcW w:w="9900" w:type="dxa"/>
            <w:vAlign w:val="bottom"/>
          </w:tcPr>
          <w:p>
            <w:pPr>
              <w:ind w:left="200"/>
              <w:spacing w:after="0" w:line="202" w:lineRule="exact"/>
              <w:rPr>
                <w:sz w:val="20"/>
                <w:szCs w:val="20"/>
                <w:color w:val="auto"/>
              </w:rPr>
            </w:pPr>
            <w:r>
              <w:rPr>
                <w:rFonts w:ascii="Arial" w:cs="Arial" w:eastAsia="Arial" w:hAnsi="Arial"/>
                <w:sz w:val="18"/>
                <w:szCs w:val="18"/>
                <w:color w:val="auto"/>
              </w:rPr>
              <w:t>Condensed Consolidated Financial Statements of American Airlines, Inc.</w:t>
            </w:r>
          </w:p>
        </w:tc>
        <w:tc>
          <w:tcPr>
            <w:tcW w:w="260" w:type="dxa"/>
            <w:vAlign w:val="bottom"/>
            <w:gridSpan w:val="3"/>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35</w:t>
              </w:r>
            </w:hyperlink>
          </w:p>
        </w:tc>
        <w:tc>
          <w:tcPr>
            <w:tcW w:w="380" w:type="dxa"/>
            <w:vAlign w:val="bottom"/>
          </w:tcPr>
          <w:p>
            <w:pPr>
              <w:spacing w:after="0"/>
              <w:rPr>
                <w:sz w:val="17"/>
                <w:szCs w:val="17"/>
                <w:color w:val="auto"/>
              </w:rPr>
            </w:pPr>
          </w:p>
        </w:tc>
      </w:tr>
      <w:tr>
        <w:trPr>
          <w:trHeight w:val="48"/>
        </w:trPr>
        <w:tc>
          <w:tcPr>
            <w:tcW w:w="880" w:type="dxa"/>
            <w:vAlign w:val="bottom"/>
          </w:tcPr>
          <w:p>
            <w:pPr>
              <w:spacing w:after="0"/>
              <w:rPr>
                <w:sz w:val="4"/>
                <w:szCs w:val="4"/>
                <w:color w:val="auto"/>
              </w:rPr>
            </w:pPr>
          </w:p>
        </w:tc>
        <w:tc>
          <w:tcPr>
            <w:tcW w:w="99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Condensed Consolidated Statements of Operations</w:t>
            </w:r>
          </w:p>
        </w:tc>
        <w:tc>
          <w:tcPr>
            <w:tcW w:w="18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35</w:t>
              </w:r>
            </w:hyperlink>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r>
      <w:tr>
        <w:trPr>
          <w:trHeight w:val="203"/>
        </w:trPr>
        <w:tc>
          <w:tcPr>
            <w:tcW w:w="880" w:type="dxa"/>
            <w:vAlign w:val="bottom"/>
          </w:tcPr>
          <w:p>
            <w:pPr>
              <w:spacing w:after="0"/>
              <w:rPr>
                <w:sz w:val="17"/>
                <w:szCs w:val="17"/>
                <w:color w:val="auto"/>
              </w:rPr>
            </w:pPr>
          </w:p>
        </w:tc>
        <w:tc>
          <w:tcPr>
            <w:tcW w:w="9900" w:type="dxa"/>
            <w:vAlign w:val="bottom"/>
          </w:tcPr>
          <w:p>
            <w:pPr>
              <w:ind w:left="200"/>
              <w:spacing w:after="0" w:line="202" w:lineRule="exact"/>
              <w:rPr>
                <w:sz w:val="20"/>
                <w:szCs w:val="20"/>
                <w:color w:val="auto"/>
              </w:rPr>
            </w:pPr>
            <w:r>
              <w:rPr>
                <w:rFonts w:ascii="Arial" w:cs="Arial" w:eastAsia="Arial" w:hAnsi="Arial"/>
                <w:sz w:val="18"/>
                <w:szCs w:val="18"/>
                <w:color w:val="auto"/>
              </w:rPr>
              <w:t>Condensed Consolidated Statements of Comprehensive Income (Loss)</w:t>
            </w:r>
          </w:p>
        </w:tc>
        <w:tc>
          <w:tcPr>
            <w:tcW w:w="260" w:type="dxa"/>
            <w:vAlign w:val="bottom"/>
            <w:gridSpan w:val="3"/>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36</w:t>
              </w:r>
            </w:hyperlink>
          </w:p>
        </w:tc>
        <w:tc>
          <w:tcPr>
            <w:tcW w:w="380" w:type="dxa"/>
            <w:vAlign w:val="bottom"/>
          </w:tcPr>
          <w:p>
            <w:pPr>
              <w:spacing w:after="0"/>
              <w:rPr>
                <w:sz w:val="17"/>
                <w:szCs w:val="17"/>
                <w:color w:val="auto"/>
              </w:rPr>
            </w:pPr>
          </w:p>
        </w:tc>
      </w:tr>
      <w:tr>
        <w:trPr>
          <w:trHeight w:val="48"/>
        </w:trPr>
        <w:tc>
          <w:tcPr>
            <w:tcW w:w="880" w:type="dxa"/>
            <w:vAlign w:val="bottom"/>
          </w:tcPr>
          <w:p>
            <w:pPr>
              <w:spacing w:after="0"/>
              <w:rPr>
                <w:sz w:val="4"/>
                <w:szCs w:val="4"/>
                <w:color w:val="auto"/>
              </w:rPr>
            </w:pPr>
          </w:p>
        </w:tc>
        <w:tc>
          <w:tcPr>
            <w:tcW w:w="99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Condensed Consolidated Balance Sheets</w:t>
            </w:r>
          </w:p>
        </w:tc>
        <w:tc>
          <w:tcPr>
            <w:tcW w:w="18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37</w:t>
              </w:r>
            </w:hyperlink>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r>
      <w:tr>
        <w:trPr>
          <w:trHeight w:val="203"/>
        </w:trPr>
        <w:tc>
          <w:tcPr>
            <w:tcW w:w="880" w:type="dxa"/>
            <w:vAlign w:val="bottom"/>
          </w:tcPr>
          <w:p>
            <w:pPr>
              <w:spacing w:after="0"/>
              <w:rPr>
                <w:sz w:val="17"/>
                <w:szCs w:val="17"/>
                <w:color w:val="auto"/>
              </w:rPr>
            </w:pPr>
          </w:p>
        </w:tc>
        <w:tc>
          <w:tcPr>
            <w:tcW w:w="9900" w:type="dxa"/>
            <w:vAlign w:val="bottom"/>
          </w:tcPr>
          <w:p>
            <w:pPr>
              <w:ind w:left="200"/>
              <w:spacing w:after="0" w:line="202" w:lineRule="exact"/>
              <w:rPr>
                <w:sz w:val="20"/>
                <w:szCs w:val="20"/>
                <w:color w:val="auto"/>
              </w:rPr>
            </w:pPr>
            <w:r>
              <w:rPr>
                <w:rFonts w:ascii="Arial" w:cs="Arial" w:eastAsia="Arial" w:hAnsi="Arial"/>
                <w:sz w:val="18"/>
                <w:szCs w:val="18"/>
                <w:color w:val="auto"/>
              </w:rPr>
              <w:t>Condensed Consolidated Statements of Cash Flows</w:t>
            </w:r>
          </w:p>
        </w:tc>
        <w:tc>
          <w:tcPr>
            <w:tcW w:w="260" w:type="dxa"/>
            <w:vAlign w:val="bottom"/>
            <w:gridSpan w:val="3"/>
          </w:tcPr>
          <w:p>
            <w:pPr>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38</w:t>
              </w:r>
            </w:hyperlink>
          </w:p>
        </w:tc>
        <w:tc>
          <w:tcPr>
            <w:tcW w:w="380" w:type="dxa"/>
            <w:vAlign w:val="bottom"/>
          </w:tcPr>
          <w:p>
            <w:pPr>
              <w:spacing w:after="0"/>
              <w:rPr>
                <w:sz w:val="17"/>
                <w:szCs w:val="17"/>
                <w:color w:val="auto"/>
              </w:rPr>
            </w:pPr>
          </w:p>
        </w:tc>
      </w:tr>
      <w:tr>
        <w:trPr>
          <w:trHeight w:val="48"/>
        </w:trPr>
        <w:tc>
          <w:tcPr>
            <w:tcW w:w="880" w:type="dxa"/>
            <w:vAlign w:val="bottom"/>
          </w:tcPr>
          <w:p>
            <w:pPr>
              <w:spacing w:after="0"/>
              <w:rPr>
                <w:sz w:val="4"/>
                <w:szCs w:val="4"/>
                <w:color w:val="auto"/>
              </w:rPr>
            </w:pPr>
          </w:p>
        </w:tc>
        <w:tc>
          <w:tcPr>
            <w:tcW w:w="99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Notes to the Condensed Consolidated Financial Statements</w:t>
            </w:r>
          </w:p>
        </w:tc>
        <w:tc>
          <w:tcPr>
            <w:tcW w:w="18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39</w:t>
              </w:r>
            </w:hyperlink>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r>
      <w:tr>
        <w:trPr>
          <w:trHeight w:val="203"/>
        </w:trPr>
        <w:tc>
          <w:tcPr>
            <w:tcW w:w="88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9900" w:type="dxa"/>
            <w:vAlign w:val="bottom"/>
          </w:tcPr>
          <w:p>
            <w:pPr>
              <w:ind w:left="20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60" w:type="dxa"/>
            <w:vAlign w:val="bottom"/>
            <w:gridSpan w:val="3"/>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55</w:t>
              </w:r>
            </w:hyperlink>
          </w:p>
        </w:tc>
        <w:tc>
          <w:tcPr>
            <w:tcW w:w="380" w:type="dxa"/>
            <w:vAlign w:val="bottom"/>
          </w:tcPr>
          <w:p>
            <w:pPr>
              <w:spacing w:after="0"/>
              <w:rPr>
                <w:sz w:val="17"/>
                <w:szCs w:val="17"/>
                <w:color w:val="auto"/>
              </w:rPr>
            </w:pPr>
          </w:p>
        </w:tc>
      </w:tr>
      <w:tr>
        <w:trPr>
          <w:trHeight w:val="48"/>
        </w:trPr>
        <w:tc>
          <w:tcPr>
            <w:tcW w:w="880" w:type="dxa"/>
            <w:vAlign w:val="bottom"/>
          </w:tcPr>
          <w:p>
            <w:pPr>
              <w:spacing w:after="0"/>
              <w:rPr>
                <w:sz w:val="4"/>
                <w:szCs w:val="4"/>
                <w:color w:val="auto"/>
              </w:rPr>
            </w:pPr>
          </w:p>
        </w:tc>
        <w:tc>
          <w:tcPr>
            <w:tcW w:w="99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50"/>
        </w:trPr>
        <w:tc>
          <w:tcPr>
            <w:tcW w:w="8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9900" w:type="dxa"/>
            <w:vAlign w:val="bottom"/>
            <w:tcBorders>
              <w:bottom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79"/>
              </w:rPr>
            </w:pPr>
            <w:hyperlink w:anchor="page85">
              <w:r>
                <w:rPr>
                  <w:rFonts w:ascii="Arial" w:cs="Arial" w:eastAsia="Arial" w:hAnsi="Arial"/>
                  <w:sz w:val="18"/>
                  <w:szCs w:val="18"/>
                  <w:color w:val="0000EE"/>
                  <w:w w:val="79"/>
                </w:rPr>
                <w:t>86</w:t>
              </w:r>
            </w:hyperlink>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r>
      <w:tr>
        <w:trPr>
          <w:trHeight w:val="203"/>
        </w:trPr>
        <w:tc>
          <w:tcPr>
            <w:tcW w:w="88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9900" w:type="dxa"/>
            <w:vAlign w:val="bottom"/>
          </w:tcPr>
          <w:p>
            <w:pPr>
              <w:ind w:left="200"/>
              <w:spacing w:after="0" w:line="202" w:lineRule="exact"/>
              <w:rPr>
                <w:sz w:val="20"/>
                <w:szCs w:val="20"/>
                <w:color w:val="auto"/>
              </w:rPr>
            </w:pPr>
            <w:r>
              <w:rPr>
                <w:rFonts w:ascii="Arial" w:cs="Arial" w:eastAsia="Arial" w:hAnsi="Arial"/>
                <w:sz w:val="18"/>
                <w:szCs w:val="18"/>
                <w:color w:val="auto"/>
              </w:rPr>
              <w:t>Controls and Procedures</w:t>
            </w:r>
          </w:p>
        </w:tc>
        <w:tc>
          <w:tcPr>
            <w:tcW w:w="260" w:type="dxa"/>
            <w:vAlign w:val="bottom"/>
            <w:gridSpan w:val="3"/>
          </w:tcPr>
          <w:p>
            <w:pPr>
              <w:spacing w:after="0" w:line="202" w:lineRule="exact"/>
              <w:rPr>
                <w:rFonts w:ascii="Arial" w:cs="Arial" w:eastAsia="Arial" w:hAnsi="Arial"/>
                <w:sz w:val="18"/>
                <w:szCs w:val="18"/>
                <w:color w:val="0000EE"/>
              </w:rPr>
            </w:pPr>
            <w:hyperlink w:anchor="page87">
              <w:r>
                <w:rPr>
                  <w:rFonts w:ascii="Arial" w:cs="Arial" w:eastAsia="Arial" w:hAnsi="Arial"/>
                  <w:sz w:val="18"/>
                  <w:szCs w:val="18"/>
                  <w:color w:val="0000EE"/>
                </w:rPr>
                <w:t>88</w:t>
              </w:r>
            </w:hyperlink>
          </w:p>
        </w:tc>
        <w:tc>
          <w:tcPr>
            <w:tcW w:w="380" w:type="dxa"/>
            <w:vAlign w:val="bottom"/>
          </w:tcPr>
          <w:p>
            <w:pPr>
              <w:spacing w:after="0"/>
              <w:rPr>
                <w:sz w:val="17"/>
                <w:szCs w:val="17"/>
                <w:color w:val="auto"/>
              </w:rPr>
            </w:pPr>
          </w:p>
        </w:tc>
      </w:tr>
      <w:tr>
        <w:trPr>
          <w:trHeight w:val="48"/>
        </w:trPr>
        <w:tc>
          <w:tcPr>
            <w:tcW w:w="880" w:type="dxa"/>
            <w:vAlign w:val="bottom"/>
          </w:tcPr>
          <w:p>
            <w:pPr>
              <w:spacing w:after="0"/>
              <w:rPr>
                <w:sz w:val="4"/>
                <w:szCs w:val="4"/>
                <w:color w:val="auto"/>
              </w:rPr>
            </w:pPr>
          </w:p>
        </w:tc>
        <w:tc>
          <w:tcPr>
            <w:tcW w:w="99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9900" w:type="dxa"/>
            <w:vAlign w:val="bottom"/>
            <w:tcBorders>
              <w:bottom w:val="single" w:sz="8" w:color="CCEEFF"/>
            </w:tcBorders>
            <w:shd w:val="clear" w:color="auto" w:fill="CCEEFF"/>
          </w:tcPr>
          <w:p>
            <w:pPr>
              <w:ind w:left="3540"/>
              <w:spacing w:after="0"/>
              <w:rPr>
                <w:sz w:val="20"/>
                <w:szCs w:val="20"/>
                <w:color w:val="auto"/>
              </w:rPr>
            </w:pPr>
            <w:r>
              <w:rPr>
                <w:rFonts w:ascii="Arial" w:cs="Arial" w:eastAsia="Arial" w:hAnsi="Arial"/>
                <w:sz w:val="18"/>
                <w:szCs w:val="18"/>
                <w:color w:val="auto"/>
              </w:rPr>
              <w:t>PART II: OTHER INFORMATION</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r>
      <w:tr>
        <w:trPr>
          <w:trHeight w:val="203"/>
        </w:trPr>
        <w:tc>
          <w:tcPr>
            <w:tcW w:w="880" w:type="dxa"/>
            <w:vAlign w:val="bottom"/>
          </w:tcPr>
          <w:p>
            <w:pPr>
              <w:ind w:left="40"/>
              <w:spacing w:after="0" w:line="202" w:lineRule="exact"/>
              <w:rPr>
                <w:sz w:val="20"/>
                <w:szCs w:val="20"/>
                <w:color w:val="auto"/>
              </w:rPr>
            </w:pPr>
            <w:r>
              <w:rPr>
                <w:rFonts w:ascii="Arial" w:cs="Arial" w:eastAsia="Arial" w:hAnsi="Arial"/>
                <w:sz w:val="18"/>
                <w:szCs w:val="18"/>
                <w:color w:val="auto"/>
              </w:rPr>
              <w:t>Item 1.</w:t>
            </w:r>
          </w:p>
        </w:tc>
        <w:tc>
          <w:tcPr>
            <w:tcW w:w="9900" w:type="dxa"/>
            <w:vAlign w:val="bottom"/>
          </w:tcPr>
          <w:p>
            <w:pPr>
              <w:ind w:left="200"/>
              <w:spacing w:after="0" w:line="202" w:lineRule="exact"/>
              <w:rPr>
                <w:sz w:val="20"/>
                <w:szCs w:val="20"/>
                <w:color w:val="auto"/>
              </w:rPr>
            </w:pPr>
            <w:r>
              <w:rPr>
                <w:rFonts w:ascii="Arial" w:cs="Arial" w:eastAsia="Arial" w:hAnsi="Arial"/>
                <w:sz w:val="18"/>
                <w:szCs w:val="18"/>
                <w:color w:val="auto"/>
              </w:rPr>
              <w:t>Legal Proceedings</w:t>
            </w:r>
          </w:p>
        </w:tc>
        <w:tc>
          <w:tcPr>
            <w:tcW w:w="260" w:type="dxa"/>
            <w:vAlign w:val="bottom"/>
            <w:gridSpan w:val="3"/>
          </w:tcPr>
          <w:p>
            <w:pPr>
              <w:spacing w:after="0" w:line="202" w:lineRule="exact"/>
              <w:rPr>
                <w:rFonts w:ascii="Arial" w:cs="Arial" w:eastAsia="Arial" w:hAnsi="Arial"/>
                <w:sz w:val="18"/>
                <w:szCs w:val="18"/>
                <w:color w:val="0000EE"/>
              </w:rPr>
            </w:pPr>
            <w:hyperlink w:anchor="page89">
              <w:r>
                <w:rPr>
                  <w:rFonts w:ascii="Arial" w:cs="Arial" w:eastAsia="Arial" w:hAnsi="Arial"/>
                  <w:sz w:val="18"/>
                  <w:szCs w:val="18"/>
                  <w:color w:val="0000EE"/>
                </w:rPr>
                <w:t>89</w:t>
              </w:r>
            </w:hyperlink>
          </w:p>
        </w:tc>
        <w:tc>
          <w:tcPr>
            <w:tcW w:w="380" w:type="dxa"/>
            <w:vAlign w:val="bottom"/>
          </w:tcPr>
          <w:p>
            <w:pPr>
              <w:spacing w:after="0"/>
              <w:rPr>
                <w:sz w:val="17"/>
                <w:szCs w:val="17"/>
                <w:color w:val="auto"/>
              </w:rPr>
            </w:pPr>
          </w:p>
        </w:tc>
      </w:tr>
      <w:tr>
        <w:trPr>
          <w:trHeight w:val="48"/>
        </w:trPr>
        <w:tc>
          <w:tcPr>
            <w:tcW w:w="880" w:type="dxa"/>
            <w:vAlign w:val="bottom"/>
          </w:tcPr>
          <w:p>
            <w:pPr>
              <w:spacing w:after="0"/>
              <w:rPr>
                <w:sz w:val="4"/>
                <w:szCs w:val="4"/>
                <w:color w:val="auto"/>
              </w:rPr>
            </w:pPr>
          </w:p>
        </w:tc>
        <w:tc>
          <w:tcPr>
            <w:tcW w:w="99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50"/>
        </w:trPr>
        <w:tc>
          <w:tcPr>
            <w:tcW w:w="88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1A.</w:t>
            </w:r>
          </w:p>
        </w:tc>
        <w:tc>
          <w:tcPr>
            <w:tcW w:w="9900" w:type="dxa"/>
            <w:vAlign w:val="bottom"/>
            <w:tcBorders>
              <w:bottom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79"/>
              </w:rPr>
            </w:pPr>
            <w:hyperlink w:anchor="page90">
              <w:r>
                <w:rPr>
                  <w:rFonts w:ascii="Arial" w:cs="Arial" w:eastAsia="Arial" w:hAnsi="Arial"/>
                  <w:sz w:val="18"/>
                  <w:szCs w:val="18"/>
                  <w:color w:val="0000EE"/>
                  <w:w w:val="79"/>
                </w:rPr>
                <w:t>90</w:t>
              </w:r>
            </w:hyperlink>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r>
      <w:tr>
        <w:trPr>
          <w:trHeight w:val="203"/>
        </w:trPr>
        <w:tc>
          <w:tcPr>
            <w:tcW w:w="880" w:type="dxa"/>
            <w:vAlign w:val="bottom"/>
          </w:tcPr>
          <w:p>
            <w:pPr>
              <w:ind w:left="40"/>
              <w:spacing w:after="0" w:line="202" w:lineRule="exact"/>
              <w:rPr>
                <w:sz w:val="20"/>
                <w:szCs w:val="20"/>
                <w:color w:val="auto"/>
              </w:rPr>
            </w:pPr>
            <w:r>
              <w:rPr>
                <w:rFonts w:ascii="Arial" w:cs="Arial" w:eastAsia="Arial" w:hAnsi="Arial"/>
                <w:sz w:val="18"/>
                <w:szCs w:val="18"/>
                <w:color w:val="auto"/>
              </w:rPr>
              <w:t>Item 6.</w:t>
            </w:r>
          </w:p>
        </w:tc>
        <w:tc>
          <w:tcPr>
            <w:tcW w:w="9900" w:type="dxa"/>
            <w:vAlign w:val="bottom"/>
          </w:tcPr>
          <w:p>
            <w:pPr>
              <w:ind w:left="200"/>
              <w:spacing w:after="0" w:line="202" w:lineRule="exact"/>
              <w:rPr>
                <w:sz w:val="20"/>
                <w:szCs w:val="20"/>
                <w:color w:val="auto"/>
              </w:rPr>
            </w:pPr>
            <w:r>
              <w:rPr>
                <w:rFonts w:ascii="Arial" w:cs="Arial" w:eastAsia="Arial" w:hAnsi="Arial"/>
                <w:sz w:val="18"/>
                <w:szCs w:val="18"/>
                <w:color w:val="auto"/>
              </w:rPr>
              <w:t>Exhibits</w:t>
            </w:r>
          </w:p>
        </w:tc>
        <w:tc>
          <w:tcPr>
            <w:tcW w:w="640" w:type="dxa"/>
            <w:vAlign w:val="bottom"/>
            <w:gridSpan w:val="4"/>
          </w:tcPr>
          <w:p>
            <w:pPr>
              <w:spacing w:after="0" w:line="202" w:lineRule="exact"/>
              <w:rPr>
                <w:rFonts w:ascii="Arial" w:cs="Arial" w:eastAsia="Arial" w:hAnsi="Arial"/>
                <w:sz w:val="18"/>
                <w:szCs w:val="18"/>
                <w:color w:val="0000EE"/>
              </w:rPr>
            </w:pPr>
            <w:hyperlink w:anchor="page106">
              <w:r>
                <w:rPr>
                  <w:rFonts w:ascii="Arial" w:cs="Arial" w:eastAsia="Arial" w:hAnsi="Arial"/>
                  <w:sz w:val="18"/>
                  <w:szCs w:val="18"/>
                  <w:color w:val="0000EE"/>
                </w:rPr>
                <w:t>107</w:t>
              </w:r>
            </w:hyperlink>
          </w:p>
        </w:tc>
      </w:tr>
      <w:tr>
        <w:trPr>
          <w:trHeight w:val="48"/>
        </w:trPr>
        <w:tc>
          <w:tcPr>
            <w:tcW w:w="880" w:type="dxa"/>
            <w:vAlign w:val="bottom"/>
          </w:tcPr>
          <w:p>
            <w:pPr>
              <w:spacing w:after="0"/>
              <w:rPr>
                <w:sz w:val="4"/>
                <w:szCs w:val="4"/>
                <w:color w:val="auto"/>
              </w:rPr>
            </w:pPr>
          </w:p>
        </w:tc>
        <w:tc>
          <w:tcPr>
            <w:tcW w:w="99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Pr>
          <w:p>
            <w:pPr>
              <w:spacing w:after="0"/>
              <w:rPr>
                <w:sz w:val="4"/>
                <w:szCs w:val="4"/>
                <w:color w:val="auto"/>
              </w:rPr>
            </w:pPr>
          </w:p>
        </w:tc>
      </w:tr>
      <w:tr>
        <w:trPr>
          <w:trHeight w:val="250"/>
        </w:trPr>
        <w:tc>
          <w:tcPr>
            <w:tcW w:w="1078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SIGNATURES</w:t>
            </w:r>
          </w:p>
        </w:tc>
        <w:tc>
          <w:tcPr>
            <w:tcW w:w="640" w:type="dxa"/>
            <w:vAlign w:val="bottom"/>
            <w:gridSpan w:val="4"/>
            <w:shd w:val="clear" w:color="auto" w:fill="CCEEFF"/>
          </w:tcPr>
          <w:p>
            <w:pPr>
              <w:spacing w:after="0" w:line="202" w:lineRule="exact"/>
              <w:rPr>
                <w:rFonts w:ascii="Arial" w:cs="Arial" w:eastAsia="Arial" w:hAnsi="Arial"/>
                <w:sz w:val="18"/>
                <w:szCs w:val="18"/>
                <w:color w:val="0000EE"/>
              </w:rPr>
            </w:pPr>
            <w:hyperlink w:anchor="page107">
              <w:r>
                <w:rPr>
                  <w:rFonts w:ascii="Arial" w:cs="Arial" w:eastAsia="Arial" w:hAnsi="Arial"/>
                  <w:sz w:val="18"/>
                  <w:szCs w:val="18"/>
                  <w:color w:val="0000EE"/>
                </w:rPr>
                <w:t>108</w:t>
              </w:r>
            </w:hyperlink>
          </w:p>
        </w:tc>
      </w:tr>
      <w:tr>
        <w:trPr>
          <w:trHeight w:val="459"/>
        </w:trPr>
        <w:tc>
          <w:tcPr>
            <w:tcW w:w="880" w:type="dxa"/>
            <w:vAlign w:val="bottom"/>
            <w:tcBorders>
              <w:top w:val="single" w:sz="8" w:color="CCEEFF"/>
            </w:tcBorders>
          </w:tcPr>
          <w:p>
            <w:pPr>
              <w:spacing w:after="0"/>
              <w:rPr>
                <w:sz w:val="24"/>
                <w:szCs w:val="24"/>
                <w:color w:val="auto"/>
              </w:rPr>
            </w:pPr>
          </w:p>
        </w:tc>
        <w:tc>
          <w:tcPr>
            <w:tcW w:w="9900" w:type="dxa"/>
            <w:vAlign w:val="bottom"/>
            <w:tcBorders>
              <w:top w:val="single" w:sz="8" w:color="CCEEFF"/>
            </w:tcBorders>
          </w:tcPr>
          <w:p>
            <w:pPr>
              <w:ind w:left="4780"/>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2" w:name="page3"/>
    <w:bookmarkEnd w:id="2"/>
    <w:p>
      <w:pPr>
        <w:jc w:val="both"/>
        <w:ind w:firstLine="648"/>
        <w:spacing w:after="0" w:line="271" w:lineRule="auto"/>
        <w:rPr>
          <w:sz w:val="20"/>
          <w:szCs w:val="20"/>
          <w:color w:val="auto"/>
        </w:rPr>
      </w:pPr>
      <w:r>
        <w:rPr>
          <w:rFonts w:ascii="Arial" w:cs="Arial" w:eastAsia="Arial" w:hAnsi="Arial"/>
          <w:sz w:val="17"/>
          <w:szCs w:val="17"/>
          <w:color w:val="auto"/>
        </w:rPr>
        <w:t>This combined Quarterly Report on Form 10-Q is filed by American Airlines Group Inc. (formerly named AMR Corporation) (AAG) and its wholly-owned subsidiary American Airlines, Inc. (American). References in this Quarterly Report on Form 10-Q to "we," "us," "our" and the "Company" refer to AAG and its consolidated subsidiaries. As more fully described below, on December 9, 2013, a subsidiary of AMR Corporation merged with and into US Airways Group, Inc. (US Airways Group), which survived as a wholly-owned subsidiary of AAG (the Merger). Accordingly, unless otherwise indicated, information in this Quarterly Report on Form 10-Q regarding the Company's condensed consolidated results of operations includes the results of American, US Airways Group and US Airways, Inc. (US Airways) for the quarter ended June 30, 2014. "AMR" refers to the Company during the period of time prior to its emergence from Chapter 11 and its acquisition of US Airways Group. References in this Quarterly Report on Form 10-Q to "mainline" refer to the operations of American and US Airways, as applicable, and exclude regional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17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Certain of the statements contained in this report should be considered forward-looking statements within the meaning of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benefits of the Merger, including future financial and operating results, our plans, objectives, expectations and intentions, and other statements that are not historical facts, such as, without limitation, statements that discuss the possible future effects of current known trends or uncertainties, or which indicate that the future effects of known trends or uncertainties cannot be predicted, guaranteed or assured.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described below under Part II, Item 1A - Risk Factors and the following: significant operating losses in the future; downturns in economic conditions that adversely affect our business; the impact of continued periods of high volatility in fuel costs, increased fuel prices and significant disruptions in the supply of aircraft fuel; competitive practices in the industry, including the impact of low cost carriers, airline alliances and industry consolidation; the challenges and costs of integrating operations and realizing anticipated synergies and other benefits of the Merger; our substantial indebtedness and other obligations and the effect they could have on our business and liquidity; an inability to obtain sufficient financing or other capital to operate successfully and in accordance with our current business plan; increased costs of financing, a reduction in the availability of financing and fluctuations in interest rates; the effect our high level of fixed obligations may have on our ability to fund general corporate requirements, obtain additional financing and respond to competitive developments and adverse economic and industry conditions; our significant pension and other post-employment benefit funding obligations; the impact of any failure to comply with the covenants contained in financing arrangements; provisions in credit card processing and other commercial agreements that may materially reduce our liquidity; the limitations of our historical consolidated financial information, which is not directly comparable to our financial information for prior or future periods; the impact of union disputes, employee strikes and other labor-related disruptions; any inability to maintain labor costs at competitive levels; interruptions or disruptions in service at one or more of our hub airports; any inability to obtain and maintain adequate facilities, infrastructure and slots to operate our flight schedule and expand or change our route network; our reliance on third-party regional operators or third-party service providers that have the ability to affect our revenue and the public’s perception about our services; any inability to effectively manage the costs, rights and functionality of third-party distribution channels on which we rely; extensive government regulation, which may result in increases in our costs, disruptions to our operations, limits on our operating flexibility, reductions in the demand for air travel, and competitive disadvantages; the impact of the heavy taxation to which the airline industry is subject; changes to our business model that may not successfully increase revenues and may cause operational difficulties or decreased demand; the loss of key personnel or inability to attract and retain additional qualified personnel; the impact of conflicts overseas, terrorist attacks and ongoing security concerns; the global scope of our business and any associated economic and political instability or adverse effects of events, circumstances or government actions beyond our control, including the impact of foreign currency exchange rate fluctuations and limitations on the repatriation of cash held in foreign countries; the impact of environmental regulation; our reliance on technology and automated systems and the impact of any failure of these technologies or systems; challenges in integrating our computer, communications and other technology systems; costs of ongoing data security compliance requirements and the impact of any significant data security breach; losses and adverse publicity stemming from any accident involving any of our aircraft or the aircraft of our regional or codeshare operators; delays in scheduled aircraft deliveries, or other loss of anticipated fleet capacity, and failure of new aircraft to perform as expected; our dependence on a limited number of suppliers for aircraft, aircraft engines and parts; the impact of changing economic and other conditions beyond our control, including global events that affect travel behavior such as an outbreak of a contagious disease, and volatility and fluctuations in our results of operations due to seasonality; the effect of a higher than normal number of pilot retirements and a potential shortage of pilots; the impact of</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30" w:right="239" w:bottom="1440" w:gutter="0" w:footer="0" w:header="0"/>
        </w:sectPr>
      </w:pPr>
    </w:p>
    <w:bookmarkStart w:id="3" w:name="page4"/>
    <w:bookmarkEnd w:id="3"/>
    <w:p>
      <w:pPr>
        <w:jc w:val="both"/>
        <w:spacing w:after="0" w:line="287" w:lineRule="auto"/>
        <w:rPr>
          <w:sz w:val="20"/>
          <w:szCs w:val="20"/>
          <w:color w:val="auto"/>
        </w:rPr>
      </w:pPr>
      <w:r>
        <w:rPr>
          <w:rFonts w:ascii="Arial" w:cs="Arial" w:eastAsia="Arial" w:hAnsi="Arial"/>
          <w:sz w:val="16"/>
          <w:szCs w:val="16"/>
          <w:color w:val="auto"/>
        </w:rPr>
        <w:t>possible future increases in insurance costs or reductions in available insurance coverage; the effect of several lawsuits that were filed in connection with the Merger and remain pending; an inability to use net operating losses (NOLs) carried over from prior taxable years (NOL Carryforwards); any impairment in the amount of goodwill we recorded as a result of the application of the acquisition method of accounting and an inability to realize the full value of AAG’s and American’s respective intangible or long-lived assets and any material impairment charges that would be recorded as a result; price volatility of our common stock; delay or prevention of stockholders’ ability to change the composition of our board of directors and the effect this may have on takeover attempts that some of our stockholders might consider beneficial; the effect of provisions of our Restated Certificate of Incorporation (the Certificate of Incorporation) and Amended and Restated Bylaws (the Bylaws) that limit ownership and voting of our equity interests, including our common stock and convertible notes; the effect of limitations in our Certificate of Incorporation on acquisitions and dispositions of our common stock designed to protect our NOL Carryforwards and certain other tax attributes, which may limit the liquidity of our common stock; other economic, business, competitive, and/or regulatory factors affecting our business, including those set forth in this Quarterly Report on Form 10-Q (especially in Part II, Item 1A - Risk Factors and Part I, Item 2. Management’s Discussion and Analysis of Financial Condition and Results of Operations) and in our other filings with the Securities and Exchange Commission (the SEC), and other risks and uncertainties listed from time to time in our filings with the SEC.</w:t>
      </w:r>
    </w:p>
    <w:p>
      <w:pPr>
        <w:spacing w:after="0" w:line="11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All of the forward-looking statements are qualified in their entirety by reference to the factors discussed in Part II, Item 1A - Risk Factors and elsewhere in this report. There may be other factors of which we are not currently aware that may affect matters discussed in the forward-looking statements and may also cause actual results to differ materially from those discussed. We do not assume any obligation to publicly update or supplement any forward-looking statement to reflect actual results, changes in assumptions or changes in other factors affecting such statements other than as required by law. Forward-looking statements speak only as of the date of this Quarterly Report on Form 10-Q or as of the dates indicated in the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30" w:right="23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8"/>
          <w:szCs w:val="18"/>
          <w:b w:val="1"/>
          <w:bCs w:val="1"/>
          <w:color w:val="auto"/>
        </w:rPr>
        <w:t>PART I: FINANCIAL INFORMATION</w:t>
      </w:r>
    </w:p>
    <w:p>
      <w:pPr>
        <w:spacing w:after="0" w:line="31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combined Quarterly Report on Form 10-Q is filed by both AAG and American and includes the condensed consolidated financial statements of each company in Item 1A and Item 1B, respectively.</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364" w:right="319" w:bottom="1440" w:gutter="0" w:footer="0" w:header="0"/>
        </w:sectPr>
      </w:pPr>
    </w:p>
    <w:bookmarkStart w:id="5" w:name="page6"/>
    <w:bookmarkEnd w:id="5"/>
    <w:p>
      <w:pPr>
        <w:ind w:left="1340"/>
        <w:spacing w:after="0"/>
        <w:tabs>
          <w:tab w:leader="none" w:pos="316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7"/>
          <w:szCs w:val="17"/>
          <w:b w:val="1"/>
          <w:bCs w:val="1"/>
          <w:color w:val="auto"/>
        </w:rPr>
        <w:t>AMERICAN AIRLINES GROUP INC. CONDENSED CONSOLIDATED FINANCIAL</w:t>
      </w:r>
    </w:p>
    <w:p>
      <w:pPr>
        <w:spacing w:after="0" w:line="27" w:lineRule="exact"/>
        <w:rPr>
          <w:sz w:val="20"/>
          <w:szCs w:val="20"/>
          <w:color w:val="auto"/>
        </w:rPr>
      </w:pPr>
    </w:p>
    <w:p>
      <w:pPr>
        <w:ind w:left="3180"/>
        <w:spacing w:after="0"/>
        <w:rPr>
          <w:sz w:val="20"/>
          <w:szCs w:val="20"/>
          <w:color w:val="auto"/>
        </w:rPr>
      </w:pPr>
      <w:r>
        <w:rPr>
          <w:rFonts w:ascii="Arial" w:cs="Arial" w:eastAsia="Arial" w:hAnsi="Arial"/>
          <w:sz w:val="17"/>
          <w:szCs w:val="17"/>
          <w:b w:val="1"/>
          <w:bCs w:val="1"/>
          <w:color w:val="auto"/>
        </w:rPr>
        <w:t>STATEMENTS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shares and per share amounts)(Unaudited)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5"/>
          </w:tcPr>
          <w:p>
            <w:pPr>
              <w:ind w:left="20"/>
              <w:spacing w:after="0"/>
              <w:rPr>
                <w:sz w:val="20"/>
                <w:szCs w:val="20"/>
                <w:color w:val="auto"/>
              </w:rPr>
            </w:pPr>
            <w:r>
              <w:rPr>
                <w:rFonts w:ascii="Arial" w:cs="Arial" w:eastAsia="Arial" w:hAnsi="Arial"/>
                <w:sz w:val="18"/>
                <w:szCs w:val="18"/>
                <w:color w:val="auto"/>
              </w:rPr>
              <w:t>Three Months Ended June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right"/>
              <w:ind w:right="70"/>
              <w:spacing w:after="0"/>
              <w:rPr>
                <w:sz w:val="20"/>
                <w:szCs w:val="20"/>
                <w:color w:val="auto"/>
              </w:rPr>
            </w:pPr>
            <w:r>
              <w:rPr>
                <w:rFonts w:ascii="Arial" w:cs="Arial" w:eastAsia="Arial" w:hAnsi="Arial"/>
                <w:sz w:val="18"/>
                <w:szCs w:val="18"/>
                <w:color w:val="auto"/>
              </w:rPr>
              <w:t>30,</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5"/>
          </w:tcPr>
          <w:p>
            <w:pPr>
              <w:jc w:val="right"/>
              <w:spacing w:after="0"/>
              <w:rPr>
                <w:sz w:val="20"/>
                <w:szCs w:val="20"/>
                <w:color w:val="auto"/>
              </w:rPr>
            </w:pPr>
            <w:r>
              <w:rPr>
                <w:rFonts w:ascii="Arial" w:cs="Arial" w:eastAsia="Arial" w:hAnsi="Arial"/>
                <w:sz w:val="18"/>
                <w:szCs w:val="18"/>
                <w:color w:val="auto"/>
                <w:w w:val="93"/>
              </w:rPr>
              <w:t>Six Months Ended June 30,</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Mainline passenger</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8,213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4,888</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15,471</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9,502</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Regional passenger</w:t>
            </w: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Cargo</w:t>
            </w: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37"/>
        </w:trPr>
        <w:tc>
          <w:tcPr>
            <w:tcW w:w="5460" w:type="dxa"/>
            <w:vAlign w:val="bottom"/>
          </w:tcPr>
          <w:p>
            <w:pPr>
              <w:ind w:left="500"/>
              <w:spacing w:after="0"/>
              <w:rPr>
                <w:sz w:val="20"/>
                <w:szCs w:val="20"/>
                <w:color w:val="auto"/>
              </w:rPr>
            </w:pPr>
            <w:r>
              <w:rPr>
                <w:rFonts w:ascii="Arial" w:cs="Arial" w:eastAsia="Arial" w:hAnsi="Arial"/>
                <w:sz w:val="18"/>
                <w:szCs w:val="18"/>
                <w:color w:val="auto"/>
              </w:rPr>
              <w:t>Total operating revenues</w:t>
            </w:r>
          </w:p>
        </w:tc>
        <w:tc>
          <w:tcPr>
            <w:tcW w:w="14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11,355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6,449</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21,351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12,547</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Aircraft fuel and related taxes</w:t>
            </w: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1,880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5,541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Salaries, wages and benefits</w:t>
            </w: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Regional expenses</w:t>
            </w: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769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Maintenance, materials and repairs</w:t>
            </w: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Other rent and landing fees</w:t>
            </w: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Aircraft rent</w:t>
            </w: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Selling expenses</w:t>
            </w: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Special items, net</w:t>
            </w: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37"/>
        </w:trPr>
        <w:tc>
          <w:tcPr>
            <w:tcW w:w="546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14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9,956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5,937</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19,222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11,964</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Interest expense, net of capitalized interest</w:t>
            </w: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14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7"/>
        </w:trPr>
        <w:tc>
          <w:tcPr>
            <w:tcW w:w="5460" w:type="dxa"/>
            <w:vAlign w:val="bottom"/>
          </w:tcPr>
          <w:p>
            <w:pPr>
              <w:ind w:left="500"/>
              <w:spacing w:after="0"/>
              <w:rPr>
                <w:sz w:val="20"/>
                <w:szCs w:val="20"/>
                <w:color w:val="auto"/>
              </w:rPr>
            </w:pPr>
            <w:r>
              <w:rPr>
                <w:rFonts w:ascii="Arial" w:cs="Arial" w:eastAsia="Arial" w:hAnsi="Arial"/>
                <w:sz w:val="18"/>
                <w:szCs w:val="18"/>
                <w:color w:val="auto"/>
              </w:rPr>
              <w:t>Total nonoperating expense, net</w:t>
            </w:r>
          </w:p>
        </w:tc>
        <w:tc>
          <w:tcPr>
            <w:tcW w:w="14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reorganization items, net</w:t>
            </w: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Reorganization items, net</w:t>
            </w: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Income tax provision (benefit)</w:t>
            </w:r>
          </w:p>
        </w:tc>
        <w:tc>
          <w:tcPr>
            <w:tcW w:w="1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1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1,343</w:t>
            </w: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(loss) per share:</w:t>
            </w: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280"/>
              <w:spacing w:after="0"/>
              <w:rPr>
                <w:sz w:val="20"/>
                <w:szCs w:val="20"/>
                <w:color w:val="auto"/>
              </w:rPr>
            </w:pPr>
            <w:r>
              <w:rPr>
                <w:rFonts w:ascii="Arial" w:cs="Arial" w:eastAsia="Arial" w:hAnsi="Arial"/>
                <w:sz w:val="18"/>
                <w:szCs w:val="18"/>
                <w:color w:val="auto"/>
              </w:rPr>
              <w:t>Basic</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0.88</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67"/>
        </w:trPr>
        <w:tc>
          <w:tcPr>
            <w:tcW w:w="5460" w:type="dxa"/>
            <w:vAlign w:val="bottom"/>
            <w:tcBorders>
              <w:bottom w:val="single" w:sz="8" w:color="CCEEFF"/>
            </w:tcBorders>
          </w:tcPr>
          <w:p>
            <w:pPr>
              <w:spacing w:after="0"/>
              <w:rPr>
                <w:sz w:val="5"/>
                <w:szCs w:val="5"/>
                <w:color w:val="auto"/>
              </w:rPr>
            </w:pPr>
          </w:p>
        </w:tc>
        <w:tc>
          <w:tcPr>
            <w:tcW w:w="14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460" w:type="dxa"/>
            <w:vAlign w:val="bottom"/>
            <w:tcBorders>
              <w:bottom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rPr>
              <w:t>Diluted</w:t>
            </w:r>
          </w:p>
        </w:tc>
        <w:tc>
          <w:tcPr>
            <w:tcW w:w="1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Weighted average shares outstanding (in thousands):</w:t>
            </w:r>
          </w:p>
        </w:tc>
        <w:tc>
          <w:tcPr>
            <w:tcW w:w="1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6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4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4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720,600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249,588</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722,286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249,540</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rPr>
              <w:t>Diluted</w:t>
            </w:r>
          </w:p>
        </w:tc>
        <w:tc>
          <w:tcPr>
            <w:tcW w:w="1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60" w:type="dxa"/>
            <w:vAlign w:val="bottom"/>
            <w:vMerge w:val="continue"/>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734,767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288,511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738,051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249,540</w:t>
            </w:r>
          </w:p>
        </w:tc>
        <w:tc>
          <w:tcPr>
            <w:tcW w:w="0" w:type="dxa"/>
            <w:vAlign w:val="bottom"/>
          </w:tcPr>
          <w:p>
            <w:pPr>
              <w:spacing w:after="0"/>
              <w:rPr>
                <w:sz w:val="1"/>
                <w:szCs w:val="1"/>
                <w:color w:val="auto"/>
              </w:rPr>
            </w:pPr>
          </w:p>
        </w:tc>
      </w:tr>
      <w:tr>
        <w:trPr>
          <w:trHeight w:val="27"/>
        </w:trPr>
        <w:tc>
          <w:tcPr>
            <w:tcW w:w="5460" w:type="dxa"/>
            <w:vAlign w:val="bottom"/>
            <w:vMerge w:val="restart"/>
          </w:tcPr>
          <w:p>
            <w:pPr>
              <w:spacing w:after="0"/>
              <w:rPr>
                <w:sz w:val="20"/>
                <w:szCs w:val="20"/>
                <w:color w:val="auto"/>
              </w:rPr>
            </w:pPr>
            <w:r>
              <w:rPr>
                <w:rFonts w:ascii="Arial" w:cs="Arial" w:eastAsia="Arial" w:hAnsi="Arial"/>
                <w:sz w:val="18"/>
                <w:szCs w:val="18"/>
                <w:color w:val="auto"/>
                <w:w w:val="92"/>
              </w:rPr>
              <w:t>See accompanying notes to condensed consolidated financial statements.</w:t>
            </w:r>
          </w:p>
        </w:tc>
        <w:tc>
          <w:tcPr>
            <w:tcW w:w="1400" w:type="dxa"/>
            <w:vAlign w:val="bottom"/>
            <w:vMerge w:val="restart"/>
          </w:tcPr>
          <w:p>
            <w:pPr>
              <w:jc w:val="right"/>
              <w:ind w:right="1010"/>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60" w:type="dxa"/>
            <w:vAlign w:val="bottom"/>
            <w:vMerge w:val="continue"/>
          </w:tcPr>
          <w:p>
            <w:pPr>
              <w:spacing w:after="0" w:line="20" w:lineRule="exact"/>
              <w:rPr>
                <w:sz w:val="1"/>
                <w:szCs w:val="1"/>
                <w:color w:val="auto"/>
              </w:rPr>
            </w:pPr>
          </w:p>
        </w:tc>
        <w:tc>
          <w:tcPr>
            <w:tcW w:w="140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60" w:type="dxa"/>
            <w:vAlign w:val="bottom"/>
            <w:vMerge w:val="continue"/>
          </w:tcPr>
          <w:p>
            <w:pPr>
              <w:spacing w:after="0"/>
              <w:rPr>
                <w:sz w:val="17"/>
                <w:szCs w:val="17"/>
                <w:color w:val="auto"/>
              </w:rPr>
            </w:pPr>
          </w:p>
        </w:tc>
        <w:tc>
          <w:tcPr>
            <w:tcW w:w="14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546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21"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AMERICAN AIRLINES GROUP INC.</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440" w:type="dxa"/>
            <w:vAlign w:val="bottom"/>
            <w:gridSpan w:val="6"/>
          </w:tcPr>
          <w:p>
            <w:pPr>
              <w:spacing w:after="0"/>
              <w:rPr>
                <w:sz w:val="20"/>
                <w:szCs w:val="20"/>
                <w:color w:val="auto"/>
              </w:rPr>
            </w:pPr>
            <w:r>
              <w:rPr>
                <w:rFonts w:ascii="Arial" w:cs="Arial" w:eastAsia="Arial" w:hAnsi="Arial"/>
                <w:sz w:val="18"/>
                <w:szCs w:val="18"/>
                <w:b w:val="1"/>
                <w:bCs w:val="1"/>
                <w:color w:val="auto"/>
              </w:rPr>
              <w:t>CONDENSED CONSOLIDATED STATEMENTS OF COMPREHENSIVE INCOME (LOSS)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(In millions)(Unaudited)</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5"/>
          </w:tcPr>
          <w:p>
            <w:pPr>
              <w:ind w:left="120"/>
              <w:spacing w:after="0"/>
              <w:rPr>
                <w:sz w:val="20"/>
                <w:szCs w:val="20"/>
                <w:color w:val="auto"/>
              </w:rPr>
            </w:pPr>
            <w:r>
              <w:rPr>
                <w:rFonts w:ascii="Arial" w:cs="Arial" w:eastAsia="Arial" w:hAnsi="Arial"/>
                <w:sz w:val="18"/>
                <w:szCs w:val="18"/>
                <w:color w:val="auto"/>
              </w:rPr>
              <w:t>Three Months Ended June 30,</w:t>
            </w:r>
          </w:p>
        </w:tc>
        <w:tc>
          <w:tcPr>
            <w:tcW w:w="280" w:type="dxa"/>
            <w:vAlign w:val="bottom"/>
          </w:tcPr>
          <w:p>
            <w:pPr>
              <w:spacing w:after="0"/>
              <w:rPr>
                <w:sz w:val="24"/>
                <w:szCs w:val="24"/>
                <w:color w:val="auto"/>
              </w:rPr>
            </w:pPr>
          </w:p>
        </w:tc>
        <w:tc>
          <w:tcPr>
            <w:tcW w:w="2560" w:type="dxa"/>
            <w:vAlign w:val="bottom"/>
            <w:gridSpan w:val="4"/>
          </w:tcPr>
          <w:p>
            <w:pPr>
              <w:jc w:val="right"/>
              <w:ind w:right="330"/>
              <w:spacing w:after="0"/>
              <w:rPr>
                <w:sz w:val="20"/>
                <w:szCs w:val="20"/>
                <w:color w:val="auto"/>
              </w:rPr>
            </w:pPr>
            <w:r>
              <w:rPr>
                <w:rFonts w:ascii="Arial" w:cs="Arial" w:eastAsia="Arial" w:hAnsi="Arial"/>
                <w:sz w:val="18"/>
                <w:szCs w:val="18"/>
                <w:color w:val="auto"/>
                <w:w w:val="96"/>
              </w:rPr>
              <w:t>Six Months Ended June 30,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comprehensive loss before tax:</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Defined benefit pension plans and retiree medical</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5620" w:type="dxa"/>
            <w:vAlign w:val="bottom"/>
            <w:gridSpan w:val="2"/>
          </w:tcPr>
          <w:p>
            <w:pPr>
              <w:ind w:left="280"/>
              <w:spacing w:after="0"/>
              <w:rPr>
                <w:sz w:val="20"/>
                <w:szCs w:val="20"/>
                <w:color w:val="auto"/>
              </w:rPr>
            </w:pPr>
            <w:r>
              <w:rPr>
                <w:rFonts w:ascii="Arial" w:cs="Arial" w:eastAsia="Arial" w:hAnsi="Arial"/>
                <w:sz w:val="18"/>
                <w:szCs w:val="18"/>
                <w:color w:val="auto"/>
              </w:rPr>
              <w:t>Derivative financial instruments: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Change in fair value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5620" w:type="dxa"/>
            <w:vAlign w:val="bottom"/>
            <w:gridSpan w:val="2"/>
          </w:tcPr>
          <w:p>
            <w:pPr>
              <w:ind w:left="500"/>
              <w:spacing w:after="0"/>
              <w:rPr>
                <w:sz w:val="20"/>
                <w:szCs w:val="20"/>
                <w:color w:val="auto"/>
              </w:rPr>
            </w:pPr>
            <w:r>
              <w:rPr>
                <w:rFonts w:ascii="Arial" w:cs="Arial" w:eastAsia="Arial" w:hAnsi="Arial"/>
                <w:sz w:val="18"/>
                <w:szCs w:val="18"/>
                <w:color w:val="auto"/>
              </w:rPr>
              <w:t>Reclassification into earnings</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unrealized gain on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500"/>
              <w:spacing w:after="0"/>
              <w:rPr>
                <w:sz w:val="20"/>
                <w:szCs w:val="20"/>
                <w:color w:val="auto"/>
              </w:rPr>
            </w:pPr>
            <w:r>
              <w:rPr>
                <w:rFonts w:ascii="Arial" w:cs="Arial" w:eastAsia="Arial" w:hAnsi="Arial"/>
                <w:sz w:val="18"/>
                <w:szCs w:val="18"/>
                <w:color w:val="auto"/>
              </w:rPr>
              <w:t>Net change in value</w:t>
            </w:r>
          </w:p>
        </w:tc>
        <w:tc>
          <w:tcPr>
            <w:tcW w:w="2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 before tax</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5620" w:type="dxa"/>
            <w:vAlign w:val="bottom"/>
            <w:gridSpan w:val="2"/>
          </w:tcPr>
          <w:p>
            <w:pPr>
              <w:ind w:left="260"/>
              <w:spacing w:after="0"/>
              <w:rPr>
                <w:sz w:val="20"/>
                <w:szCs w:val="20"/>
                <w:color w:val="auto"/>
              </w:rPr>
            </w:pPr>
            <w:r>
              <w:rPr>
                <w:rFonts w:ascii="Arial" w:cs="Arial" w:eastAsia="Arial" w:hAnsi="Arial"/>
                <w:sz w:val="18"/>
                <w:szCs w:val="18"/>
                <w:color w:val="auto"/>
              </w:rPr>
              <w:t>Reversal of non-cash tax provision</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w w:val="94"/>
              </w:rPr>
              <w:t>See accompanying notes to condensed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gridSpan w:val="2"/>
            <w:vMerge w:val="continue"/>
          </w:tcPr>
          <w:p>
            <w:pPr>
              <w:spacing w:after="0"/>
              <w:rPr>
                <w:sz w:val="17"/>
                <w:szCs w:val="17"/>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rPr>
              <w:t>7</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12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shares and per share amounts)(Unaudited)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2"/>
          </w:tcPr>
          <w:p>
            <w:pPr>
              <w:ind w:left="200"/>
              <w:spacing w:after="0"/>
              <w:rPr>
                <w:sz w:val="20"/>
                <w:szCs w:val="20"/>
                <w:color w:val="auto"/>
              </w:rPr>
            </w:pPr>
            <w:r>
              <w:rPr>
                <w:rFonts w:ascii="Arial" w:cs="Arial" w:eastAsia="Arial" w:hAnsi="Arial"/>
                <w:sz w:val="14"/>
                <w:szCs w:val="14"/>
                <w:color w:val="auto"/>
              </w:rPr>
              <w:t>June 30, 2014</w:t>
            </w:r>
          </w:p>
        </w:tc>
        <w:tc>
          <w:tcPr>
            <w:tcW w:w="180" w:type="dxa"/>
            <w:vAlign w:val="bottom"/>
          </w:tcPr>
          <w:p>
            <w:pPr>
              <w:spacing w:after="0"/>
              <w:rPr>
                <w:sz w:val="15"/>
                <w:szCs w:val="15"/>
                <w:color w:val="auto"/>
              </w:rPr>
            </w:pPr>
          </w:p>
        </w:tc>
        <w:tc>
          <w:tcPr>
            <w:tcW w:w="1500" w:type="dxa"/>
            <w:vAlign w:val="bottom"/>
          </w:tcPr>
          <w:p>
            <w:pPr>
              <w:jc w:val="right"/>
              <w:ind w:right="230"/>
              <w:spacing w:after="0"/>
              <w:rPr>
                <w:sz w:val="20"/>
                <w:szCs w:val="20"/>
                <w:color w:val="auto"/>
              </w:rPr>
            </w:pPr>
            <w:r>
              <w:rPr>
                <w:rFonts w:ascii="Arial" w:cs="Arial" w:eastAsia="Arial" w:hAnsi="Arial"/>
                <w:sz w:val="14"/>
                <w:szCs w:val="14"/>
                <w:color w:val="auto"/>
                <w:w w:val="95"/>
              </w:rPr>
              <w:t>December 31, 2013</w:t>
            </w:r>
          </w:p>
        </w:tc>
        <w:tc>
          <w:tcPr>
            <w:tcW w:w="0" w:type="dxa"/>
            <w:vAlign w:val="bottom"/>
          </w:tcPr>
          <w:p>
            <w:pPr>
              <w:spacing w:after="0"/>
              <w:rPr>
                <w:sz w:val="1"/>
                <w:szCs w:val="1"/>
                <w:color w:val="auto"/>
              </w:rPr>
            </w:pPr>
          </w:p>
        </w:tc>
      </w:tr>
      <w:tr>
        <w:trPr>
          <w:trHeight w:val="177"/>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ASSETS</w:t>
            </w:r>
          </w:p>
        </w:tc>
        <w:tc>
          <w:tcPr>
            <w:tcW w:w="2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Current assets</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280"/>
              <w:spacing w:after="0"/>
              <w:rPr>
                <w:sz w:val="20"/>
                <w:szCs w:val="20"/>
                <w:color w:val="auto"/>
              </w:rPr>
            </w:pPr>
            <w:r>
              <w:rPr>
                <w:rFonts w:ascii="Arial" w:cs="Arial" w:eastAsia="Arial" w:hAnsi="Arial"/>
                <w:sz w:val="14"/>
                <w:szCs w:val="14"/>
                <w:color w:val="auto"/>
              </w:rPr>
              <w:t>Cash</w:t>
            </w:r>
          </w:p>
        </w:tc>
        <w:tc>
          <w:tcPr>
            <w:tcW w:w="280" w:type="dxa"/>
            <w:vAlign w:val="bottom"/>
            <w:vMerge w:val="restart"/>
          </w:tcPr>
          <w:p>
            <w:pPr>
              <w:jc w:val="right"/>
              <w:ind w:right="110"/>
              <w:spacing w:after="0"/>
              <w:rPr>
                <w:sz w:val="20"/>
                <w:szCs w:val="20"/>
                <w:color w:val="auto"/>
              </w:rPr>
            </w:pPr>
            <w:r>
              <w:rPr>
                <w:rFonts w:ascii="Arial" w:cs="Arial" w:eastAsia="Arial" w:hAnsi="Arial"/>
                <w:sz w:val="14"/>
                <w:szCs w:val="14"/>
                <w:color w:val="auto"/>
              </w:rPr>
              <w:t>$</w:t>
            </w:r>
          </w:p>
        </w:tc>
        <w:tc>
          <w:tcPr>
            <w:tcW w:w="1440" w:type="dxa"/>
            <w:vAlign w:val="bottom"/>
            <w:vMerge w:val="restart"/>
          </w:tcPr>
          <w:p>
            <w:pPr>
              <w:jc w:val="right"/>
              <w:ind w:right="50"/>
              <w:spacing w:after="0"/>
              <w:rPr>
                <w:sz w:val="20"/>
                <w:szCs w:val="20"/>
                <w:color w:val="auto"/>
              </w:rPr>
            </w:pPr>
            <w:r>
              <w:rPr>
                <w:rFonts w:ascii="Arial" w:cs="Arial" w:eastAsia="Arial" w:hAnsi="Arial"/>
                <w:sz w:val="14"/>
                <w:szCs w:val="14"/>
                <w:color w:val="auto"/>
              </w:rPr>
              <w:t>1,210</w:t>
            </w:r>
          </w:p>
        </w:tc>
        <w:tc>
          <w:tcPr>
            <w:tcW w:w="120" w:type="dxa"/>
            <w:vAlign w:val="bottom"/>
          </w:tcPr>
          <w:p>
            <w:pPr>
              <w:spacing w:after="0"/>
              <w:rPr>
                <w:sz w:val="16"/>
                <w:szCs w:val="16"/>
                <w:color w:val="auto"/>
              </w:rPr>
            </w:pPr>
          </w:p>
        </w:tc>
        <w:tc>
          <w:tcPr>
            <w:tcW w:w="180" w:type="dxa"/>
            <w:vAlign w:val="bottom"/>
            <w:vMerge w:val="restart"/>
          </w:tcPr>
          <w:p>
            <w:pPr>
              <w:jc w:val="right"/>
              <w:ind w:right="30"/>
              <w:spacing w:after="0"/>
              <w:rPr>
                <w:sz w:val="20"/>
                <w:szCs w:val="20"/>
                <w:color w:val="auto"/>
              </w:rPr>
            </w:pPr>
            <w:r>
              <w:rPr>
                <w:rFonts w:ascii="Arial" w:cs="Arial" w:eastAsia="Arial" w:hAnsi="Arial"/>
                <w:sz w:val="14"/>
                <w:szCs w:val="14"/>
                <w:color w:val="auto"/>
                <w:w w:val="76"/>
              </w:rPr>
              <w:t>$</w:t>
            </w:r>
          </w:p>
        </w:tc>
        <w:tc>
          <w:tcPr>
            <w:tcW w:w="1500" w:type="dxa"/>
            <w:vAlign w:val="bottom"/>
            <w:vMerge w:val="restart"/>
          </w:tcPr>
          <w:p>
            <w:pPr>
              <w:jc w:val="right"/>
              <w:ind w:right="30"/>
              <w:spacing w:after="0"/>
              <w:rPr>
                <w:sz w:val="20"/>
                <w:szCs w:val="20"/>
                <w:color w:val="auto"/>
              </w:rPr>
            </w:pPr>
            <w:r>
              <w:rPr>
                <w:rFonts w:ascii="Arial" w:cs="Arial" w:eastAsia="Arial" w:hAnsi="Arial"/>
                <w:sz w:val="14"/>
                <w:szCs w:val="14"/>
                <w:color w:val="auto"/>
              </w:rPr>
              <w:t>1,140</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Short-term investments</w:t>
            </w:r>
          </w:p>
        </w:tc>
        <w:tc>
          <w:tcPr>
            <w:tcW w:w="28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8,249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8,111</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280"/>
              <w:spacing w:after="0"/>
              <w:rPr>
                <w:sz w:val="20"/>
                <w:szCs w:val="20"/>
                <w:color w:val="auto"/>
              </w:rPr>
            </w:pPr>
            <w:r>
              <w:rPr>
                <w:rFonts w:ascii="Arial" w:cs="Arial" w:eastAsia="Arial" w:hAnsi="Arial"/>
                <w:sz w:val="14"/>
                <w:szCs w:val="14"/>
                <w:color w:val="auto"/>
              </w:rPr>
              <w:t>Restricted cash and short-term investments</w:t>
            </w:r>
          </w:p>
        </w:tc>
        <w:tc>
          <w:tcPr>
            <w:tcW w:w="280" w:type="dxa"/>
            <w:vAlign w:val="bottom"/>
          </w:tcPr>
          <w:p>
            <w:pPr>
              <w:spacing w:after="0"/>
              <w:rPr>
                <w:sz w:val="16"/>
                <w:szCs w:val="16"/>
                <w:color w:val="auto"/>
              </w:rPr>
            </w:pPr>
          </w:p>
        </w:tc>
        <w:tc>
          <w:tcPr>
            <w:tcW w:w="1440" w:type="dxa"/>
            <w:vAlign w:val="bottom"/>
            <w:vMerge w:val="restart"/>
          </w:tcPr>
          <w:p>
            <w:pPr>
              <w:jc w:val="right"/>
              <w:ind w:right="50"/>
              <w:spacing w:after="0"/>
              <w:rPr>
                <w:sz w:val="20"/>
                <w:szCs w:val="20"/>
                <w:color w:val="auto"/>
              </w:rPr>
            </w:pPr>
            <w:r>
              <w:rPr>
                <w:rFonts w:ascii="Arial" w:cs="Arial" w:eastAsia="Arial" w:hAnsi="Arial"/>
                <w:sz w:val="14"/>
                <w:szCs w:val="14"/>
                <w:color w:val="auto"/>
              </w:rPr>
              <w:t>882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30"/>
              <w:spacing w:after="0"/>
              <w:rPr>
                <w:sz w:val="20"/>
                <w:szCs w:val="20"/>
                <w:color w:val="auto"/>
              </w:rPr>
            </w:pPr>
            <w:r>
              <w:rPr>
                <w:rFonts w:ascii="Arial" w:cs="Arial" w:eastAsia="Arial" w:hAnsi="Arial"/>
                <w:sz w:val="14"/>
                <w:szCs w:val="14"/>
                <w:color w:val="auto"/>
              </w:rPr>
              <w:t>1,035</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w:t>
            </w:r>
          </w:p>
        </w:tc>
        <w:tc>
          <w:tcPr>
            <w:tcW w:w="28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1,981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1,560</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280"/>
              <w:spacing w:after="0"/>
              <w:rPr>
                <w:sz w:val="20"/>
                <w:szCs w:val="20"/>
                <w:color w:val="auto"/>
              </w:rPr>
            </w:pPr>
            <w:r>
              <w:rPr>
                <w:rFonts w:ascii="Arial" w:cs="Arial" w:eastAsia="Arial" w:hAnsi="Arial"/>
                <w:sz w:val="14"/>
                <w:szCs w:val="14"/>
                <w:color w:val="auto"/>
              </w:rPr>
              <w:t>Aircraft fuel, spare parts and supplies, net</w:t>
            </w:r>
          </w:p>
        </w:tc>
        <w:tc>
          <w:tcPr>
            <w:tcW w:w="280" w:type="dxa"/>
            <w:vAlign w:val="bottom"/>
          </w:tcPr>
          <w:p>
            <w:pPr>
              <w:spacing w:after="0"/>
              <w:rPr>
                <w:sz w:val="16"/>
                <w:szCs w:val="16"/>
                <w:color w:val="auto"/>
              </w:rPr>
            </w:pPr>
          </w:p>
        </w:tc>
        <w:tc>
          <w:tcPr>
            <w:tcW w:w="1440" w:type="dxa"/>
            <w:vAlign w:val="bottom"/>
            <w:vMerge w:val="restart"/>
          </w:tcPr>
          <w:p>
            <w:pPr>
              <w:jc w:val="right"/>
              <w:ind w:right="50"/>
              <w:spacing w:after="0"/>
              <w:rPr>
                <w:sz w:val="20"/>
                <w:szCs w:val="20"/>
                <w:color w:val="auto"/>
              </w:rPr>
            </w:pPr>
            <w:r>
              <w:rPr>
                <w:rFonts w:ascii="Arial" w:cs="Arial" w:eastAsia="Arial" w:hAnsi="Arial"/>
                <w:sz w:val="14"/>
                <w:szCs w:val="14"/>
                <w:color w:val="auto"/>
              </w:rPr>
              <w:t>1,093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30"/>
              <w:spacing w:after="0"/>
              <w:rPr>
                <w:sz w:val="20"/>
                <w:szCs w:val="20"/>
                <w:color w:val="auto"/>
              </w:rPr>
            </w:pPr>
            <w:r>
              <w:rPr>
                <w:rFonts w:ascii="Arial" w:cs="Arial" w:eastAsia="Arial" w:hAnsi="Arial"/>
                <w:sz w:val="14"/>
                <w:szCs w:val="14"/>
                <w:color w:val="auto"/>
              </w:rPr>
              <w:t>1,012</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w:t>
            </w:r>
          </w:p>
        </w:tc>
        <w:tc>
          <w:tcPr>
            <w:tcW w:w="28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1,551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900" w:type="dxa"/>
            <w:vAlign w:val="bottom"/>
          </w:tcPr>
          <w:p>
            <w:pPr>
              <w:ind w:left="500"/>
              <w:spacing w:after="0"/>
              <w:rPr>
                <w:sz w:val="20"/>
                <w:szCs w:val="20"/>
                <w:color w:val="auto"/>
              </w:rPr>
            </w:pPr>
            <w:r>
              <w:rPr>
                <w:rFonts w:ascii="Arial" w:cs="Arial" w:eastAsia="Arial" w:hAnsi="Arial"/>
                <w:sz w:val="14"/>
                <w:szCs w:val="14"/>
                <w:color w:val="auto"/>
              </w:rPr>
              <w:t>Total current assets</w:t>
            </w:r>
          </w:p>
        </w:tc>
        <w:tc>
          <w:tcPr>
            <w:tcW w:w="280" w:type="dxa"/>
            <w:vAlign w:val="bottom"/>
          </w:tcPr>
          <w:p>
            <w:pPr>
              <w:spacing w:after="0"/>
              <w:rPr>
                <w:sz w:val="14"/>
                <w:szCs w:val="14"/>
                <w:color w:val="auto"/>
              </w:rPr>
            </w:pPr>
          </w:p>
        </w:tc>
        <w:tc>
          <w:tcPr>
            <w:tcW w:w="1440" w:type="dxa"/>
            <w:vAlign w:val="bottom"/>
            <w:vMerge w:val="restart"/>
          </w:tcPr>
          <w:p>
            <w:pPr>
              <w:jc w:val="right"/>
              <w:ind w:right="50"/>
              <w:spacing w:after="0"/>
              <w:rPr>
                <w:sz w:val="20"/>
                <w:szCs w:val="20"/>
                <w:color w:val="auto"/>
              </w:rPr>
            </w:pPr>
            <w:r>
              <w:rPr>
                <w:rFonts w:ascii="Arial" w:cs="Arial" w:eastAsia="Arial" w:hAnsi="Arial"/>
                <w:sz w:val="14"/>
                <w:szCs w:val="14"/>
                <w:color w:val="auto"/>
              </w:rPr>
              <w:t>14,966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restart"/>
          </w:tcPr>
          <w:p>
            <w:pPr>
              <w:jc w:val="right"/>
              <w:ind w:right="30"/>
              <w:spacing w:after="0"/>
              <w:rPr>
                <w:sz w:val="20"/>
                <w:szCs w:val="20"/>
                <w:color w:val="auto"/>
              </w:rPr>
            </w:pPr>
            <w:r>
              <w:rPr>
                <w:rFonts w:ascii="Arial" w:cs="Arial" w:eastAsia="Arial" w:hAnsi="Arial"/>
                <w:sz w:val="14"/>
                <w:szCs w:val="14"/>
                <w:color w:val="auto"/>
              </w:rPr>
              <w:t>14,323</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property and equipment</w:t>
            </w: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280"/>
              <w:spacing w:after="0"/>
              <w:rPr>
                <w:sz w:val="20"/>
                <w:szCs w:val="20"/>
                <w:color w:val="auto"/>
              </w:rPr>
            </w:pPr>
            <w:r>
              <w:rPr>
                <w:rFonts w:ascii="Arial" w:cs="Arial" w:eastAsia="Arial" w:hAnsi="Arial"/>
                <w:sz w:val="14"/>
                <w:szCs w:val="14"/>
                <w:color w:val="auto"/>
              </w:rPr>
              <w:t>Flight equipment</w:t>
            </w:r>
          </w:p>
        </w:tc>
        <w:tc>
          <w:tcPr>
            <w:tcW w:w="280" w:type="dxa"/>
            <w:vAlign w:val="bottom"/>
          </w:tcPr>
          <w:p>
            <w:pPr>
              <w:spacing w:after="0"/>
              <w:rPr>
                <w:sz w:val="16"/>
                <w:szCs w:val="16"/>
                <w:color w:val="auto"/>
              </w:rPr>
            </w:pPr>
          </w:p>
        </w:tc>
        <w:tc>
          <w:tcPr>
            <w:tcW w:w="1440" w:type="dxa"/>
            <w:vAlign w:val="bottom"/>
            <w:vMerge w:val="restart"/>
          </w:tcPr>
          <w:p>
            <w:pPr>
              <w:jc w:val="right"/>
              <w:ind w:right="50"/>
              <w:spacing w:after="0"/>
              <w:rPr>
                <w:sz w:val="20"/>
                <w:szCs w:val="20"/>
                <w:color w:val="auto"/>
              </w:rPr>
            </w:pPr>
            <w:r>
              <w:rPr>
                <w:rFonts w:ascii="Arial" w:cs="Arial" w:eastAsia="Arial" w:hAnsi="Arial"/>
                <w:sz w:val="14"/>
                <w:szCs w:val="14"/>
                <w:color w:val="auto"/>
              </w:rPr>
              <w:t>26,113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30"/>
              <w:spacing w:after="0"/>
              <w:rPr>
                <w:sz w:val="20"/>
                <w:szCs w:val="20"/>
                <w:color w:val="auto"/>
              </w:rPr>
            </w:pPr>
            <w:r>
              <w:rPr>
                <w:rFonts w:ascii="Arial" w:cs="Arial" w:eastAsia="Arial" w:hAnsi="Arial"/>
                <w:sz w:val="14"/>
                <w:szCs w:val="14"/>
                <w:color w:val="auto"/>
              </w:rPr>
              <w:t>23,730</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Ground property and equipment</w:t>
            </w:r>
          </w:p>
        </w:tc>
        <w:tc>
          <w:tcPr>
            <w:tcW w:w="28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5,712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5,585</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280"/>
              <w:spacing w:after="0"/>
              <w:rPr>
                <w:sz w:val="20"/>
                <w:szCs w:val="20"/>
                <w:color w:val="auto"/>
              </w:rPr>
            </w:pPr>
            <w:r>
              <w:rPr>
                <w:rFonts w:ascii="Arial" w:cs="Arial" w:eastAsia="Arial" w:hAnsi="Arial"/>
                <w:sz w:val="14"/>
                <w:szCs w:val="14"/>
                <w:color w:val="auto"/>
              </w:rPr>
              <w:t>Equipment purchase deposits</w:t>
            </w:r>
          </w:p>
        </w:tc>
        <w:tc>
          <w:tcPr>
            <w:tcW w:w="280" w:type="dxa"/>
            <w:vAlign w:val="bottom"/>
          </w:tcPr>
          <w:p>
            <w:pPr>
              <w:spacing w:after="0"/>
              <w:rPr>
                <w:sz w:val="16"/>
                <w:szCs w:val="16"/>
                <w:color w:val="auto"/>
              </w:rPr>
            </w:pPr>
          </w:p>
        </w:tc>
        <w:tc>
          <w:tcPr>
            <w:tcW w:w="1440" w:type="dxa"/>
            <w:vAlign w:val="bottom"/>
            <w:vMerge w:val="restart"/>
          </w:tcPr>
          <w:p>
            <w:pPr>
              <w:jc w:val="right"/>
              <w:ind w:right="50"/>
              <w:spacing w:after="0"/>
              <w:rPr>
                <w:sz w:val="20"/>
                <w:szCs w:val="20"/>
                <w:color w:val="auto"/>
              </w:rPr>
            </w:pPr>
            <w:r>
              <w:rPr>
                <w:rFonts w:ascii="Arial" w:cs="Arial" w:eastAsia="Arial" w:hAnsi="Arial"/>
                <w:sz w:val="14"/>
                <w:szCs w:val="14"/>
                <w:color w:val="auto"/>
              </w:rPr>
              <w:t>1,043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30"/>
              <w:spacing w:after="0"/>
              <w:rPr>
                <w:sz w:val="20"/>
                <w:szCs w:val="20"/>
                <w:color w:val="auto"/>
              </w:rPr>
            </w:pPr>
            <w:r>
              <w:rPr>
                <w:rFonts w:ascii="Arial" w:cs="Arial" w:eastAsia="Arial" w:hAnsi="Arial"/>
                <w:sz w:val="14"/>
                <w:szCs w:val="14"/>
                <w:color w:val="auto"/>
              </w:rPr>
              <w:t>1,077</w:t>
            </w:r>
          </w:p>
        </w:tc>
        <w:tc>
          <w:tcPr>
            <w:tcW w:w="0" w:type="dxa"/>
            <w:vAlign w:val="bottom"/>
          </w:tcPr>
          <w:p>
            <w:pPr>
              <w:spacing w:after="0"/>
              <w:rPr>
                <w:sz w:val="1"/>
                <w:szCs w:val="1"/>
                <w:color w:val="auto"/>
              </w:rPr>
            </w:pPr>
          </w:p>
        </w:tc>
      </w:tr>
      <w:tr>
        <w:trPr>
          <w:trHeight w:val="74"/>
        </w:trPr>
        <w:tc>
          <w:tcPr>
            <w:tcW w:w="79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property and equipment, at cost</w:t>
            </w:r>
          </w:p>
        </w:tc>
        <w:tc>
          <w:tcPr>
            <w:tcW w:w="28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32,868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30,392</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280"/>
              <w:spacing w:after="0"/>
              <w:rPr>
                <w:sz w:val="20"/>
                <w:szCs w:val="20"/>
                <w:color w:val="auto"/>
              </w:rPr>
            </w:pPr>
            <w:r>
              <w:rPr>
                <w:rFonts w:ascii="Arial" w:cs="Arial" w:eastAsia="Arial" w:hAnsi="Arial"/>
                <w:sz w:val="14"/>
                <w:szCs w:val="14"/>
                <w:color w:val="auto"/>
              </w:rPr>
              <w:t>Less accumulated depreciation and amortization</w:t>
            </w:r>
          </w:p>
        </w:tc>
        <w:tc>
          <w:tcPr>
            <w:tcW w:w="280" w:type="dxa"/>
            <w:vAlign w:val="bottom"/>
          </w:tcPr>
          <w:p>
            <w:pPr>
              <w:spacing w:after="0"/>
              <w:rPr>
                <w:sz w:val="16"/>
                <w:szCs w:val="16"/>
                <w:color w:val="auto"/>
              </w:rPr>
            </w:pPr>
          </w:p>
        </w:tc>
        <w:tc>
          <w:tcPr>
            <w:tcW w:w="1440" w:type="dxa"/>
            <w:vAlign w:val="bottom"/>
            <w:vMerge w:val="restart"/>
          </w:tcPr>
          <w:p>
            <w:pPr>
              <w:jc w:val="right"/>
              <w:ind w:right="10"/>
              <w:spacing w:after="0"/>
              <w:rPr>
                <w:sz w:val="20"/>
                <w:szCs w:val="20"/>
                <w:color w:val="auto"/>
              </w:rPr>
            </w:pPr>
            <w:r>
              <w:rPr>
                <w:rFonts w:ascii="Arial" w:cs="Arial" w:eastAsia="Arial" w:hAnsi="Arial"/>
                <w:sz w:val="14"/>
                <w:szCs w:val="14"/>
                <w:color w:val="auto"/>
              </w:rPr>
              <w:t>(11,632)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(11,133)</w:t>
            </w:r>
          </w:p>
        </w:tc>
        <w:tc>
          <w:tcPr>
            <w:tcW w:w="0" w:type="dxa"/>
            <w:vAlign w:val="bottom"/>
          </w:tcPr>
          <w:p>
            <w:pPr>
              <w:spacing w:after="0"/>
              <w:rPr>
                <w:sz w:val="1"/>
                <w:szCs w:val="1"/>
                <w:color w:val="auto"/>
              </w:rPr>
            </w:pPr>
          </w:p>
        </w:tc>
      </w:tr>
      <w:tr>
        <w:trPr>
          <w:trHeight w:val="74"/>
        </w:trPr>
        <w:tc>
          <w:tcPr>
            <w:tcW w:w="79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property and equipment, net</w:t>
            </w:r>
          </w:p>
        </w:tc>
        <w:tc>
          <w:tcPr>
            <w:tcW w:w="28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21,236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19,259</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40"/>
              <w:spacing w:after="0"/>
              <w:rPr>
                <w:sz w:val="20"/>
                <w:szCs w:val="20"/>
                <w:color w:val="auto"/>
              </w:rPr>
            </w:pPr>
            <w:r>
              <w:rPr>
                <w:rFonts w:ascii="Arial" w:cs="Arial" w:eastAsia="Arial" w:hAnsi="Arial"/>
                <w:sz w:val="14"/>
                <w:szCs w:val="14"/>
                <w:b w:val="1"/>
                <w:bCs w:val="1"/>
                <w:color w:val="auto"/>
              </w:rPr>
              <w:t>Other assets</w:t>
            </w: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Goodwill</w:t>
            </w:r>
          </w:p>
        </w:tc>
        <w:tc>
          <w:tcPr>
            <w:tcW w:w="280" w:type="dxa"/>
            <w:vAlign w:val="bottom"/>
            <w:shd w:val="clear" w:color="auto" w:fill="CCEEFF"/>
          </w:tcPr>
          <w:p>
            <w:pPr>
              <w:spacing w:after="0"/>
              <w:rPr>
                <w:sz w:val="16"/>
                <w:szCs w:val="16"/>
                <w:color w:val="auto"/>
              </w:rPr>
            </w:pPr>
          </w:p>
        </w:tc>
        <w:tc>
          <w:tcPr>
            <w:tcW w:w="14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4,089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4,086</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280"/>
              <w:spacing w:after="0"/>
              <w:rPr>
                <w:sz w:val="20"/>
                <w:szCs w:val="20"/>
                <w:color w:val="auto"/>
              </w:rPr>
            </w:pPr>
            <w:r>
              <w:rPr>
                <w:rFonts w:ascii="Arial" w:cs="Arial" w:eastAsia="Arial" w:hAnsi="Arial"/>
                <w:sz w:val="14"/>
                <w:szCs w:val="14"/>
                <w:color w:val="auto"/>
              </w:rPr>
              <w:t>Intangibles, net of accumulated amortization of $419 and $373, respectively</w:t>
            </w:r>
          </w:p>
        </w:tc>
        <w:tc>
          <w:tcPr>
            <w:tcW w:w="280" w:type="dxa"/>
            <w:vAlign w:val="bottom"/>
          </w:tcPr>
          <w:p>
            <w:pPr>
              <w:spacing w:after="0"/>
              <w:rPr>
                <w:sz w:val="16"/>
                <w:szCs w:val="16"/>
                <w:color w:val="auto"/>
              </w:rPr>
            </w:pPr>
          </w:p>
        </w:tc>
        <w:tc>
          <w:tcPr>
            <w:tcW w:w="1440" w:type="dxa"/>
            <w:vAlign w:val="bottom"/>
            <w:vMerge w:val="restart"/>
          </w:tcPr>
          <w:p>
            <w:pPr>
              <w:jc w:val="right"/>
              <w:ind w:right="50"/>
              <w:spacing w:after="0"/>
              <w:rPr>
                <w:sz w:val="20"/>
                <w:szCs w:val="20"/>
                <w:color w:val="auto"/>
              </w:rPr>
            </w:pPr>
            <w:r>
              <w:rPr>
                <w:rFonts w:ascii="Arial" w:cs="Arial" w:eastAsia="Arial" w:hAnsi="Arial"/>
                <w:sz w:val="14"/>
                <w:szCs w:val="14"/>
                <w:color w:val="auto"/>
              </w:rPr>
              <w:t>2,330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30"/>
              <w:spacing w:after="0"/>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assets</w:t>
            </w:r>
          </w:p>
        </w:tc>
        <w:tc>
          <w:tcPr>
            <w:tcW w:w="28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2,190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2,299</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900" w:type="dxa"/>
            <w:vAlign w:val="bottom"/>
          </w:tcPr>
          <w:p>
            <w:pPr>
              <w:ind w:left="500"/>
              <w:spacing w:after="0"/>
              <w:rPr>
                <w:sz w:val="20"/>
                <w:szCs w:val="20"/>
                <w:color w:val="auto"/>
              </w:rPr>
            </w:pPr>
            <w:r>
              <w:rPr>
                <w:rFonts w:ascii="Arial" w:cs="Arial" w:eastAsia="Arial" w:hAnsi="Arial"/>
                <w:sz w:val="14"/>
                <w:szCs w:val="14"/>
                <w:color w:val="auto"/>
              </w:rPr>
              <w:t>Total other assets</w:t>
            </w:r>
          </w:p>
        </w:tc>
        <w:tc>
          <w:tcPr>
            <w:tcW w:w="280" w:type="dxa"/>
            <w:vAlign w:val="bottom"/>
          </w:tcPr>
          <w:p>
            <w:pPr>
              <w:spacing w:after="0"/>
              <w:rPr>
                <w:sz w:val="14"/>
                <w:szCs w:val="14"/>
                <w:color w:val="auto"/>
              </w:rPr>
            </w:pPr>
          </w:p>
        </w:tc>
        <w:tc>
          <w:tcPr>
            <w:tcW w:w="1440" w:type="dxa"/>
            <w:vAlign w:val="bottom"/>
            <w:vMerge w:val="restart"/>
          </w:tcPr>
          <w:p>
            <w:pPr>
              <w:jc w:val="right"/>
              <w:ind w:right="50"/>
              <w:spacing w:after="0"/>
              <w:rPr>
                <w:sz w:val="20"/>
                <w:szCs w:val="20"/>
                <w:color w:val="auto"/>
              </w:rPr>
            </w:pPr>
            <w:r>
              <w:rPr>
                <w:rFonts w:ascii="Arial" w:cs="Arial" w:eastAsia="Arial" w:hAnsi="Arial"/>
                <w:sz w:val="14"/>
                <w:szCs w:val="14"/>
                <w:color w:val="auto"/>
              </w:rPr>
              <w:t>8,609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restart"/>
          </w:tcPr>
          <w:p>
            <w:pPr>
              <w:jc w:val="right"/>
              <w:ind w:right="30"/>
              <w:spacing w:after="0"/>
              <w:rPr>
                <w:sz w:val="20"/>
                <w:szCs w:val="20"/>
                <w:color w:val="auto"/>
              </w:rPr>
            </w:pPr>
            <w:r>
              <w:rPr>
                <w:rFonts w:ascii="Arial" w:cs="Arial" w:eastAsia="Arial" w:hAnsi="Arial"/>
                <w:sz w:val="14"/>
                <w:szCs w:val="14"/>
                <w:color w:val="auto"/>
              </w:rPr>
              <w:t>8,696</w:t>
            </w:r>
          </w:p>
        </w:tc>
        <w:tc>
          <w:tcPr>
            <w:tcW w:w="0" w:type="dxa"/>
            <w:vAlign w:val="bottom"/>
          </w:tcPr>
          <w:p>
            <w:pPr>
              <w:spacing w:after="0"/>
              <w:rPr>
                <w:sz w:val="1"/>
                <w:szCs w:val="1"/>
                <w:color w:val="auto"/>
              </w:rPr>
            </w:pPr>
          </w:p>
        </w:tc>
      </w:tr>
      <w:tr>
        <w:trPr>
          <w:trHeight w:val="74"/>
        </w:trPr>
        <w:tc>
          <w:tcPr>
            <w:tcW w:w="79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720"/>
              <w:spacing w:after="0"/>
              <w:rPr>
                <w:sz w:val="20"/>
                <w:szCs w:val="20"/>
                <w:color w:val="auto"/>
              </w:rPr>
            </w:pPr>
            <w:r>
              <w:rPr>
                <w:rFonts w:ascii="Arial" w:cs="Arial" w:eastAsia="Arial" w:hAnsi="Arial"/>
                <w:sz w:val="14"/>
                <w:szCs w:val="14"/>
                <w:b w:val="1"/>
                <w:bCs w:val="1"/>
                <w:color w:val="auto"/>
              </w:rPr>
              <w:t>Total assets</w:t>
            </w:r>
          </w:p>
        </w:tc>
        <w:tc>
          <w:tcPr>
            <w:tcW w:w="280" w:type="dxa"/>
            <w:vAlign w:val="bottom"/>
            <w:vMerge w:val="restart"/>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4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44,811</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5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42,278</w:t>
            </w:r>
          </w:p>
        </w:tc>
        <w:tc>
          <w:tcPr>
            <w:tcW w:w="0" w:type="dxa"/>
            <w:vAlign w:val="bottom"/>
          </w:tcPr>
          <w:p>
            <w:pPr>
              <w:spacing w:after="0"/>
              <w:rPr>
                <w:sz w:val="1"/>
                <w:szCs w:val="1"/>
                <w:color w:val="auto"/>
              </w:rPr>
            </w:pPr>
          </w:p>
        </w:tc>
      </w:tr>
      <w:tr>
        <w:trPr>
          <w:trHeight w:val="60"/>
        </w:trPr>
        <w:tc>
          <w:tcPr>
            <w:tcW w:w="790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14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15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 (DEFICIT)</w:t>
            </w: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9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7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Current liabilities</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280"/>
              <w:spacing w:after="0"/>
              <w:rPr>
                <w:sz w:val="20"/>
                <w:szCs w:val="20"/>
                <w:color w:val="auto"/>
              </w:rPr>
            </w:pPr>
            <w:r>
              <w:rPr>
                <w:rFonts w:ascii="Arial" w:cs="Arial" w:eastAsia="Arial" w:hAnsi="Arial"/>
                <w:sz w:val="14"/>
                <w:szCs w:val="14"/>
                <w:color w:val="auto"/>
              </w:rPr>
              <w:t>Current maturities of long-term debt and capital leases</w:t>
            </w:r>
          </w:p>
        </w:tc>
        <w:tc>
          <w:tcPr>
            <w:tcW w:w="280" w:type="dxa"/>
            <w:vAlign w:val="bottom"/>
            <w:vMerge w:val="restart"/>
          </w:tcPr>
          <w:p>
            <w:pPr>
              <w:jc w:val="right"/>
              <w:ind w:right="110"/>
              <w:spacing w:after="0"/>
              <w:rPr>
                <w:sz w:val="20"/>
                <w:szCs w:val="20"/>
                <w:color w:val="auto"/>
              </w:rPr>
            </w:pPr>
            <w:r>
              <w:rPr>
                <w:rFonts w:ascii="Arial" w:cs="Arial" w:eastAsia="Arial" w:hAnsi="Arial"/>
                <w:sz w:val="14"/>
                <w:szCs w:val="14"/>
                <w:color w:val="auto"/>
              </w:rPr>
              <w:t>$</w:t>
            </w:r>
          </w:p>
        </w:tc>
        <w:tc>
          <w:tcPr>
            <w:tcW w:w="1440" w:type="dxa"/>
            <w:vAlign w:val="bottom"/>
            <w:vMerge w:val="restart"/>
          </w:tcPr>
          <w:p>
            <w:pPr>
              <w:jc w:val="right"/>
              <w:ind w:right="50"/>
              <w:spacing w:after="0"/>
              <w:rPr>
                <w:sz w:val="20"/>
                <w:szCs w:val="20"/>
                <w:color w:val="auto"/>
              </w:rPr>
            </w:pPr>
            <w:r>
              <w:rPr>
                <w:rFonts w:ascii="Arial" w:cs="Arial" w:eastAsia="Arial" w:hAnsi="Arial"/>
                <w:sz w:val="14"/>
                <w:szCs w:val="14"/>
                <w:color w:val="auto"/>
              </w:rPr>
              <w:t>1,523</w:t>
            </w:r>
          </w:p>
        </w:tc>
        <w:tc>
          <w:tcPr>
            <w:tcW w:w="120" w:type="dxa"/>
            <w:vAlign w:val="bottom"/>
          </w:tcPr>
          <w:p>
            <w:pPr>
              <w:spacing w:after="0"/>
              <w:rPr>
                <w:sz w:val="16"/>
                <w:szCs w:val="16"/>
                <w:color w:val="auto"/>
              </w:rPr>
            </w:pPr>
          </w:p>
        </w:tc>
        <w:tc>
          <w:tcPr>
            <w:tcW w:w="180" w:type="dxa"/>
            <w:vAlign w:val="bottom"/>
            <w:vMerge w:val="restart"/>
          </w:tcPr>
          <w:p>
            <w:pPr>
              <w:jc w:val="right"/>
              <w:ind w:right="30"/>
              <w:spacing w:after="0"/>
              <w:rPr>
                <w:sz w:val="20"/>
                <w:szCs w:val="20"/>
                <w:color w:val="auto"/>
              </w:rPr>
            </w:pPr>
            <w:r>
              <w:rPr>
                <w:rFonts w:ascii="Arial" w:cs="Arial" w:eastAsia="Arial" w:hAnsi="Arial"/>
                <w:sz w:val="14"/>
                <w:szCs w:val="14"/>
                <w:color w:val="auto"/>
                <w:w w:val="76"/>
              </w:rPr>
              <w:t>$</w:t>
            </w:r>
          </w:p>
        </w:tc>
        <w:tc>
          <w:tcPr>
            <w:tcW w:w="1500" w:type="dxa"/>
            <w:vAlign w:val="bottom"/>
            <w:vMerge w:val="restart"/>
          </w:tcPr>
          <w:p>
            <w:pPr>
              <w:jc w:val="right"/>
              <w:ind w:right="30"/>
              <w:spacing w:after="0"/>
              <w:rPr>
                <w:sz w:val="20"/>
                <w:szCs w:val="20"/>
                <w:color w:val="auto"/>
              </w:rPr>
            </w:pPr>
            <w:r>
              <w:rPr>
                <w:rFonts w:ascii="Arial" w:cs="Arial" w:eastAsia="Arial" w:hAnsi="Arial"/>
                <w:sz w:val="14"/>
                <w:szCs w:val="14"/>
                <w:color w:val="auto"/>
              </w:rPr>
              <w:t>1,446</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1,653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1,368</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280"/>
              <w:spacing w:after="0"/>
              <w:rPr>
                <w:sz w:val="20"/>
                <w:szCs w:val="20"/>
                <w:color w:val="auto"/>
              </w:rPr>
            </w:pPr>
            <w:r>
              <w:rPr>
                <w:rFonts w:ascii="Arial" w:cs="Arial" w:eastAsia="Arial" w:hAnsi="Arial"/>
                <w:sz w:val="14"/>
                <w:szCs w:val="14"/>
                <w:color w:val="auto"/>
              </w:rPr>
              <w:t>Accrued salaries and wages</w:t>
            </w:r>
          </w:p>
        </w:tc>
        <w:tc>
          <w:tcPr>
            <w:tcW w:w="280" w:type="dxa"/>
            <w:vAlign w:val="bottom"/>
          </w:tcPr>
          <w:p>
            <w:pPr>
              <w:spacing w:after="0"/>
              <w:rPr>
                <w:sz w:val="16"/>
                <w:szCs w:val="16"/>
                <w:color w:val="auto"/>
              </w:rPr>
            </w:pPr>
          </w:p>
        </w:tc>
        <w:tc>
          <w:tcPr>
            <w:tcW w:w="1440" w:type="dxa"/>
            <w:vAlign w:val="bottom"/>
            <w:vMerge w:val="restart"/>
          </w:tcPr>
          <w:p>
            <w:pPr>
              <w:jc w:val="right"/>
              <w:ind w:right="50"/>
              <w:spacing w:after="0"/>
              <w:rPr>
                <w:sz w:val="20"/>
                <w:szCs w:val="20"/>
                <w:color w:val="auto"/>
              </w:rPr>
            </w:pPr>
            <w:r>
              <w:rPr>
                <w:rFonts w:ascii="Arial" w:cs="Arial" w:eastAsia="Arial" w:hAnsi="Arial"/>
                <w:sz w:val="14"/>
                <w:szCs w:val="14"/>
                <w:color w:val="auto"/>
              </w:rPr>
              <w:t>961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30"/>
              <w:spacing w:after="0"/>
              <w:rPr>
                <w:sz w:val="20"/>
                <w:szCs w:val="20"/>
                <w:color w:val="auto"/>
              </w:rPr>
            </w:pPr>
            <w:r>
              <w:rPr>
                <w:rFonts w:ascii="Arial" w:cs="Arial" w:eastAsia="Arial" w:hAnsi="Arial"/>
                <w:sz w:val="14"/>
                <w:szCs w:val="14"/>
                <w:color w:val="auto"/>
              </w:rPr>
              <w:t>1,143</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Air traffic liability</w:t>
            </w:r>
          </w:p>
        </w:tc>
        <w:tc>
          <w:tcPr>
            <w:tcW w:w="28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5,683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4,380</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280"/>
              <w:spacing w:after="0"/>
              <w:rPr>
                <w:sz w:val="20"/>
                <w:szCs w:val="20"/>
                <w:color w:val="auto"/>
              </w:rPr>
            </w:pPr>
            <w:r>
              <w:rPr>
                <w:rFonts w:ascii="Arial" w:cs="Arial" w:eastAsia="Arial" w:hAnsi="Arial"/>
                <w:sz w:val="14"/>
                <w:szCs w:val="14"/>
                <w:color w:val="auto"/>
              </w:rPr>
              <w:t>Frequent flyer liability</w:t>
            </w:r>
          </w:p>
        </w:tc>
        <w:tc>
          <w:tcPr>
            <w:tcW w:w="280" w:type="dxa"/>
            <w:vAlign w:val="bottom"/>
          </w:tcPr>
          <w:p>
            <w:pPr>
              <w:spacing w:after="0"/>
              <w:rPr>
                <w:sz w:val="16"/>
                <w:szCs w:val="16"/>
                <w:color w:val="auto"/>
              </w:rPr>
            </w:pPr>
          </w:p>
        </w:tc>
        <w:tc>
          <w:tcPr>
            <w:tcW w:w="1440" w:type="dxa"/>
            <w:vAlign w:val="bottom"/>
            <w:vMerge w:val="restart"/>
          </w:tcPr>
          <w:p>
            <w:pPr>
              <w:jc w:val="right"/>
              <w:ind w:right="50"/>
              <w:spacing w:after="0"/>
              <w:rPr>
                <w:sz w:val="20"/>
                <w:szCs w:val="20"/>
                <w:color w:val="auto"/>
              </w:rPr>
            </w:pPr>
            <w:r>
              <w:rPr>
                <w:rFonts w:ascii="Arial" w:cs="Arial" w:eastAsia="Arial" w:hAnsi="Arial"/>
                <w:sz w:val="14"/>
                <w:szCs w:val="14"/>
                <w:color w:val="auto"/>
              </w:rPr>
              <w:t>2,879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30"/>
              <w:spacing w:after="0"/>
              <w:rPr>
                <w:sz w:val="20"/>
                <w:szCs w:val="20"/>
                <w:color w:val="auto"/>
              </w:rPr>
            </w:pPr>
            <w:r>
              <w:rPr>
                <w:rFonts w:ascii="Arial" w:cs="Arial" w:eastAsia="Arial" w:hAnsi="Arial"/>
                <w:sz w:val="14"/>
                <w:szCs w:val="14"/>
                <w:color w:val="auto"/>
              </w:rPr>
              <w:t>3,005</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accrued liabilities</w:t>
            </w:r>
          </w:p>
        </w:tc>
        <w:tc>
          <w:tcPr>
            <w:tcW w:w="28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2,389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2,464</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900" w:type="dxa"/>
            <w:vAlign w:val="bottom"/>
          </w:tcPr>
          <w:p>
            <w:pPr>
              <w:ind w:left="500"/>
              <w:spacing w:after="0"/>
              <w:rPr>
                <w:sz w:val="20"/>
                <w:szCs w:val="20"/>
                <w:color w:val="auto"/>
              </w:rPr>
            </w:pPr>
            <w:r>
              <w:rPr>
                <w:rFonts w:ascii="Arial" w:cs="Arial" w:eastAsia="Arial" w:hAnsi="Arial"/>
                <w:sz w:val="14"/>
                <w:szCs w:val="14"/>
                <w:color w:val="auto"/>
              </w:rPr>
              <w:t>Total current liabilities</w:t>
            </w:r>
          </w:p>
        </w:tc>
        <w:tc>
          <w:tcPr>
            <w:tcW w:w="280" w:type="dxa"/>
            <w:vAlign w:val="bottom"/>
          </w:tcPr>
          <w:p>
            <w:pPr>
              <w:spacing w:after="0"/>
              <w:rPr>
                <w:sz w:val="14"/>
                <w:szCs w:val="14"/>
                <w:color w:val="auto"/>
              </w:rPr>
            </w:pPr>
          </w:p>
        </w:tc>
        <w:tc>
          <w:tcPr>
            <w:tcW w:w="1440" w:type="dxa"/>
            <w:vAlign w:val="bottom"/>
            <w:vMerge w:val="restart"/>
          </w:tcPr>
          <w:p>
            <w:pPr>
              <w:jc w:val="right"/>
              <w:ind w:right="50"/>
              <w:spacing w:after="0"/>
              <w:rPr>
                <w:sz w:val="20"/>
                <w:szCs w:val="20"/>
                <w:color w:val="auto"/>
              </w:rPr>
            </w:pPr>
            <w:r>
              <w:rPr>
                <w:rFonts w:ascii="Arial" w:cs="Arial" w:eastAsia="Arial" w:hAnsi="Arial"/>
                <w:sz w:val="14"/>
                <w:szCs w:val="14"/>
                <w:color w:val="auto"/>
              </w:rPr>
              <w:t>15,088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restart"/>
          </w:tcPr>
          <w:p>
            <w:pPr>
              <w:jc w:val="right"/>
              <w:ind w:right="30"/>
              <w:spacing w:after="0"/>
              <w:rPr>
                <w:sz w:val="20"/>
                <w:szCs w:val="20"/>
                <w:color w:val="auto"/>
              </w:rPr>
            </w:pPr>
            <w:r>
              <w:rPr>
                <w:rFonts w:ascii="Arial" w:cs="Arial" w:eastAsia="Arial" w:hAnsi="Arial"/>
                <w:sz w:val="14"/>
                <w:szCs w:val="14"/>
                <w:color w:val="auto"/>
              </w:rPr>
              <w:t>13,806</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Noncurrent liabilities</w:t>
            </w: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280"/>
              <w:spacing w:after="0"/>
              <w:rPr>
                <w:sz w:val="20"/>
                <w:szCs w:val="20"/>
                <w:color w:val="auto"/>
              </w:rPr>
            </w:pPr>
            <w:r>
              <w:rPr>
                <w:rFonts w:ascii="Arial" w:cs="Arial" w:eastAsia="Arial" w:hAnsi="Arial"/>
                <w:sz w:val="14"/>
                <w:szCs w:val="14"/>
                <w:color w:val="auto"/>
              </w:rPr>
              <w:t>Long-term debt and capital leases, net of current maturities</w:t>
            </w:r>
          </w:p>
        </w:tc>
        <w:tc>
          <w:tcPr>
            <w:tcW w:w="280" w:type="dxa"/>
            <w:vAlign w:val="bottom"/>
          </w:tcPr>
          <w:p>
            <w:pPr>
              <w:spacing w:after="0"/>
              <w:rPr>
                <w:sz w:val="16"/>
                <w:szCs w:val="16"/>
                <w:color w:val="auto"/>
              </w:rPr>
            </w:pPr>
          </w:p>
        </w:tc>
        <w:tc>
          <w:tcPr>
            <w:tcW w:w="1440" w:type="dxa"/>
            <w:vAlign w:val="bottom"/>
            <w:vMerge w:val="restart"/>
          </w:tcPr>
          <w:p>
            <w:pPr>
              <w:jc w:val="right"/>
              <w:ind w:right="50"/>
              <w:spacing w:after="0"/>
              <w:rPr>
                <w:sz w:val="20"/>
                <w:szCs w:val="20"/>
                <w:color w:val="auto"/>
              </w:rPr>
            </w:pPr>
            <w:r>
              <w:rPr>
                <w:rFonts w:ascii="Arial" w:cs="Arial" w:eastAsia="Arial" w:hAnsi="Arial"/>
                <w:sz w:val="14"/>
                <w:szCs w:val="14"/>
                <w:color w:val="auto"/>
              </w:rPr>
              <w:t>15,205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30"/>
              <w:spacing w:after="0"/>
              <w:rPr>
                <w:sz w:val="20"/>
                <w:szCs w:val="20"/>
                <w:color w:val="auto"/>
              </w:rPr>
            </w:pPr>
            <w:r>
              <w:rPr>
                <w:rFonts w:ascii="Arial" w:cs="Arial" w:eastAsia="Arial" w:hAnsi="Arial"/>
                <w:sz w:val="14"/>
                <w:szCs w:val="14"/>
                <w:color w:val="auto"/>
              </w:rPr>
              <w:t>15,353</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Pension and postretirement benefits</w:t>
            </w:r>
          </w:p>
        </w:tc>
        <w:tc>
          <w:tcPr>
            <w:tcW w:w="28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5,704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5,828</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280"/>
              <w:spacing w:after="0"/>
              <w:rPr>
                <w:sz w:val="20"/>
                <w:szCs w:val="20"/>
                <w:color w:val="auto"/>
              </w:rPr>
            </w:pPr>
            <w:r>
              <w:rPr>
                <w:rFonts w:ascii="Arial" w:cs="Arial" w:eastAsia="Arial" w:hAnsi="Arial"/>
                <w:sz w:val="14"/>
                <w:szCs w:val="14"/>
                <w:color w:val="auto"/>
              </w:rPr>
              <w:t>Deferred gains and credits, net</w:t>
            </w:r>
          </w:p>
        </w:tc>
        <w:tc>
          <w:tcPr>
            <w:tcW w:w="280" w:type="dxa"/>
            <w:vAlign w:val="bottom"/>
          </w:tcPr>
          <w:p>
            <w:pPr>
              <w:spacing w:after="0"/>
              <w:rPr>
                <w:sz w:val="16"/>
                <w:szCs w:val="16"/>
                <w:color w:val="auto"/>
              </w:rPr>
            </w:pPr>
          </w:p>
        </w:tc>
        <w:tc>
          <w:tcPr>
            <w:tcW w:w="1440" w:type="dxa"/>
            <w:vAlign w:val="bottom"/>
            <w:vMerge w:val="restart"/>
          </w:tcPr>
          <w:p>
            <w:pPr>
              <w:jc w:val="right"/>
              <w:ind w:right="50"/>
              <w:spacing w:after="0"/>
              <w:rPr>
                <w:sz w:val="20"/>
                <w:szCs w:val="20"/>
                <w:color w:val="auto"/>
              </w:rPr>
            </w:pPr>
            <w:r>
              <w:rPr>
                <w:rFonts w:ascii="Arial" w:cs="Arial" w:eastAsia="Arial" w:hAnsi="Arial"/>
                <w:sz w:val="14"/>
                <w:szCs w:val="14"/>
                <w:color w:val="auto"/>
              </w:rPr>
              <w:t>905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30"/>
              <w:spacing w:after="0"/>
              <w:rPr>
                <w:sz w:val="20"/>
                <w:szCs w:val="20"/>
                <w:color w:val="auto"/>
              </w:rPr>
            </w:pPr>
            <w:r>
              <w:rPr>
                <w:rFonts w:ascii="Arial" w:cs="Arial" w:eastAsia="Arial" w:hAnsi="Arial"/>
                <w:sz w:val="14"/>
                <w:szCs w:val="14"/>
                <w:color w:val="auto"/>
              </w:rPr>
              <w:t>935</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Mandatorily convertible preferred stock and other bankruptcy settlement obligations</w:t>
            </w:r>
          </w:p>
        </w:tc>
        <w:tc>
          <w:tcPr>
            <w:tcW w:w="28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415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5,928</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280"/>
              <w:spacing w:after="0"/>
              <w:rPr>
                <w:sz w:val="20"/>
                <w:szCs w:val="20"/>
                <w:color w:val="auto"/>
              </w:rPr>
            </w:pPr>
            <w:r>
              <w:rPr>
                <w:rFonts w:ascii="Arial" w:cs="Arial" w:eastAsia="Arial" w:hAnsi="Arial"/>
                <w:sz w:val="14"/>
                <w:szCs w:val="14"/>
                <w:color w:val="auto"/>
              </w:rPr>
              <w:t>Other liabilities</w:t>
            </w:r>
          </w:p>
        </w:tc>
        <w:tc>
          <w:tcPr>
            <w:tcW w:w="280" w:type="dxa"/>
            <w:vAlign w:val="bottom"/>
          </w:tcPr>
          <w:p>
            <w:pPr>
              <w:spacing w:after="0"/>
              <w:rPr>
                <w:sz w:val="16"/>
                <w:szCs w:val="16"/>
                <w:color w:val="auto"/>
              </w:rPr>
            </w:pPr>
          </w:p>
        </w:tc>
        <w:tc>
          <w:tcPr>
            <w:tcW w:w="1440" w:type="dxa"/>
            <w:vAlign w:val="bottom"/>
            <w:vMerge w:val="restart"/>
          </w:tcPr>
          <w:p>
            <w:pPr>
              <w:jc w:val="right"/>
              <w:ind w:right="50"/>
              <w:spacing w:after="0"/>
              <w:rPr>
                <w:sz w:val="20"/>
                <w:szCs w:val="20"/>
                <w:color w:val="auto"/>
              </w:rPr>
            </w:pPr>
            <w:r>
              <w:rPr>
                <w:rFonts w:ascii="Arial" w:cs="Arial" w:eastAsia="Arial" w:hAnsi="Arial"/>
                <w:sz w:val="14"/>
                <w:szCs w:val="14"/>
                <w:color w:val="auto"/>
              </w:rPr>
              <w:t>3,408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30"/>
              <w:spacing w:after="0"/>
              <w:rPr>
                <w:sz w:val="20"/>
                <w:szCs w:val="20"/>
                <w:color w:val="auto"/>
              </w:rPr>
            </w:pPr>
            <w:r>
              <w:rPr>
                <w:rFonts w:ascii="Arial" w:cs="Arial" w:eastAsia="Arial" w:hAnsi="Arial"/>
                <w:sz w:val="14"/>
                <w:szCs w:val="14"/>
                <w:color w:val="auto"/>
              </w:rPr>
              <w:t>3,159</w:t>
            </w:r>
          </w:p>
        </w:tc>
        <w:tc>
          <w:tcPr>
            <w:tcW w:w="0" w:type="dxa"/>
            <w:vAlign w:val="bottom"/>
          </w:tcPr>
          <w:p>
            <w:pPr>
              <w:spacing w:after="0"/>
              <w:rPr>
                <w:sz w:val="1"/>
                <w:szCs w:val="1"/>
                <w:color w:val="auto"/>
              </w:rPr>
            </w:pPr>
          </w:p>
        </w:tc>
      </w:tr>
      <w:tr>
        <w:trPr>
          <w:trHeight w:val="74"/>
        </w:trPr>
        <w:tc>
          <w:tcPr>
            <w:tcW w:w="79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noncurrent liabilities</w:t>
            </w:r>
          </w:p>
        </w:tc>
        <w:tc>
          <w:tcPr>
            <w:tcW w:w="28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25,637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31,203</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500"/>
              <w:spacing w:after="0"/>
              <w:rPr>
                <w:sz w:val="20"/>
                <w:szCs w:val="20"/>
                <w:color w:val="auto"/>
              </w:rPr>
            </w:pPr>
            <w:r>
              <w:rPr>
                <w:rFonts w:ascii="Arial" w:cs="Arial" w:eastAsia="Arial" w:hAnsi="Arial"/>
                <w:sz w:val="14"/>
                <w:szCs w:val="14"/>
                <w:color w:val="auto"/>
              </w:rPr>
              <w:t>Commitments and contingencies</w:t>
            </w: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Stockholders' equity (deficit)</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7900" w:type="dxa"/>
            <w:vAlign w:val="bottom"/>
          </w:tcPr>
          <w:p>
            <w:pPr>
              <w:ind w:left="180"/>
              <w:spacing w:after="0"/>
              <w:rPr>
                <w:sz w:val="20"/>
                <w:szCs w:val="20"/>
                <w:color w:val="auto"/>
              </w:rPr>
            </w:pPr>
            <w:r>
              <w:rPr>
                <w:rFonts w:ascii="Arial" w:cs="Arial" w:eastAsia="Arial" w:hAnsi="Arial"/>
                <w:sz w:val="14"/>
                <w:szCs w:val="14"/>
                <w:color w:val="auto"/>
                <w:w w:val="92"/>
              </w:rPr>
              <w:t>Common stock, $0.01 par value; 1,750,000,000 shares authorized, 720,501,649 shares outstanding as of June 30, 2014; 526,805,522</w:t>
            </w:r>
          </w:p>
        </w:tc>
        <w:tc>
          <w:tcPr>
            <w:tcW w:w="2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900" w:type="dxa"/>
            <w:vAlign w:val="bottom"/>
          </w:tcPr>
          <w:p>
            <w:pPr>
              <w:ind w:left="180"/>
              <w:spacing w:after="0"/>
              <w:rPr>
                <w:sz w:val="20"/>
                <w:szCs w:val="20"/>
                <w:color w:val="auto"/>
              </w:rPr>
            </w:pPr>
            <w:r>
              <w:rPr>
                <w:rFonts w:ascii="Arial" w:cs="Arial" w:eastAsia="Arial" w:hAnsi="Arial"/>
                <w:sz w:val="14"/>
                <w:szCs w:val="14"/>
                <w:color w:val="auto"/>
              </w:rPr>
              <w:t>shares outstanding as of December 31, 2013.</w:t>
            </w:r>
          </w:p>
        </w:tc>
        <w:tc>
          <w:tcPr>
            <w:tcW w:w="280" w:type="dxa"/>
            <w:vAlign w:val="bottom"/>
          </w:tcPr>
          <w:p>
            <w:pPr>
              <w:spacing w:after="0"/>
              <w:rPr>
                <w:sz w:val="16"/>
                <w:szCs w:val="16"/>
                <w:color w:val="auto"/>
              </w:rPr>
            </w:pPr>
          </w:p>
        </w:tc>
        <w:tc>
          <w:tcPr>
            <w:tcW w:w="1440" w:type="dxa"/>
            <w:vAlign w:val="bottom"/>
          </w:tcPr>
          <w:p>
            <w:pPr>
              <w:jc w:val="right"/>
              <w:ind w:right="50"/>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3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Additional paid-in capital</w:t>
            </w:r>
          </w:p>
        </w:tc>
        <w:tc>
          <w:tcPr>
            <w:tcW w:w="28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15,879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10,592</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180"/>
              <w:spacing w:after="0"/>
              <w:rPr>
                <w:sz w:val="20"/>
                <w:szCs w:val="20"/>
                <w:color w:val="auto"/>
              </w:rPr>
            </w:pPr>
            <w:r>
              <w:rPr>
                <w:rFonts w:ascii="Arial" w:cs="Arial" w:eastAsia="Arial" w:hAnsi="Arial"/>
                <w:sz w:val="14"/>
                <w:szCs w:val="14"/>
                <w:color w:val="auto"/>
              </w:rPr>
              <w:t>Treasury stock</w:t>
            </w:r>
          </w:p>
        </w:tc>
        <w:tc>
          <w:tcPr>
            <w:tcW w:w="280" w:type="dxa"/>
            <w:vAlign w:val="bottom"/>
          </w:tcPr>
          <w:p>
            <w:pPr>
              <w:spacing w:after="0"/>
              <w:rPr>
                <w:sz w:val="16"/>
                <w:szCs w:val="16"/>
                <w:color w:val="auto"/>
              </w:rPr>
            </w:pPr>
          </w:p>
        </w:tc>
        <w:tc>
          <w:tcPr>
            <w:tcW w:w="1440" w:type="dxa"/>
            <w:vAlign w:val="bottom"/>
            <w:vMerge w:val="restart"/>
          </w:tcPr>
          <w:p>
            <w:pPr>
              <w:jc w:val="right"/>
              <w:ind w:right="1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loss</w:t>
            </w:r>
          </w:p>
        </w:tc>
        <w:tc>
          <w:tcPr>
            <w:tcW w:w="28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(1,846)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(2,032)</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900" w:type="dxa"/>
            <w:vAlign w:val="bottom"/>
          </w:tcPr>
          <w:p>
            <w:pPr>
              <w:ind w:left="180"/>
              <w:spacing w:after="0"/>
              <w:rPr>
                <w:sz w:val="20"/>
                <w:szCs w:val="20"/>
                <w:color w:val="auto"/>
              </w:rPr>
            </w:pPr>
            <w:r>
              <w:rPr>
                <w:rFonts w:ascii="Arial" w:cs="Arial" w:eastAsia="Arial" w:hAnsi="Arial"/>
                <w:sz w:val="14"/>
                <w:szCs w:val="14"/>
                <w:color w:val="auto"/>
              </w:rPr>
              <w:t>Accumulated deficit</w:t>
            </w:r>
          </w:p>
        </w:tc>
        <w:tc>
          <w:tcPr>
            <w:tcW w:w="280" w:type="dxa"/>
            <w:vAlign w:val="bottom"/>
          </w:tcPr>
          <w:p>
            <w:pPr>
              <w:spacing w:after="0"/>
              <w:rPr>
                <w:sz w:val="16"/>
                <w:szCs w:val="16"/>
                <w:color w:val="auto"/>
              </w:rPr>
            </w:pPr>
          </w:p>
        </w:tc>
        <w:tc>
          <w:tcPr>
            <w:tcW w:w="1440" w:type="dxa"/>
            <w:vAlign w:val="bottom"/>
            <w:vMerge w:val="restart"/>
          </w:tcPr>
          <w:p>
            <w:pPr>
              <w:jc w:val="right"/>
              <w:ind w:right="10"/>
              <w:spacing w:after="0"/>
              <w:rPr>
                <w:sz w:val="20"/>
                <w:szCs w:val="20"/>
                <w:color w:val="auto"/>
              </w:rPr>
            </w:pPr>
            <w:r>
              <w:rPr>
                <w:rFonts w:ascii="Arial" w:cs="Arial" w:eastAsia="Arial" w:hAnsi="Arial"/>
                <w:sz w:val="14"/>
                <w:szCs w:val="14"/>
                <w:color w:val="auto"/>
              </w:rPr>
              <w:t>(9,953)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(11,296)</w:t>
            </w:r>
          </w:p>
        </w:tc>
        <w:tc>
          <w:tcPr>
            <w:tcW w:w="0" w:type="dxa"/>
            <w:vAlign w:val="bottom"/>
          </w:tcPr>
          <w:p>
            <w:pPr>
              <w:spacing w:after="0"/>
              <w:rPr>
                <w:sz w:val="1"/>
                <w:szCs w:val="1"/>
                <w:color w:val="auto"/>
              </w:rPr>
            </w:pPr>
          </w:p>
        </w:tc>
      </w:tr>
      <w:tr>
        <w:trPr>
          <w:trHeight w:val="74"/>
        </w:trPr>
        <w:tc>
          <w:tcPr>
            <w:tcW w:w="79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9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stockholders' equity (deficit)</w:t>
            </w:r>
          </w:p>
        </w:tc>
        <w:tc>
          <w:tcPr>
            <w:tcW w:w="28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4,086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(2,731)</w:t>
            </w:r>
          </w:p>
        </w:tc>
        <w:tc>
          <w:tcPr>
            <w:tcW w:w="0" w:type="dxa"/>
            <w:vAlign w:val="bottom"/>
          </w:tcPr>
          <w:p>
            <w:pPr>
              <w:spacing w:after="0"/>
              <w:rPr>
                <w:sz w:val="1"/>
                <w:szCs w:val="1"/>
                <w:color w:val="auto"/>
              </w:rPr>
            </w:pPr>
          </w:p>
        </w:tc>
      </w:tr>
      <w:tr>
        <w:trPr>
          <w:trHeight w:val="80"/>
        </w:trPr>
        <w:tc>
          <w:tcPr>
            <w:tcW w:w="79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4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900" w:type="dxa"/>
            <w:vAlign w:val="bottom"/>
          </w:tcPr>
          <w:p>
            <w:pPr>
              <w:ind w:left="720"/>
              <w:spacing w:after="0"/>
              <w:rPr>
                <w:sz w:val="20"/>
                <w:szCs w:val="20"/>
                <w:color w:val="auto"/>
              </w:rPr>
            </w:pPr>
            <w:r>
              <w:rPr>
                <w:rFonts w:ascii="Arial" w:cs="Arial" w:eastAsia="Arial" w:hAnsi="Arial"/>
                <w:sz w:val="14"/>
                <w:szCs w:val="14"/>
                <w:b w:val="1"/>
                <w:bCs w:val="1"/>
                <w:color w:val="auto"/>
              </w:rPr>
              <w:t>Total liabilities and stockholders' equity (deficit)</w:t>
            </w:r>
          </w:p>
        </w:tc>
        <w:tc>
          <w:tcPr>
            <w:tcW w:w="280" w:type="dxa"/>
            <w:vAlign w:val="bottom"/>
            <w:vMerge w:val="restart"/>
          </w:tcPr>
          <w:p>
            <w:pPr>
              <w:jc w:val="right"/>
              <w:ind w:right="110"/>
              <w:spacing w:after="0"/>
              <w:rPr>
                <w:sz w:val="20"/>
                <w:szCs w:val="20"/>
                <w:color w:val="auto"/>
              </w:rPr>
            </w:pPr>
            <w:r>
              <w:rPr>
                <w:rFonts w:ascii="Arial" w:cs="Arial" w:eastAsia="Arial" w:hAnsi="Arial"/>
                <w:sz w:val="14"/>
                <w:szCs w:val="14"/>
                <w:color w:val="auto"/>
              </w:rPr>
              <w:t>$</w:t>
            </w:r>
          </w:p>
        </w:tc>
        <w:tc>
          <w:tcPr>
            <w:tcW w:w="1440" w:type="dxa"/>
            <w:vAlign w:val="bottom"/>
            <w:vMerge w:val="restart"/>
          </w:tcPr>
          <w:p>
            <w:pPr>
              <w:jc w:val="right"/>
              <w:ind w:right="50"/>
              <w:spacing w:after="0"/>
              <w:rPr>
                <w:sz w:val="20"/>
                <w:szCs w:val="20"/>
                <w:color w:val="auto"/>
              </w:rPr>
            </w:pPr>
            <w:r>
              <w:rPr>
                <w:rFonts w:ascii="Arial" w:cs="Arial" w:eastAsia="Arial" w:hAnsi="Arial"/>
                <w:sz w:val="14"/>
                <w:szCs w:val="14"/>
                <w:color w:val="auto"/>
              </w:rPr>
              <w:t>44,811</w:t>
            </w:r>
          </w:p>
        </w:tc>
        <w:tc>
          <w:tcPr>
            <w:tcW w:w="120" w:type="dxa"/>
            <w:vAlign w:val="bottom"/>
          </w:tcPr>
          <w:p>
            <w:pPr>
              <w:spacing w:after="0"/>
              <w:rPr>
                <w:sz w:val="14"/>
                <w:szCs w:val="14"/>
                <w:color w:val="auto"/>
              </w:rPr>
            </w:pPr>
          </w:p>
        </w:tc>
        <w:tc>
          <w:tcPr>
            <w:tcW w:w="180" w:type="dxa"/>
            <w:vAlign w:val="bottom"/>
            <w:vMerge w:val="restart"/>
          </w:tcPr>
          <w:p>
            <w:pPr>
              <w:jc w:val="right"/>
              <w:ind w:right="30"/>
              <w:spacing w:after="0"/>
              <w:rPr>
                <w:sz w:val="20"/>
                <w:szCs w:val="20"/>
                <w:color w:val="auto"/>
              </w:rPr>
            </w:pPr>
            <w:r>
              <w:rPr>
                <w:rFonts w:ascii="Arial" w:cs="Arial" w:eastAsia="Arial" w:hAnsi="Arial"/>
                <w:sz w:val="14"/>
                <w:szCs w:val="14"/>
                <w:color w:val="auto"/>
                <w:w w:val="76"/>
              </w:rPr>
              <w:t>$</w:t>
            </w:r>
          </w:p>
        </w:tc>
        <w:tc>
          <w:tcPr>
            <w:tcW w:w="1500" w:type="dxa"/>
            <w:vAlign w:val="bottom"/>
            <w:vMerge w:val="restart"/>
          </w:tcPr>
          <w:p>
            <w:pPr>
              <w:jc w:val="right"/>
              <w:ind w:right="30"/>
              <w:spacing w:after="0"/>
              <w:rPr>
                <w:sz w:val="20"/>
                <w:szCs w:val="20"/>
                <w:color w:val="auto"/>
              </w:rPr>
            </w:pPr>
            <w:r>
              <w:rPr>
                <w:rFonts w:ascii="Arial" w:cs="Arial" w:eastAsia="Arial" w:hAnsi="Arial"/>
                <w:sz w:val="14"/>
                <w:szCs w:val="14"/>
                <w:color w:val="auto"/>
              </w:rPr>
              <w:t>42,278</w:t>
            </w:r>
          </w:p>
        </w:tc>
        <w:tc>
          <w:tcPr>
            <w:tcW w:w="0" w:type="dxa"/>
            <w:vAlign w:val="bottom"/>
          </w:tcPr>
          <w:p>
            <w:pPr>
              <w:spacing w:after="0"/>
              <w:rPr>
                <w:sz w:val="1"/>
                <w:szCs w:val="1"/>
                <w:color w:val="auto"/>
              </w:rPr>
            </w:pPr>
          </w:p>
        </w:tc>
      </w:tr>
      <w:tr>
        <w:trPr>
          <w:trHeight w:val="54"/>
        </w:trPr>
        <w:tc>
          <w:tcPr>
            <w:tcW w:w="790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7620</wp:posOffset>
            </wp:positionV>
            <wp:extent cx="22383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-130175</wp:posOffset>
            </wp:positionV>
            <wp:extent cx="22383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ectPr>
          <w:pgSz w:w="11900" w:h="16838" w:orient="portrait"/>
          <w:cols w:equalWidth="0" w:num="1">
            <w:col w:w="11420"/>
          </w:cols>
          <w:pgMar w:left="240" w:top="125" w:right="239" w:bottom="1138"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138"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ind w:right="2020"/>
        <w:spacing w:after="0" w:line="261" w:lineRule="auto"/>
        <w:rPr>
          <w:sz w:val="20"/>
          <w:szCs w:val="20"/>
          <w:color w:val="auto"/>
        </w:rPr>
      </w:pPr>
      <w:r>
        <w:rPr>
          <w:rFonts w:ascii="Arial" w:cs="Arial" w:eastAsia="Arial" w:hAnsi="Arial"/>
          <w:sz w:val="18"/>
          <w:szCs w:val="18"/>
          <w:b w:val="1"/>
          <w:bCs w:val="1"/>
          <w:color w:val="auto"/>
        </w:rPr>
        <w:t xml:space="preserve">CONDENSED CONSOLIDATED STATEMENTS OF CASH FLOWS </w:t>
      </w:r>
      <w:r>
        <w:rPr>
          <w:rFonts w:ascii="Arial" w:cs="Arial" w:eastAsia="Arial" w:hAnsi="Arial"/>
          <w:sz w:val="18"/>
          <w:szCs w:val="18"/>
          <w:color w:val="auto"/>
        </w:rPr>
        <w:t>(In millions)(Unaudited)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Net cash provided by operating activities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Cash flows from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80"/>
        <w:spacing w:after="0"/>
        <w:rPr>
          <w:sz w:val="20"/>
          <w:szCs w:val="20"/>
          <w:color w:val="auto"/>
        </w:rPr>
      </w:pPr>
      <w:r>
        <w:rPr>
          <w:rFonts w:ascii="Arial" w:cs="Arial" w:eastAsia="Arial" w:hAnsi="Arial"/>
          <w:sz w:val="17"/>
          <w:szCs w:val="17"/>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33020</wp:posOffset>
            </wp:positionV>
            <wp:extent cx="20923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68" w:lineRule="exact"/>
        <w:rPr>
          <w:sz w:val="20"/>
          <w:szCs w:val="20"/>
          <w:color w:val="auto"/>
        </w:rPr>
      </w:pPr>
    </w:p>
    <w:p>
      <w:pPr>
        <w:ind w:left="600"/>
        <w:spacing w:after="0"/>
        <w:tabs>
          <w:tab w:leader="none" w:pos="2280" w:val="left"/>
        </w:tabs>
        <w:rPr>
          <w:sz w:val="20"/>
          <w:szCs w:val="20"/>
          <w:color w:val="auto"/>
        </w:rPr>
      </w:pPr>
      <w:r>
        <w:rPr>
          <w:rFonts w:ascii="Arial" w:cs="Arial" w:eastAsia="Arial" w:hAnsi="Arial"/>
          <w:sz w:val="17"/>
          <w:szCs w:val="17"/>
          <w:color w:val="auto"/>
        </w:rPr>
        <w:t>2014</w:t>
      </w:r>
      <w:r>
        <w:rPr>
          <w:sz w:val="20"/>
          <w:szCs w:val="20"/>
          <w:color w:val="auto"/>
        </w:rPr>
        <w:tab/>
      </w:r>
      <w:r>
        <w:rPr>
          <w:rFonts w:ascii="Arial" w:cs="Arial" w:eastAsia="Arial" w:hAnsi="Arial"/>
          <w:sz w:val="17"/>
          <w:szCs w:val="17"/>
          <w:color w:val="auto"/>
        </w:rPr>
        <w:t>2013</w:t>
      </w:r>
    </w:p>
    <w:p>
      <w:pPr>
        <w:spacing w:after="0" w:line="75" w:lineRule="exact"/>
        <w:rPr>
          <w:sz w:val="20"/>
          <w:szCs w:val="20"/>
          <w:color w:val="auto"/>
        </w:rPr>
      </w:pPr>
    </w:p>
    <w:p>
      <w:pPr>
        <w:spacing w:after="0"/>
        <w:tabs>
          <w:tab w:leader="none" w:pos="1040" w:val="left"/>
          <w:tab w:leader="none" w:pos="1680" w:val="left"/>
          <w:tab w:leader="none" w:pos="27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2,637</w:t>
        <w:tab/>
        <w:t>$</w:t>
      </w:r>
      <w:r>
        <w:rPr>
          <w:sz w:val="20"/>
          <w:szCs w:val="20"/>
          <w:color w:val="auto"/>
        </w:rPr>
        <w:tab/>
      </w:r>
      <w:r>
        <w:rPr>
          <w:rFonts w:ascii="Arial" w:cs="Arial" w:eastAsia="Arial" w:hAnsi="Arial"/>
          <w:sz w:val="15"/>
          <w:szCs w:val="15"/>
          <w:color w:val="auto"/>
        </w:rPr>
        <w:t>1,870</w:t>
      </w:r>
    </w:p>
    <w:p>
      <w:pPr>
        <w:spacing w:after="0" w:line="321" w:lineRule="exact"/>
        <w:rPr>
          <w:sz w:val="20"/>
          <w:szCs w:val="20"/>
          <w:color w:val="auto"/>
        </w:rPr>
      </w:pPr>
    </w:p>
    <w:p>
      <w:pPr>
        <w:sectPr>
          <w:pgSz w:w="11900" w:h="16838" w:orient="portrait"/>
          <w:cols w:equalWidth="0" w:num="2">
            <w:col w:w="7440" w:space="720"/>
            <w:col w:w="3260"/>
          </w:cols>
          <w:pgMar w:left="240" w:top="125" w:right="239" w:bottom="1440" w:gutter="0" w:footer="0" w:header="0"/>
        </w:sectPr>
      </w:pPr>
    </w:p>
    <w:tbl>
      <w:tblPr>
        <w:tblLayout w:type="fixed"/>
        <w:tblInd w:w="0" w:type="dxa"/>
        <w:tblCellMar>
          <w:top w:w="0" w:type="dxa"/>
          <w:left w:w="0" w:type="dxa"/>
          <w:bottom w:w="0" w:type="dxa"/>
          <w:right w:w="0" w:type="dxa"/>
        </w:tblCellMar>
      </w:tblP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Capital expenditures and aircraft purchase deposits</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(2,678)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(1,804)</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Increase in short-term investments</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(2,194)</w:t>
            </w:r>
          </w:p>
        </w:tc>
      </w:tr>
      <w:tr>
        <w:trPr>
          <w:trHeight w:val="31"/>
        </w:trPr>
        <w:tc>
          <w:tcPr>
            <w:tcW w:w="8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Decrease (increase) in restricted cash and short-term investments</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Net proceeds from slot transaction</w:t>
            </w:r>
          </w:p>
        </w:tc>
        <w:tc>
          <w:tcPr>
            <w:tcW w:w="58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307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sale of property and equipment</w:t>
            </w:r>
          </w:p>
        </w:tc>
        <w:tc>
          <w:tcPr>
            <w:tcW w:w="5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w:t>
            </w:r>
          </w:p>
        </w:tc>
      </w:tr>
      <w:tr>
        <w:trPr>
          <w:trHeight w:val="219"/>
        </w:trPr>
        <w:tc>
          <w:tcPr>
            <w:tcW w:w="8120" w:type="dxa"/>
            <w:vAlign w:val="bottom"/>
          </w:tcPr>
          <w:p>
            <w:pPr>
              <w:ind w:left="500"/>
              <w:spacing w:after="0"/>
              <w:rPr>
                <w:sz w:val="20"/>
                <w:szCs w:val="20"/>
                <w:color w:val="auto"/>
              </w:rPr>
            </w:pPr>
            <w:r>
              <w:rPr>
                <w:rFonts w:ascii="Arial" w:cs="Arial" w:eastAsia="Arial" w:hAnsi="Arial"/>
                <w:sz w:val="17"/>
                <w:szCs w:val="17"/>
                <w:color w:val="auto"/>
              </w:rPr>
              <w:t>Net cash used in investing activities</w:t>
            </w:r>
          </w:p>
        </w:tc>
        <w:tc>
          <w:tcPr>
            <w:tcW w:w="5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(2,347)</w:t>
            </w: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(3,985)</w:t>
            </w:r>
          </w:p>
        </w:tc>
      </w:tr>
      <w:tr>
        <w:trPr>
          <w:trHeight w:val="31"/>
        </w:trPr>
        <w:tc>
          <w:tcPr>
            <w:tcW w:w="8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flows from financing activities:</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Payments on long-term debt and capital leases</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(1,145)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(551)</w:t>
            </w:r>
          </w:p>
        </w:tc>
      </w:tr>
      <w:tr>
        <w:trPr>
          <w:trHeight w:val="31"/>
        </w:trPr>
        <w:tc>
          <w:tcPr>
            <w:tcW w:w="8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issuance of long-term debt</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1,684</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Exercise of stock options</w:t>
            </w:r>
          </w:p>
        </w:tc>
        <w:tc>
          <w:tcPr>
            <w:tcW w:w="58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Deferred financing costs</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Sale-leaseback transactions</w:t>
            </w:r>
          </w:p>
        </w:tc>
        <w:tc>
          <w:tcPr>
            <w:tcW w:w="58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411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1,132</w:t>
            </w:r>
          </w:p>
        </w:tc>
      </w:tr>
      <w:tr>
        <w:trPr>
          <w:trHeight w:val="31"/>
        </w:trPr>
        <w:tc>
          <w:tcPr>
            <w:tcW w:w="8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Treasury stock repurchases</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Other financing activities</w:t>
            </w:r>
          </w:p>
        </w:tc>
        <w:tc>
          <w:tcPr>
            <w:tcW w:w="58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4</w:t>
            </w:r>
          </w:p>
        </w:tc>
      </w:tr>
      <w:tr>
        <w:trPr>
          <w:trHeight w:val="31"/>
        </w:trPr>
        <w:tc>
          <w:tcPr>
            <w:tcW w:w="8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Net cash provided by (used in) financing activities</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2,239</w:t>
            </w:r>
          </w:p>
        </w:tc>
      </w:tr>
      <w:tr>
        <w:trPr>
          <w:trHeight w:val="219"/>
        </w:trPr>
        <w:tc>
          <w:tcPr>
            <w:tcW w:w="8120" w:type="dxa"/>
            <w:vAlign w:val="bottom"/>
          </w:tcPr>
          <w:p>
            <w:pPr>
              <w:ind w:left="40"/>
              <w:spacing w:after="0"/>
              <w:rPr>
                <w:sz w:val="20"/>
                <w:szCs w:val="20"/>
                <w:color w:val="auto"/>
              </w:rPr>
            </w:pPr>
            <w:r>
              <w:rPr>
                <w:rFonts w:ascii="Arial" w:cs="Arial" w:eastAsia="Arial" w:hAnsi="Arial"/>
                <w:sz w:val="17"/>
                <w:szCs w:val="17"/>
                <w:color w:val="auto"/>
              </w:rPr>
              <w:t>Net increase in cash</w:t>
            </w:r>
          </w:p>
        </w:tc>
        <w:tc>
          <w:tcPr>
            <w:tcW w:w="5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124</w:t>
            </w:r>
          </w:p>
        </w:tc>
      </w:tr>
      <w:tr>
        <w:trPr>
          <w:trHeight w:val="31"/>
        </w:trPr>
        <w:tc>
          <w:tcPr>
            <w:tcW w:w="8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at beginning of period</w:t>
            </w:r>
          </w:p>
        </w:tc>
        <w:tc>
          <w:tcPr>
            <w:tcW w:w="5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1,140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480</w:t>
            </w:r>
          </w:p>
        </w:tc>
      </w:tr>
      <w:tr>
        <w:trPr>
          <w:trHeight w:val="219"/>
        </w:trPr>
        <w:tc>
          <w:tcPr>
            <w:tcW w:w="8120" w:type="dxa"/>
            <w:vAlign w:val="bottom"/>
          </w:tcPr>
          <w:p>
            <w:pPr>
              <w:ind w:left="40"/>
              <w:spacing w:after="0"/>
              <w:rPr>
                <w:sz w:val="20"/>
                <w:szCs w:val="20"/>
                <w:color w:val="auto"/>
              </w:rPr>
            </w:pPr>
            <w:r>
              <w:rPr>
                <w:rFonts w:ascii="Arial" w:cs="Arial" w:eastAsia="Arial" w:hAnsi="Arial"/>
                <w:sz w:val="17"/>
                <w:szCs w:val="17"/>
                <w:color w:val="auto"/>
              </w:rPr>
              <w:t>Cash at end of period</w:t>
            </w:r>
          </w:p>
        </w:tc>
        <w:tc>
          <w:tcPr>
            <w:tcW w:w="580" w:type="dxa"/>
            <w:vAlign w:val="bottom"/>
            <w:tcBorders>
              <w:top w:val="single" w:sz="8" w:color="auto"/>
            </w:tcBorders>
          </w:tcPr>
          <w:p>
            <w:pPr>
              <w:jc w:val="right"/>
              <w:ind w:right="375"/>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1,210</w:t>
            </w:r>
          </w:p>
        </w:tc>
        <w:tc>
          <w:tcPr>
            <w:tcW w:w="100" w:type="dxa"/>
            <w:vAlign w:val="bottom"/>
          </w:tcPr>
          <w:p>
            <w:pPr>
              <w:spacing w:after="0"/>
              <w:rPr>
                <w:sz w:val="19"/>
                <w:szCs w:val="19"/>
                <w:color w:val="auto"/>
              </w:rPr>
            </w:pPr>
          </w:p>
        </w:tc>
        <w:tc>
          <w:tcPr>
            <w:tcW w:w="580" w:type="dxa"/>
            <w:vAlign w:val="bottom"/>
            <w:tcBorders>
              <w:top w:val="single" w:sz="8" w:color="auto"/>
            </w:tcBorders>
          </w:tcPr>
          <w:p>
            <w:pPr>
              <w:jc w:val="right"/>
              <w:ind w:right="375"/>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604</w:t>
            </w:r>
          </w:p>
        </w:tc>
      </w:tr>
      <w:tr>
        <w:trPr>
          <w:trHeight w:val="71"/>
        </w:trPr>
        <w:tc>
          <w:tcPr>
            <w:tcW w:w="812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r>
      <w:tr>
        <w:trPr>
          <w:trHeight w:val="318"/>
        </w:trPr>
        <w:tc>
          <w:tcPr>
            <w:tcW w:w="8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26"/>
        </w:trPr>
        <w:tc>
          <w:tcPr>
            <w:tcW w:w="8120" w:type="dxa"/>
            <w:vAlign w:val="bottom"/>
          </w:tcPr>
          <w:p>
            <w:pPr>
              <w:ind w:left="40"/>
              <w:spacing w:after="0"/>
              <w:rPr>
                <w:sz w:val="20"/>
                <w:szCs w:val="20"/>
                <w:color w:val="auto"/>
              </w:rPr>
            </w:pPr>
            <w:r>
              <w:rPr>
                <w:rFonts w:ascii="Arial" w:cs="Arial" w:eastAsia="Arial" w:hAnsi="Arial"/>
                <w:sz w:val="17"/>
                <w:szCs w:val="17"/>
                <w:color w:val="auto"/>
              </w:rPr>
              <w:t>Non-cash investing and financing activities:</w:t>
            </w: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5"/>
        </w:trPr>
        <w:tc>
          <w:tcPr>
            <w:tcW w:w="8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Settlement of bankruptcy obligations</w:t>
            </w:r>
          </w:p>
        </w:tc>
        <w:tc>
          <w:tcPr>
            <w:tcW w:w="5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5,362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Capital lease obligations</w:t>
            </w:r>
          </w:p>
        </w:tc>
        <w:tc>
          <w:tcPr>
            <w:tcW w:w="58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361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8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Supplemental information:</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9"/>
        </w:trPr>
        <w:tc>
          <w:tcPr>
            <w:tcW w:w="8120" w:type="dxa"/>
            <w:vAlign w:val="bottom"/>
          </w:tcPr>
          <w:p>
            <w:pPr>
              <w:ind w:left="280"/>
              <w:spacing w:after="0"/>
              <w:rPr>
                <w:sz w:val="20"/>
                <w:szCs w:val="20"/>
                <w:color w:val="auto"/>
              </w:rPr>
            </w:pPr>
            <w:r>
              <w:rPr>
                <w:rFonts w:ascii="Arial" w:cs="Arial" w:eastAsia="Arial" w:hAnsi="Arial"/>
                <w:sz w:val="17"/>
                <w:szCs w:val="17"/>
                <w:color w:val="auto"/>
              </w:rPr>
              <w:t>Interest paid, net of amounts capitalized</w:t>
            </w:r>
          </w:p>
        </w:tc>
        <w:tc>
          <w:tcPr>
            <w:tcW w:w="58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367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190</w:t>
            </w:r>
          </w:p>
        </w:tc>
      </w:tr>
      <w:tr>
        <w:trPr>
          <w:trHeight w:val="31"/>
        </w:trPr>
        <w:tc>
          <w:tcPr>
            <w:tcW w:w="8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9"/>
        </w:trPr>
        <w:tc>
          <w:tcPr>
            <w:tcW w:w="8120" w:type="dxa"/>
            <w:vAlign w:val="bottom"/>
            <w:shd w:val="clear" w:color="auto" w:fill="CCEEFF"/>
          </w:tcPr>
          <w:p>
            <w:pPr>
              <w:ind w:left="280"/>
              <w:spacing w:after="0"/>
              <w:rPr>
                <w:sz w:val="20"/>
                <w:szCs w:val="20"/>
                <w:color w:val="auto"/>
              </w:rPr>
            </w:pPr>
            <w:r>
              <w:rPr>
                <w:rFonts w:ascii="Arial" w:cs="Arial" w:eastAsia="Arial" w:hAnsi="Arial"/>
                <w:sz w:val="17"/>
                <w:szCs w:val="17"/>
                <w:color w:val="auto"/>
              </w:rPr>
              <w:t>Income tax paid</w:t>
            </w:r>
          </w:p>
        </w:tc>
        <w:tc>
          <w:tcPr>
            <w:tcW w:w="5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w:t>
            </w:r>
          </w:p>
        </w:tc>
      </w:tr>
      <w:tr>
        <w:trPr>
          <w:trHeight w:val="31"/>
        </w:trPr>
        <w:tc>
          <w:tcPr>
            <w:tcW w:w="8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AMERICAN AIRLINES GROUP INC.</w:t>
      </w:r>
    </w:p>
    <w:p>
      <w:pPr>
        <w:spacing w:after="0" w:line="63" w:lineRule="exact"/>
        <w:rPr>
          <w:sz w:val="20"/>
          <w:szCs w:val="20"/>
          <w:color w:val="auto"/>
        </w:rPr>
      </w:pPr>
    </w:p>
    <w:p>
      <w:pPr>
        <w:ind w:left="80" w:right="5440"/>
        <w:spacing w:after="0" w:line="344" w:lineRule="auto"/>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-38735</wp:posOffset>
            </wp:positionV>
            <wp:extent cx="718629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295" cy="1714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December 9, 2013 (the Effective Date), AMR Merger Sub, Inc. (Merger Sub) merged with and into US Airways Group, Inc. (US Airways Group) (the Merger), with US Airways Group surviving as a wholly-owned subsidiary of American Airlines Group Inc., a Delaware corporation (formerly known as AMR Corporation and referred to herein as AAG and, together with its consolidated subsidiaries, the Company), following the Merger. "AMR" refers to the Company during the period of time prior to its emergence from Chapter 11 and the Effective Date of the Merger.</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accompanying unaudited condensed consolidated financial statements of AAG should be read in conjunction with the consolidated financial statements contained in AAG's Annual Report on Form 10-K for the year ended December 31, 2013. The accompanying unaudited condensed consolidated financial statements include the accounts of the Company and its wholly-owned subsidiaries. Principal subsidiaries include American and, effective December 9, 2013, US Airways Group. Because the Merger did not occur until December 2013, the unaudited condensed consolidated financial statements presented do not include the accounts of US Airways Group for the three and six months ended June 30, 2013. Certain prior period amounts have been reclassified to conform to the current year financial statement presentation as described below. All significant intercompany transactions have been eliminated.</w:t>
      </w:r>
    </w:p>
    <w:p>
      <w:pPr>
        <w:spacing w:after="0" w:line="13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U.S. Generally Accepted Accounting Principles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frequent traveler programs, pensions and retiree medical and other benefits and the deferred tax asset valuation allowance.</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Chapter 11 Matters</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accordance with GAAP, the Debtors (as defined in Note 2 below) applied ASC 852 "Reorganizations" (ASC 852) in preparing the condensed consolidated financial statements for periods subsequent to the Chapter 11 Cases (as defined in Note 2 below). ASC 852 requires that the financial statements distinguish transactions and events that are directly associated with the reorganization from the ongoing operations of the business. Accordingly, certain revenues, expenses (including professional fees), realized gains and losses and provisions for losses that are realized or incurred in the Chapter 11 Cases for the 2013 period are presented in Reorganization items, net on the accompanying condensed consolidated statement of operations.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Reclassifications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prior period amounts have been reclassified between various financial statement line items to conform to the current year financial statement presentation. These reclassifications do not impact the historic net loss and are comprised principally of the following items:</w:t>
      </w:r>
    </w:p>
    <w:p>
      <w:pPr>
        <w:spacing w:after="0" w:line="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Reclassifications between various operating income line items to conform the presentation of Cargo and Other revenues.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Reclassifications between various operating expense line items to conform the presentation of Regional expenses.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Reclassifications between Other nonoperating income (expense), net and Operating expenses to conform the presentation of foreign currency gains and losses.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historical and revised financial statement amounts for AAG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60" w:type="dxa"/>
            <w:vAlign w:val="bottom"/>
            <w:gridSpan w:val="5"/>
          </w:tcPr>
          <w:p>
            <w:pPr>
              <w:ind w:left="320"/>
              <w:spacing w:after="0"/>
              <w:rPr>
                <w:sz w:val="20"/>
                <w:szCs w:val="20"/>
                <w:color w:val="auto"/>
              </w:rPr>
            </w:pPr>
            <w:r>
              <w:rPr>
                <w:rFonts w:ascii="Arial" w:cs="Arial" w:eastAsia="Arial" w:hAnsi="Arial"/>
                <w:sz w:val="18"/>
                <w:szCs w:val="18"/>
                <w:color w:val="auto"/>
              </w:rPr>
              <w:t>Three Months Ended June 30,</w:t>
            </w:r>
          </w:p>
        </w:tc>
        <w:tc>
          <w:tcPr>
            <w:tcW w:w="160" w:type="dxa"/>
            <w:vAlign w:val="bottom"/>
          </w:tcPr>
          <w:p>
            <w:pPr>
              <w:spacing w:after="0"/>
              <w:rPr>
                <w:sz w:val="20"/>
                <w:szCs w:val="20"/>
                <w:color w:val="auto"/>
              </w:rPr>
            </w:pPr>
          </w:p>
        </w:tc>
        <w:tc>
          <w:tcPr>
            <w:tcW w:w="2900" w:type="dxa"/>
            <w:vAlign w:val="bottom"/>
            <w:gridSpan w:val="4"/>
          </w:tcPr>
          <w:p>
            <w:pPr>
              <w:jc w:val="right"/>
              <w:ind w:right="430"/>
              <w:spacing w:after="0"/>
              <w:rPr>
                <w:sz w:val="20"/>
                <w:szCs w:val="20"/>
                <w:color w:val="auto"/>
              </w:rPr>
            </w:pPr>
            <w:r>
              <w:rPr>
                <w:rFonts w:ascii="Arial" w:cs="Arial" w:eastAsia="Arial" w:hAnsi="Arial"/>
                <w:sz w:val="18"/>
                <w:szCs w:val="18"/>
                <w:color w:val="auto"/>
              </w:rPr>
              <w:t>Six Months Ended June 30,</w:t>
            </w:r>
          </w:p>
        </w:tc>
      </w:tr>
      <w:tr>
        <w:trPr>
          <w:trHeight w:val="27"/>
        </w:trPr>
        <w:tc>
          <w:tcPr>
            <w:tcW w:w="49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8"/>
                <w:szCs w:val="18"/>
                <w:color w:val="auto"/>
              </w:rPr>
              <w:t>2013</w:t>
            </w: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3"/>
          </w:tcPr>
          <w:p>
            <w:pPr>
              <w:jc w:val="right"/>
              <w:ind w:right="30"/>
              <w:spacing w:after="0"/>
              <w:rPr>
                <w:sz w:val="20"/>
                <w:szCs w:val="20"/>
                <w:color w:val="auto"/>
              </w:rPr>
            </w:pPr>
            <w:r>
              <w:rPr>
                <w:rFonts w:ascii="Arial" w:cs="Arial" w:eastAsia="Arial" w:hAnsi="Arial"/>
                <w:sz w:val="18"/>
                <w:szCs w:val="18"/>
                <w:color w:val="auto"/>
              </w:rPr>
              <w:t>2013</w:t>
            </w:r>
          </w:p>
        </w:tc>
        <w:tc>
          <w:tcPr>
            <w:tcW w:w="122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color w:val="auto"/>
              </w:rPr>
              <w:t>As Reclassified</w:t>
            </w:r>
          </w:p>
        </w:tc>
        <w:tc>
          <w:tcPr>
            <w:tcW w:w="24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rPr>
              <w:t>Historical</w:t>
            </w:r>
          </w:p>
        </w:tc>
        <w:tc>
          <w:tcPr>
            <w:tcW w:w="16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As Reclassified</w:t>
            </w:r>
          </w:p>
        </w:tc>
        <w:tc>
          <w:tcPr>
            <w:tcW w:w="260" w:type="dxa"/>
            <w:vAlign w:val="bottom"/>
          </w:tcPr>
          <w:p>
            <w:pPr>
              <w:spacing w:after="0"/>
              <w:rPr>
                <w:sz w:val="20"/>
                <w:szCs w:val="20"/>
                <w:color w:val="auto"/>
              </w:rPr>
            </w:pPr>
          </w:p>
        </w:tc>
        <w:tc>
          <w:tcPr>
            <w:tcW w:w="1220" w:type="dxa"/>
            <w:vAlign w:val="bottom"/>
          </w:tcPr>
          <w:p>
            <w:pPr>
              <w:jc w:val="right"/>
              <w:ind w:right="290"/>
              <w:spacing w:after="0"/>
              <w:rPr>
                <w:sz w:val="20"/>
                <w:szCs w:val="20"/>
                <w:color w:val="auto"/>
              </w:rPr>
            </w:pPr>
            <w:r>
              <w:rPr>
                <w:rFonts w:ascii="Arial" w:cs="Arial" w:eastAsia="Arial" w:hAnsi="Arial"/>
                <w:sz w:val="18"/>
                <w:szCs w:val="18"/>
                <w:color w:val="auto"/>
              </w:rPr>
              <w:t>Historical</w:t>
            </w: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Mainline passenger</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4,888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4,888</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9,502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9,502</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Regional passenger</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752</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1,431</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Cargo</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322</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642</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1,292</w:t>
            </w:r>
          </w:p>
        </w:tc>
      </w:tr>
      <w:tr>
        <w:trPr>
          <w:trHeight w:val="237"/>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Total operating revenues</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6,449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6,449</w:t>
            </w: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12,547</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12,547</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Aircraft fuel and related taxes</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1,880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2,139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3,814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4,339</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wages and benefits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2,934</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Regional expenses</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Other rent and landing fees</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690</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Selling expenses</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533</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Special items, net</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956</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1,875</w:t>
            </w:r>
          </w:p>
        </w:tc>
      </w:tr>
      <w:tr>
        <w:trPr>
          <w:trHeight w:val="237"/>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5,937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5,960</w:t>
            </w: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11,964</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12,007</w:t>
            </w: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Interest expense, net of capitalized interest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(406)</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5040" w:type="dxa"/>
            <w:vAlign w:val="bottom"/>
            <w:gridSpan w:val="2"/>
          </w:tcPr>
          <w:p>
            <w:pPr>
              <w:ind w:left="280"/>
              <w:spacing w:after="0"/>
              <w:rPr>
                <w:sz w:val="20"/>
                <w:szCs w:val="20"/>
                <w:color w:val="auto"/>
              </w:rPr>
            </w:pPr>
            <w:r>
              <w:rPr>
                <w:rFonts w:ascii="Arial" w:cs="Arial" w:eastAsia="Arial" w:hAnsi="Arial"/>
                <w:sz w:val="18"/>
                <w:szCs w:val="18"/>
                <w:color w:val="auto"/>
              </w:rPr>
              <w:t>Total nonoperating expense, net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w:t>
            </w:r>
          </w:p>
        </w:tc>
      </w:tr>
    </w:tbl>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Additionally, on the condensed consolidated statement of cash flows, the Company reclassified $30 million in deferred financing charges from operating to financing cash flow activities for the six months ended June 30, 2013 in order to conform to the current year financial statement presentation.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Accounting Pronouncements</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May 2014, the Financial Accounting Standards Board (FASB) issued Accounting Standards Update (ASU) 2014-09, “Revenue from Contracts with Customers (Topic 606).” ASU 2014-09 completes the joint effort by the FASB and International Accounting Standards Board (IASB) to improve financial reporting by creating common revenue recognition guidance for U.S. GAAP and International Financial Reporting Standards (IFRS). ASU 2014-09 applies to all companies that enter into contracts with customers to transfer goods or services. ASU 2014-09 is effective for public entities for interim and annual reporting periods beginning after December 15, 2016. Early application is not permitted and entities have the choice to apply ASU 2014-09 either retrospectively to each reporting period presented or by recognizing the cumulative effect of applying ASU 2014-09 at the date of initial application and not adjusting comparative information. The Company is currently evaluating the requirements of ASU 2014-09 and has not yet determined its impact on the Company's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right="6140" w:hanging="652"/>
        <w:spacing w:after="0" w:line="440" w:lineRule="auto"/>
        <w:tabs>
          <w:tab w:leader="none" w:pos="19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Emergence From Chapter 11 and Merger with US Airways Group </w:t>
      </w:r>
      <w:r>
        <w:rPr>
          <w:rFonts w:ascii="Arial" w:cs="Arial" w:eastAsia="Arial" w:hAnsi="Arial"/>
          <w:sz w:val="18"/>
          <w:szCs w:val="18"/>
          <w:b w:val="1"/>
          <w:bCs w:val="1"/>
          <w:i w:val="1"/>
          <w:iCs w:val="1"/>
          <w:color w:val="auto"/>
        </w:rPr>
        <w:t>Overview</w:t>
      </w:r>
    </w:p>
    <w:p>
      <w:pPr>
        <w:spacing w:after="0" w:line="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November 29, 2011 (the Petition Date), AMR, its principal subsidiary, American, and certain of the Company's other direct and indirect domestic subsidiaries (collectively, the Debtors), filed voluntary petitions for relief (the Chapter 11 Cases) under Chapter 11 of the United States Bankruptcy Code (the Bankruptcy Code) in the United States Bankruptcy Court for the Southern District of New York (the Bankruptcy Court). On October 21, 2013, the Bankruptcy Court entered an order (the Confirmation Order) approving and confirming the Debtors' fourth amended joint plan of reorganization (as amended, the Plan).</w:t>
      </w:r>
    </w:p>
    <w:p>
      <w:pPr>
        <w:spacing w:after="0" w:line="13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the Effective Date, the Debtors consummated their reorganization pursuant to the Plan, principally through the transactions contemplated by that certain Agreement and Plan of Merger (as amended, the Merger Agreement), dated as of February 13, 2013, by and among the Company, Merger Sub and US Airways Group, pursuant to which Merger Sub merged with and into US Airways Group, with US Airways Group surviving as a wholly-owned subsidiary of the Company following the Merger. Pursuant to the Merger Agreement, each share of common stock, par value $0.01 per share, of US Airways Group was converted into the right to receive one share of American Airlines Group Inc. common stock, par value $0.01 per share (AAG Common Stock).</w:t>
      </w:r>
    </w:p>
    <w:p>
      <w:pPr>
        <w:spacing w:after="0" w:line="1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From the Petition Date through the Effective Date, pursuant to automatic stay provisions under the Bankruptcy Code and orders granted by the Bankruptcy Court, all actions to enforce or otherwise effect repayment of liabilities preceding the Petition Date as well as all pending litigation against the Debtors generally were stayed. Following the Effective Date, actions to enforce or otherwise effect repayment of liabilities preceding the Petition Date generally have been permanently enjoined. Any unresolved claims will continue to be subject to the claims reconciliation process under the supervision of the Bankruptcy Court. However, certain pending litigation related to pre-petition liabilities may proceed in courts other than the Bankruptcy Court to the extent the parties to such litigation have obtained relief from the permanent injunction.</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Plan of Reorganization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Plan implements the Merger and incorporates a compromise and settlement of certain intercreditor and intercompany claim issues.</w:t>
      </w:r>
    </w:p>
    <w:p>
      <w:pPr>
        <w:spacing w:after="0" w:line="26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Pursuant to the Plan, all shares of AMR common stock outstanding prior to the Effective Date were canceled. AAG's Certificate of Incorporation, which was approved in connection with the Plan, authorizes the issuance of 1.75 billion new shares of AAG Common Stock and 200 million shares of AAG Series A Preferred Stock, par value $0.01 per share (AAG Series A Preferred Stock). Of the authorized AAG Series A Preferred Stock, approximately 168 million were designated "Series A Convertible Preferred Stock," with a stated value $25.00 per share, and issued in accordance with the Plan. AAG Common Stock is listed on the NASDAQ Global Select Market under the symbol "AAL" and began trading on December 9, 2013. AAG Series A Preferred Stock was listed on the NASDAQ Global Select Market under the symbol "AALCP" from December 9, 2013 until its final mandatory conversion on April 8, 2014. In addition, the 2013 Incentive Award Plan (the 2013 IAP) authorizes the grant of awards for the issuance of 40 million shares of AAG Common Stock plus any shares underlying awards granted under the 2013 IAP, or any pre-existing US Airways Group plan, that are forfeited, terminate or are cash settled (in whole or in part) without a payment being made in the form of shares. Any shares that are available for issuance under the US Airways Group 2011 Incentive Award Plan (the 2011 IAP) as of the effective date of the Merger may be used for awards under the 2013 IAP; provided, that awards using such available shares shall not be made after the date awards or grants could have been made under 2011 IAP and shall only be made to individuals who were not providing services to American Airlines Group prior to the Merger.</w:t>
      </w:r>
    </w:p>
    <w:p>
      <w:pPr>
        <w:spacing w:after="0" w:line="12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Plan contains the following provisions relating to the treatment of pre-petition claims against the Debtors and other holders of allowed interests in the Debtors:</w:t>
      </w:r>
    </w:p>
    <w:p>
      <w:pPr>
        <w:spacing w:after="0" w:line="11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secured claims against the Debtors have been reinstated;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allowed administrative claims, priority claims and convenience claims have been or will be paid in full in cash;</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holders of allowed pre-petition unsecured claims, holders of allowed interests and certain employees of AMR received or will receive 72% of AAG Common Stock (on a fully converted basis) authorized to be issued pursuant to the Plan and in connection with the Merger under the following provisions:</w:t>
      </w:r>
    </w:p>
    <w:p>
      <w:pPr>
        <w:spacing w:after="0" w:line="127" w:lineRule="exact"/>
        <w:rPr>
          <w:rFonts w:ascii="Arial" w:cs="Arial" w:eastAsia="Arial" w:hAnsi="Arial"/>
          <w:sz w:val="18"/>
          <w:szCs w:val="18"/>
          <w:color w:val="auto"/>
        </w:rPr>
      </w:pPr>
    </w:p>
    <w:p>
      <w:pPr>
        <w:ind w:left="1460" w:hanging="723"/>
        <w:spacing w:after="0" w:line="264" w:lineRule="auto"/>
        <w:tabs>
          <w:tab w:leader="none" w:pos="1055"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creditors holding general unsecured claims against American that are guaranteed by AAG and general unsecured claims against AAG that are guaranteed by American (Double-Dip Unsecured Claims) were treated the same under the Plan. Holders of Double-Dip Unsecured Claims received, at the Effective Date, their recovery in shares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1060" w:right="20"/>
        <w:spacing w:after="0" w:line="324" w:lineRule="auto"/>
        <w:rPr>
          <w:sz w:val="20"/>
          <w:szCs w:val="20"/>
          <w:color w:val="auto"/>
        </w:rPr>
      </w:pPr>
      <w:r>
        <w:rPr>
          <w:rFonts w:ascii="Arial" w:cs="Arial" w:eastAsia="Arial" w:hAnsi="Arial"/>
          <w:sz w:val="18"/>
          <w:szCs w:val="18"/>
          <w:color w:val="auto"/>
        </w:rPr>
        <w:t>of AAG Series A Preferred Stock with a stated amount equal to the allowed amount of their claims, including post-petition interest at the non-default rate;</w:t>
      </w:r>
    </w:p>
    <w:p>
      <w:pPr>
        <w:spacing w:after="0" w:line="89" w:lineRule="exact"/>
        <w:rPr>
          <w:sz w:val="20"/>
          <w:szCs w:val="20"/>
          <w:color w:val="auto"/>
        </w:rPr>
      </w:pPr>
    </w:p>
    <w:p>
      <w:pPr>
        <w:ind w:left="1460" w:hanging="723"/>
        <w:spacing w:after="0" w:line="297" w:lineRule="auto"/>
        <w:tabs>
          <w:tab w:leader="none" w:pos="1055"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creditors holding Single-Dip Unsecured Claims were treated the same regardless of whether the claim was asserted against the AAG Debtors, the American Debtors, or other Debtors. As used herein, "Single-Dip Unsecured Claims" means the general unsecured claims against the Debtors that were not guaranteed by any other Debtor, other than the claims of the Debtors' labor unions representing mainline workers. Holders of Single-Dip Unsecured Claims received a portion of their recovery in shares of AAG Series A Preferred Stock at the Effective Date and their remaining recovery in shares of AAG Common Stock during the 120-day period after the Effective Date;</w:t>
      </w:r>
    </w:p>
    <w:p>
      <w:pPr>
        <w:spacing w:after="0" w:line="104" w:lineRule="exact"/>
        <w:rPr>
          <w:rFonts w:ascii="Arial" w:cs="Arial" w:eastAsia="Arial" w:hAnsi="Arial"/>
          <w:sz w:val="16"/>
          <w:szCs w:val="16"/>
          <w:color w:val="auto"/>
        </w:rPr>
      </w:pPr>
    </w:p>
    <w:p>
      <w:pPr>
        <w:ind w:left="1460" w:hanging="723"/>
        <w:spacing w:after="0" w:line="255" w:lineRule="auto"/>
        <w:tabs>
          <w:tab w:leader="none" w:pos="1055" w:val="left"/>
        </w:tabs>
        <w:numPr>
          <w:ilvl w:val="0"/>
          <w:numId w:val="6"/>
        </w:numPr>
        <w:rPr>
          <w:rFonts w:ascii="Arial" w:cs="Arial" w:eastAsia="Arial" w:hAnsi="Arial"/>
          <w:sz w:val="18"/>
          <w:szCs w:val="18"/>
          <w:color w:val="auto"/>
        </w:rPr>
      </w:pPr>
      <w:r>
        <w:rPr>
          <w:rFonts w:ascii="Arial" w:cs="Arial" w:eastAsia="Arial" w:hAnsi="Arial"/>
          <w:sz w:val="18"/>
          <w:szCs w:val="18"/>
          <w:color w:val="auto"/>
        </w:rPr>
        <w:t>holders of certain labor-related deemed claims and certain non-management, non-union employees as specified in the Plan received, at the Effective Date, the right to receive an allocation of shares of AAG Common Stock representing 23.6% of the total number of shares of AAG Common Stock ultimately distributed to holders of pre-petition general unsecured creditors against the Debtors. On the Effective Date, pursuant to the Plan, an initial allocation of approximately 39 million shares of AAG Common Stock was made related to these labor and employee groups, of which approximately 27 million shares were distributed on the Effective Date and approximately 13 million shares of which were withheld in connection with the Company making a cash payment of approximately $300 million for certain required withholding taxes;</w:t>
      </w:r>
    </w:p>
    <w:p>
      <w:pPr>
        <w:spacing w:after="0" w:line="135" w:lineRule="exact"/>
        <w:rPr>
          <w:rFonts w:ascii="Arial" w:cs="Arial" w:eastAsia="Arial" w:hAnsi="Arial"/>
          <w:sz w:val="18"/>
          <w:szCs w:val="18"/>
          <w:color w:val="auto"/>
        </w:rPr>
      </w:pPr>
    </w:p>
    <w:p>
      <w:pPr>
        <w:ind w:left="1460" w:hanging="723"/>
        <w:spacing w:after="0" w:line="259" w:lineRule="auto"/>
        <w:tabs>
          <w:tab w:leader="none" w:pos="1055" w:val="left"/>
        </w:tabs>
        <w:numPr>
          <w:ilvl w:val="0"/>
          <w:numId w:val="6"/>
        </w:numPr>
        <w:rPr>
          <w:rFonts w:ascii="Arial" w:cs="Arial" w:eastAsia="Arial" w:hAnsi="Arial"/>
          <w:sz w:val="18"/>
          <w:szCs w:val="18"/>
          <w:color w:val="auto"/>
        </w:rPr>
      </w:pPr>
      <w:r>
        <w:rPr>
          <w:rFonts w:ascii="Arial" w:cs="Arial" w:eastAsia="Arial" w:hAnsi="Arial"/>
          <w:sz w:val="18"/>
          <w:szCs w:val="18"/>
          <w:color w:val="auto"/>
        </w:rPr>
        <w:t>holders of allowed interests in AMR (primarily holders of AMR common stock existing immediately prior to the Effective Date) received, at the Effective Date, a distribution of approximately 26 million shares of AAG Common Stock representing 3.5% of the total number of shares of AAG Common Stock contemplated for issuance pursuant to the Plan and received an additional 267 million shares of AAG Common Stock during the 120-day period after the Effective Date; and</w:t>
      </w:r>
    </w:p>
    <w:p>
      <w:pPr>
        <w:spacing w:after="0" w:line="132" w:lineRule="exact"/>
        <w:rPr>
          <w:rFonts w:ascii="Arial" w:cs="Arial" w:eastAsia="Arial" w:hAnsi="Arial"/>
          <w:sz w:val="18"/>
          <w:szCs w:val="18"/>
          <w:color w:val="auto"/>
        </w:rPr>
      </w:pPr>
    </w:p>
    <w:p>
      <w:pPr>
        <w:ind w:left="1460" w:hanging="723"/>
        <w:spacing w:after="0" w:line="297" w:lineRule="auto"/>
        <w:tabs>
          <w:tab w:leader="none" w:pos="1055" w:val="left"/>
        </w:tabs>
        <w:numPr>
          <w:ilvl w:val="0"/>
          <w:numId w:val="6"/>
        </w:numPr>
        <w:rPr>
          <w:rFonts w:ascii="Arial" w:cs="Arial" w:eastAsia="Arial" w:hAnsi="Arial"/>
          <w:sz w:val="16"/>
          <w:szCs w:val="16"/>
          <w:color w:val="auto"/>
        </w:rPr>
      </w:pPr>
      <w:r>
        <w:rPr>
          <w:rFonts w:ascii="Arial" w:cs="Arial" w:eastAsia="Arial" w:hAnsi="Arial"/>
          <w:sz w:val="16"/>
          <w:szCs w:val="16"/>
          <w:color w:val="auto"/>
        </w:rPr>
        <w:t>holders of disputed claims at the Effective Date, to the extent such disputed claims become allowed Single-Dip Unsecured Claims after the Effective Date, are eligible to receive shares of AAG Common Stock held in reserve (the Disputed Claims Reserve), beginning 180 days after the Effective Date. Disputed claimholders that subsequently become holders of Single-Dip Unsecured Claims will receive, subject to the availability of sufficient shares in the Disputed Claims Reserve, the number of shares of AAG Common Stock that the disputed claimholder would have received had such claimholder been a holder of Single-Dip Unsecured Claims as of the Effective Date.</w:t>
      </w:r>
    </w:p>
    <w:p>
      <w:pPr>
        <w:spacing w:after="0" w:line="1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Plan contemplated the distribution of up to 756 million shares of AAG Common Stock, however this amount has been reduced by approximately 20 million shares because certain tax withholdings for employees were paid in cash as permitted under the Plan. In accordance with the Plan, the Company issued the remaining shares of AAG Common Stock over the 120-day distribution period, except for shares held in the Disputed Claims Reserve. In addition, pursuant to the Plan, approximately 197 million shares of AAG Common Stock were distributed to holders of outstanding shares of US Airways Group common stock.</w:t>
      </w:r>
    </w:p>
    <w:p>
      <w:pPr>
        <w:spacing w:after="0" w:line="13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Pursuant to rulings of the Bankruptcy Court, the Plan has established the Disputed Claims Reserve to hold shares of AAG Common Stock reserved for issuance to disputed claimholders at the Effective Date that ultimately become holders of allowed Single-Dip Unsecured Claims. The shares provided for under the Plan were determined based upon a Disputed Claims Reserve amount of claims of approximately $755 million, representing the maximum amount of additional distributions to subsequently allowed Single-Dip Unsecured Claims under the Plan. As of June 30, 2014 approximately 30.4 million shares of AAG Common Stock were reserved for distribution to holders of disputed Single-Dip general Unsecured Claims (Single-Dip Equity Obligations) whose claims ultimately become allowed as well as to certain AMR labor groups and employees who received a deemed claim amount based upon a fixed percentage of the distributions to be made to general unsecured claimholders. As disputed claims are resolved, the claimants will receive distributions of shares from the Disputed Claims Reserve on the same basis as if such distributions had been made on or about the Effective Date. On July 1, 2014, approximately 2.9 million of the approximately 30.4 million shares held in the Disputed Claims Reserve were distributed to holders of allowed Single-Dip Unsecured Claims, to holders of certain labor-related deemed claims, and to holders of certain non-management, non-union employee deemed claims as specified in the Plan, and shares were withheld or sold on account of related tax obligations. To the extent that any of the reserved shares remain undistributed upon resolution of all remaining disputed claims, such shares will not be returned to the Company but rather will be distributed to former AMR shareholders as of the Effective Date. The Company is not required to distribute additional shares above the limits contemplated by the Plan described above.</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from the Effective Date through June 30, 2014, the Company made the following cash disbursements under the Plan:</w:t>
      </w:r>
    </w:p>
    <w:p>
      <w:pPr>
        <w:spacing w:after="0" w:line="158" w:lineRule="exact"/>
        <w:rPr>
          <w:sz w:val="20"/>
          <w:szCs w:val="20"/>
          <w:color w:val="auto"/>
        </w:rPr>
      </w:pPr>
    </w:p>
    <w:p>
      <w:pPr>
        <w:ind w:left="660" w:right="1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$385 million in cash to the pension plans in connection with missed contributions to the pension plans during the Chapter 11 Cases and interest and penalty interest thereon;</w:t>
      </w:r>
    </w:p>
    <w:p>
      <w:pPr>
        <w:spacing w:after="0" w:line="102"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$108 million in cash to holders in partial or full satisfaction of their claims, including to holders of administrative claims, and state and local priority tax claims;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$196 million in cure payments to holders of secured debt; and</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$542 million for payroll taxes associated with equity distributions to employees.</w:t>
      </w:r>
    </w:p>
    <w:p>
      <w:pPr>
        <w:spacing w:after="0" w:line="15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Several parties have filed appeals seeking reconsideration of the Confirmation Order. Refer to Note 14 for more information.</w:t>
      </w:r>
    </w:p>
    <w:p>
      <w:pPr>
        <w:spacing w:after="0" w:line="1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noted above, the reconciliation process with respect to the remaining claims will take considerable time post-emergence. The Company's estimate of the amounts of disputed claims that will ultimately become allowed Single-Dip Unsecured Claims are included in Mandatorily convertible preferred stock and other bankruptcy settlement obligations on the Company's condensed consolidated balance sheet as of June 30, 2014. As these claims are resolved, or where better information becomes available and is evaluated, the Company will make adjustments to the liabilities recorded on its condensed consolidated financial statements as appropriate. Any such adjustments could be material to the Company's financial position or results of operations in any given period.</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Availability and Utilization of Net Operating Losses</w:t>
      </w:r>
    </w:p>
    <w:p>
      <w:pPr>
        <w:spacing w:after="0" w:line="11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Upon emergence from bankruptcy, the Debtors experienced an "ownership change" as defined in Section 382 of the Internal Revenue Code which could potentially limit the ability to utilize certain tax attributes including the Debtors’ substantial net operating losses (NOLs). The general limitation rules for a debtor in a bankruptcy case are liberalized where the ownership change occurs upon emergence from bankruptcy. While the Debtors anticipate taking advantage of certain special rules for federal income tax purposes that would permit approximately $9.0 billion of the federal NOL Carryforwards to be utilized without regard to the annual limitation generally imposed by Section 382, there can be no assurance that these special rules will apply.</w:t>
      </w:r>
    </w:p>
    <w:p>
      <w:pPr>
        <w:spacing w:after="0" w:line="5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Moreover, an ownership change subsequent to the Debtors’ emergence from bankruptcy may further limit or effectively eliminate the ability to utilize the Debtors’ NOL Carryforwards and other tax attributes. To reduce the risk of a potential adverse effect on the Debtors’ ability to utilize the NOL Carryforwards, AAG's Certificate of Incorporation contains transfer restrictions applicable to certain substantial shareholders. Although the purpose of these transfer restrictions is to prevent an ownership change from occurring, there can be no assurance that an ownership change will not occur even with these transfer restrictions. A copy of AAG's Certificate of Incorporation was attached as Exhibit 3.1 to a Current Report on Form 8-K filed by the Company with the SEC on December 9, 2013.</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Reorganization Items, Net</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Reorganization items refer to revenues, expenses (including professional fees), realized gains and losses and provisions for losses that are realized or incurred in the Chapter 11 Cases. The following table summarizes the components included in reorganization items, net on the condensed consolidated statements of operations for the three and six months ended June 30, 2013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00" w:type="dxa"/>
            <w:vAlign w:val="bottom"/>
            <w:shd w:val="clear" w:color="auto" w:fill="CCEEFF"/>
          </w:tcPr>
          <w:p>
            <w:pPr>
              <w:spacing w:after="0"/>
              <w:rPr>
                <w:sz w:val="19"/>
                <w:szCs w:val="19"/>
                <w:color w:val="auto"/>
              </w:rPr>
            </w:pPr>
          </w:p>
        </w:tc>
        <w:tc>
          <w:tcPr>
            <w:tcW w:w="21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7"/>
              </w:rPr>
              <w:t>Three Months Ended June</w:t>
            </w:r>
          </w:p>
        </w:tc>
        <w:tc>
          <w:tcPr>
            <w:tcW w:w="2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0"/>
              </w:rPr>
              <w:t>Six Months Ended June 30,</w:t>
            </w:r>
          </w:p>
        </w:tc>
      </w:tr>
      <w:tr>
        <w:trPr>
          <w:trHeight w:val="257"/>
        </w:trPr>
        <w:tc>
          <w:tcPr>
            <w:tcW w:w="72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30, 2013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2013</w:t>
            </w:r>
          </w:p>
        </w:tc>
      </w:tr>
      <w:tr>
        <w:trPr>
          <w:trHeight w:val="264"/>
        </w:trPr>
        <w:tc>
          <w:tcPr>
            <w:tcW w:w="720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Aircraft and facility financing renegotiations and rejections </w:t>
            </w:r>
            <w:r>
              <w:rPr>
                <w:rFonts w:ascii="Arial" w:cs="Arial" w:eastAsia="Arial" w:hAnsi="Arial"/>
                <w:sz w:val="25"/>
                <w:szCs w:val="25"/>
                <w:color w:val="auto"/>
                <w:vertAlign w:val="superscript"/>
              </w:rPr>
              <w:t>(1)</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2"/>
                <w:szCs w:val="22"/>
                <w:color w:val="auto"/>
              </w:rPr>
            </w:pPr>
          </w:p>
        </w:tc>
        <w:tc>
          <w:tcPr>
            <w:tcW w:w="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w:t>
            </w:r>
          </w:p>
        </w:tc>
        <w:tc>
          <w:tcPr>
            <w:tcW w:w="4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7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reorganization items, net</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r>
      <w:tr>
        <w:trPr>
          <w:trHeight w:val="20"/>
        </w:trPr>
        <w:tc>
          <w:tcPr>
            <w:tcW w:w="7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340" w:hanging="332"/>
        <w:spacing w:after="0" w:line="250" w:lineRule="auto"/>
        <w:tabs>
          <w:tab w:leader="none" w:pos="340" w:val="left"/>
        </w:tabs>
        <w:numPr>
          <w:ilvl w:val="0"/>
          <w:numId w:val="8"/>
        </w:numPr>
        <w:rPr>
          <w:rFonts w:ascii="Arial" w:cs="Arial" w:eastAsia="Arial" w:hAnsi="Arial"/>
          <w:sz w:val="24"/>
          <w:szCs w:val="24"/>
          <w:color w:val="auto"/>
          <w:vertAlign w:val="superscript"/>
        </w:rPr>
      </w:pPr>
      <w:r>
        <w:rPr>
          <w:rFonts w:ascii="Arial" w:cs="Arial" w:eastAsia="Arial" w:hAnsi="Arial"/>
          <w:sz w:val="17"/>
          <w:szCs w:val="17"/>
          <w:color w:val="auto"/>
        </w:rPr>
        <w:t>Amounts include allowed claims (claims approved by the Bankruptcy Court) and estimated allowed claims relating to (i) the rejection or modification of financings related to aircraft and (ii) entry of orders treated as unsecured claims with respect to facility agreements supporting certain issuances of special facility revenue bonds. The Debtors recorded an estimated claim associated with the rejection or modification of a financing or facility agreement when the applicable motion was filed with the Bankruptcy Court to reject or modify such financing and the Debtors believed that it was probable the motion would be approved, and there was sufficient information to estimate the claim.</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Mandatorily Convertible Preferred Stock and Other Bankruptcy Settlement Obligations</w:t>
      </w:r>
    </w:p>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components of Mandatorily convertible preferred stock and other bankruptcy settlement obligations on the condensed consolidated balance sheets are as follows (in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June 30, 2014</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jc w:val="right"/>
              <w:ind w:right="290"/>
              <w:spacing w:after="0"/>
              <w:rPr>
                <w:sz w:val="20"/>
                <w:szCs w:val="20"/>
                <w:color w:val="auto"/>
              </w:rPr>
            </w:pPr>
            <w:r>
              <w:rPr>
                <w:rFonts w:ascii="Arial" w:cs="Arial" w:eastAsia="Arial" w:hAnsi="Arial"/>
                <w:sz w:val="18"/>
                <w:szCs w:val="18"/>
                <w:color w:val="auto"/>
                <w:w w:val="92"/>
              </w:rPr>
              <w:t>December 31, 2013</w:t>
            </w:r>
          </w:p>
        </w:tc>
      </w:tr>
      <w:tr>
        <w:trPr>
          <w:trHeight w:val="27"/>
        </w:trPr>
        <w:tc>
          <w:tcPr>
            <w:tcW w:w="72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AAG Series A Preferred Stock</w:t>
            </w:r>
          </w:p>
        </w:tc>
        <w:tc>
          <w:tcPr>
            <w:tcW w:w="1580" w:type="dxa"/>
            <w:vAlign w:val="bottom"/>
          </w:tcPr>
          <w:p>
            <w:pPr>
              <w:jc w:val="right"/>
              <w:ind w:right="137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3,833</w:t>
            </w:r>
          </w:p>
        </w:tc>
      </w:tr>
      <w:tr>
        <w:trPr>
          <w:trHeight w:val="27"/>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Single-Dip Equity Obligations</w:t>
            </w:r>
          </w:p>
        </w:tc>
        <w:tc>
          <w:tcPr>
            <w:tcW w:w="15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1,246</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Labor-related deemed claim</w:t>
            </w:r>
          </w:p>
        </w:tc>
        <w:tc>
          <w:tcPr>
            <w:tcW w:w="15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849</w:t>
            </w:r>
          </w:p>
        </w:tc>
      </w:tr>
      <w:tr>
        <w:trPr>
          <w:trHeight w:val="27"/>
        </w:trPr>
        <w:tc>
          <w:tcPr>
            <w:tcW w:w="72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5,928</w:t>
            </w:r>
          </w:p>
        </w:tc>
      </w:tr>
      <w:tr>
        <w:trPr>
          <w:trHeight w:val="20"/>
        </w:trPr>
        <w:tc>
          <w:tcPr>
            <w:tcW w:w="72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AAG Series A Preferred Stock, while outstanding, voted and participated in accordance with the terms of the underlying Certificate of Designation. One quarter of the shares of AAG Series A Preferred Stock initially issued was mandatorily convertible on each of the 30th, 60th, 90th and 120th days after the Effective Date, subject to additional voluntary conversions. The initial stated value of each share of AAG Series A Preferred Stock was $25.00 and accrued dividends at 6.25% per annum, calculated daily, while outstanding. Additionally, AAG Series A Preferred Stock converted to AAG Common Stock based upon the volume weighted average price of the shares of AAG Common Stock on the five trading days immediately preceding the conversion date, at a 3.5% fixed discount, subject to a conversion price floor of $10.875 per share and a conversion price cap of $33.8080 per share, below or above which the conversion rate remains fixed. As of April 8, 2014, all shares of AAG Series A Preferred Stock had been converted into AAG Common Stock.</w:t>
      </w:r>
    </w:p>
    <w:p>
      <w:pPr>
        <w:spacing w:after="0" w:line="13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Single-Dip Equity Obligations, while outstanding, do not vote or participate in accordance with the terms of the Plan. These equity obligations, representing the amount of total Single-Dip Unsecured Claims not satisfied through the issuance of AAG Series A Preferred Stock at the Effective Date, represented an unconditional obligation to transfer a variable number of shares of AAG Common Stock based predominantly on a fixed monetary amount known at inception, and, as such, were not treated as equity, but rather as liabilities, until the 120th day after emergence, which was April 8, 2014. As of April 8, 2014, the Company has issued shares of AAG Common Stock to satisfy the obligation amount at emergence, plus accrued dividends of 12% per annum, calculated daily, through such date, based on the volume weighted average price of the shares of AAG Common Stock, at a 3.5% discount, as specified in the Plan. The remaining Single-Dip Equity Obligations at June 30, 2014 is the Company’s estimate of its obligation for disputed claims of $317 million and is calculated based on the fair value of the shares expected to be issued, measured as if the obligations were settled using the closing price of AAG Common Stock at June 30, 2014. Additional allowed claims will receive 30.7553 shares, subject to reduction for expenses of the Disputed Claims Reserve, including tax liabilities, for each $1,000 of allowed claims. For accounting purposes, the value of the shares expected to be issued are marked-to market each period until issued. Accordingly, changes in the value of AAG Common Stock could result in future increases and decreases in this obligation.</w:t>
      </w:r>
    </w:p>
    <w:p>
      <w:pPr>
        <w:spacing w:after="0" w:line="11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exchange for employees' contributions to the successful reorganization of the Company, including agreeing to reductions in pay and benefits, the Company agreed in the Plan to provide each employee group a deemed claim which was used to provide a distribution of a portion of the equity of the reorganized entity to those employees. Each employee group received a deemed claim amount based upon a fixed percentage of the distributions to be made to general unsecured claimholders. The fair value based on the expected number of shares to be distributed to satisfy this deemed claim, as adjusted, was approximately $1.5 billion. From the Effective Date through June 30, 2014, the Company has made distributions of $961 million in AAG Common Stock and paid approximately $542 million in cash to cover payroll taxes related to the equity distributions. As of June 30, 2014, the liability to certain AMR labor groups and employees of $98 million represents the estimated fair value of the remaining shares expected to be issued in satisfaction of such obligation, measured as if the obligation were settled using the closing price of AAG Common Stock at June 30, 2014. For accounting purposes, the value of the remaining shares expected to be issued to satisfy the labor claim are marked-to market each period until issued. Accordingly, changes in the value of AAG Common Stock could result in future increases and decreases in this obligation.</w:t>
      </w:r>
    </w:p>
    <w:p>
      <w:pPr>
        <w:spacing w:after="0" w:line="1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July 1, 2014, approximately 2.9 million of the approximately 30.4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shares were withheld or sold on account of related tax obligations. The next planned distribution date is October 1, 2014 for any disputed Single-Dip Unsecured Claims that become allowed after July 1, 2014.</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Slot Divestiture</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stipulation for the Merger to be approved by the Department of Justice (DOJ), the Company was required to divest certain slots at Ronald Reagan Washington National Airport (DCA). As of December 31, 2013, the DCA slots to be divested were recorded as assets held for sale and included in Prepaid expenses and other on the consolidated balance sheet. In the first quarter of 2014, the Company divested the required DCA slots and received $307 million in cash as well as 24 slots at John F. Kennedy Airport. The Company recognized a gain of $309 million related to the divestiture, which has been included in Special items, net in the condensed consolidated statement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Special Items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Special items, net on the condensed consolidated statements of operations are as follows (in millions):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80" w:type="dxa"/>
            <w:vAlign w:val="bottom"/>
          </w:tcPr>
          <w:p>
            <w:pPr>
              <w:spacing w:after="0"/>
              <w:rPr>
                <w:sz w:val="17"/>
                <w:szCs w:val="17"/>
                <w:color w:val="auto"/>
              </w:rPr>
            </w:pPr>
          </w:p>
        </w:tc>
        <w:tc>
          <w:tcPr>
            <w:tcW w:w="2000" w:type="dxa"/>
            <w:vAlign w:val="bottom"/>
            <w:gridSpan w:val="7"/>
          </w:tcPr>
          <w:p>
            <w:pPr>
              <w:ind w:left="60"/>
              <w:spacing w:after="0"/>
              <w:rPr>
                <w:sz w:val="20"/>
                <w:szCs w:val="20"/>
                <w:color w:val="auto"/>
              </w:rPr>
            </w:pPr>
            <w:r>
              <w:rPr>
                <w:rFonts w:ascii="Arial" w:cs="Arial" w:eastAsia="Arial" w:hAnsi="Arial"/>
                <w:sz w:val="17"/>
                <w:szCs w:val="17"/>
                <w:color w:val="auto"/>
                <w:w w:val="95"/>
              </w:rPr>
              <w:t>Three Months Ended June</w:t>
            </w:r>
          </w:p>
        </w:tc>
        <w:tc>
          <w:tcPr>
            <w:tcW w:w="120" w:type="dxa"/>
            <w:vAlign w:val="bottom"/>
          </w:tcPr>
          <w:p>
            <w:pPr>
              <w:spacing w:after="0"/>
              <w:rPr>
                <w:sz w:val="17"/>
                <w:szCs w:val="17"/>
                <w:color w:val="auto"/>
              </w:rPr>
            </w:pPr>
          </w:p>
        </w:tc>
        <w:tc>
          <w:tcPr>
            <w:tcW w:w="1760" w:type="dxa"/>
            <w:vAlign w:val="bottom"/>
            <w:gridSpan w:val="5"/>
          </w:tcPr>
          <w:p>
            <w:pPr>
              <w:jc w:val="center"/>
              <w:ind w:right="15"/>
              <w:spacing w:after="0"/>
              <w:rPr>
                <w:sz w:val="20"/>
                <w:szCs w:val="20"/>
                <w:color w:val="auto"/>
              </w:rPr>
            </w:pPr>
            <w:r>
              <w:rPr>
                <w:rFonts w:ascii="Arial" w:cs="Arial" w:eastAsia="Arial" w:hAnsi="Arial"/>
                <w:sz w:val="17"/>
                <w:szCs w:val="17"/>
                <w:color w:val="auto"/>
                <w:w w:val="90"/>
              </w:rPr>
              <w:t>Six Months Ended June</w:t>
            </w:r>
          </w:p>
        </w:tc>
      </w:tr>
      <w:tr>
        <w:trPr>
          <w:trHeight w:val="216"/>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7"/>
                <w:szCs w:val="17"/>
                <w:color w:val="auto"/>
                <w:w w:val="84"/>
              </w:rPr>
              <w:t>30,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gridSpan w:val="3"/>
          </w:tcPr>
          <w:p>
            <w:pPr>
              <w:jc w:val="right"/>
              <w:ind w:right="120"/>
              <w:spacing w:after="0"/>
              <w:rPr>
                <w:sz w:val="20"/>
                <w:szCs w:val="20"/>
                <w:color w:val="auto"/>
              </w:rPr>
            </w:pPr>
            <w:r>
              <w:rPr>
                <w:rFonts w:ascii="Arial" w:cs="Arial" w:eastAsia="Arial" w:hAnsi="Arial"/>
                <w:sz w:val="17"/>
                <w:szCs w:val="17"/>
                <w:color w:val="auto"/>
                <w:w w:val="84"/>
              </w:rPr>
              <w:t>30,</w:t>
            </w:r>
          </w:p>
        </w:tc>
        <w:tc>
          <w:tcPr>
            <w:tcW w:w="700" w:type="dxa"/>
            <w:vAlign w:val="bottom"/>
          </w:tcPr>
          <w:p>
            <w:pPr>
              <w:spacing w:after="0"/>
              <w:rPr>
                <w:sz w:val="18"/>
                <w:szCs w:val="18"/>
                <w:color w:val="auto"/>
              </w:rPr>
            </w:pPr>
          </w:p>
        </w:tc>
      </w:tr>
      <w:tr>
        <w:trPr>
          <w:trHeight w:val="31"/>
        </w:trPr>
        <w:tc>
          <w:tcPr>
            <w:tcW w:w="5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3"/>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ind w:right="135"/>
              <w:spacing w:after="0"/>
              <w:rPr>
                <w:sz w:val="20"/>
                <w:szCs w:val="20"/>
                <w:color w:val="auto"/>
              </w:rPr>
            </w:pPr>
            <w:r>
              <w:rPr>
                <w:rFonts w:ascii="Arial" w:cs="Arial" w:eastAsia="Arial" w:hAnsi="Arial"/>
                <w:sz w:val="17"/>
                <w:szCs w:val="17"/>
                <w:color w:val="auto"/>
              </w:rPr>
              <w:t>2014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5"/>
              <w:spacing w:after="0"/>
              <w:rPr>
                <w:sz w:val="20"/>
                <w:szCs w:val="20"/>
                <w:color w:val="auto"/>
              </w:rPr>
            </w:pPr>
            <w:r>
              <w:rPr>
                <w:rFonts w:ascii="Arial" w:cs="Arial" w:eastAsia="Arial" w:hAnsi="Arial"/>
                <w:sz w:val="17"/>
                <w:szCs w:val="17"/>
                <w:color w:val="auto"/>
              </w:rPr>
              <w:t>2013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135"/>
              <w:spacing w:after="0"/>
              <w:rPr>
                <w:sz w:val="20"/>
                <w:szCs w:val="20"/>
                <w:color w:val="auto"/>
              </w:rPr>
            </w:pPr>
            <w:r>
              <w:rPr>
                <w:rFonts w:ascii="Arial" w:cs="Arial" w:eastAsia="Arial" w:hAnsi="Arial"/>
                <w:sz w:val="17"/>
                <w:szCs w:val="17"/>
                <w:color w:val="auto"/>
              </w:rPr>
              <w:t>2014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5"/>
              <w:spacing w:after="0"/>
              <w:rPr>
                <w:sz w:val="20"/>
                <w:szCs w:val="20"/>
                <w:color w:val="auto"/>
              </w:rPr>
            </w:pPr>
            <w:r>
              <w:rPr>
                <w:rFonts w:ascii="Arial" w:cs="Arial" w:eastAsia="Arial" w:hAnsi="Arial"/>
                <w:sz w:val="17"/>
                <w:szCs w:val="17"/>
                <w:color w:val="auto"/>
              </w:rPr>
              <w:t>2013</w:t>
            </w:r>
          </w:p>
        </w:tc>
      </w:tr>
      <w:tr>
        <w:trPr>
          <w:trHeight w:val="31"/>
        </w:trPr>
        <w:tc>
          <w:tcPr>
            <w:tcW w:w="5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5280" w:type="dxa"/>
            <w:vAlign w:val="bottom"/>
            <w:shd w:val="clear" w:color="auto" w:fill="CCEEFF"/>
          </w:tcPr>
          <w:p>
            <w:pPr>
              <w:ind w:left="40"/>
              <w:spacing w:after="0" w:line="250" w:lineRule="exact"/>
              <w:rPr>
                <w:sz w:val="20"/>
                <w:szCs w:val="20"/>
                <w:color w:val="auto"/>
              </w:rPr>
            </w:pPr>
            <w:r>
              <w:rPr>
                <w:rFonts w:ascii="Arial" w:cs="Arial" w:eastAsia="Arial" w:hAnsi="Arial"/>
                <w:sz w:val="17"/>
                <w:szCs w:val="17"/>
                <w:color w:val="auto"/>
              </w:rPr>
              <w:t xml:space="preserve">Mainline operating special items, net </w:t>
            </w:r>
            <w:r>
              <w:rPr>
                <w:rFonts w:ascii="Arial" w:cs="Arial" w:eastAsia="Arial" w:hAnsi="Arial"/>
                <w:sz w:val="28"/>
                <w:szCs w:val="28"/>
                <w:color w:val="auto"/>
                <w:vertAlign w:val="superscript"/>
              </w:rPr>
              <w:t>(a)</w:t>
            </w:r>
          </w:p>
        </w:tc>
        <w:tc>
          <w:tcPr>
            <w:tcW w:w="20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r>
    </w:tbl>
    <w:p>
      <w:pPr>
        <w:spacing w:after="0" w:line="40" w:lineRule="exact"/>
        <w:rPr>
          <w:sz w:val="20"/>
          <w:szCs w:val="20"/>
          <w:color w:val="auto"/>
        </w:rPr>
      </w:pPr>
    </w:p>
    <w:p>
      <w:pPr>
        <w:ind w:left="520" w:hanging="512"/>
        <w:spacing w:after="0" w:line="257" w:lineRule="auto"/>
        <w:tabs>
          <w:tab w:leader="none" w:pos="196" w:val="left"/>
        </w:tabs>
        <w:numPr>
          <w:ilvl w:val="0"/>
          <w:numId w:val="9"/>
        </w:numPr>
        <w:rPr>
          <w:rFonts w:ascii="Arial" w:cs="Arial" w:eastAsia="Arial" w:hAnsi="Arial"/>
          <w:sz w:val="23"/>
          <w:szCs w:val="23"/>
          <w:color w:val="auto"/>
          <w:vertAlign w:val="superscript"/>
        </w:rPr>
      </w:pPr>
      <w:r>
        <w:rPr>
          <w:rFonts w:ascii="Arial" w:cs="Arial" w:eastAsia="Arial" w:hAnsi="Arial"/>
          <w:sz w:val="17"/>
          <w:szCs w:val="17"/>
          <w:color w:val="auto"/>
        </w:rPr>
        <w:t>The 2014 second quarter mainline operating special items totaled a net charge of $251 million, which principally included $163 million of merger integration expenses related to information technology, professional fees, severance, re-branding of aircraft and airport facilities, relocation and training as well as a net $38 million charge for bankruptcy related items primarily reflecting fair value adjustments for bankruptcy settlement obligations and $37 million in charges relating to the buyout of leases associated with certain aircraft. The 2014 six month period mainline operating special items totaled a net charge of $114 million, which principally included $365 million of merger integration expenses, $40 million in charges primarily relating to the buyout of leases associated with certain aircraft and a net $5 million charge for bankruptcy related items as described above. These charges were offset in part by a $309 million gain on the sale of slots at DCA.</w:t>
      </w:r>
    </w:p>
    <w:p>
      <w:pPr>
        <w:spacing w:after="0" w:line="27"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2013 second quarter mainline operating special items primarily consisted of merger related expenses. The 2013 six month period included $40 million in merger related expenses and a $43 million charge for workers' compensation claims.</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additional amounts are also included in the condensed consolidated statements of operations as follows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5"/>
          </w:tcPr>
          <w:p>
            <w:pPr>
              <w:jc w:val="center"/>
              <w:ind w:right="240"/>
              <w:spacing w:after="0"/>
              <w:rPr>
                <w:sz w:val="20"/>
                <w:szCs w:val="20"/>
                <w:color w:val="auto"/>
              </w:rPr>
            </w:pPr>
            <w:r>
              <w:rPr>
                <w:rFonts w:ascii="Arial" w:cs="Arial" w:eastAsia="Arial" w:hAnsi="Arial"/>
                <w:sz w:val="18"/>
                <w:szCs w:val="18"/>
                <w:color w:val="auto"/>
                <w:w w:val="90"/>
              </w:rPr>
              <w:t>Three Months Ended</w:t>
            </w:r>
          </w:p>
        </w:tc>
        <w:tc>
          <w:tcPr>
            <w:tcW w:w="1820" w:type="dxa"/>
            <w:vAlign w:val="bottom"/>
            <w:gridSpan w:val="6"/>
          </w:tcPr>
          <w:p>
            <w:pPr>
              <w:jc w:val="center"/>
              <w:spacing w:after="0"/>
              <w:rPr>
                <w:sz w:val="20"/>
                <w:szCs w:val="20"/>
                <w:color w:val="auto"/>
              </w:rPr>
            </w:pPr>
            <w:r>
              <w:rPr>
                <w:rFonts w:ascii="Arial" w:cs="Arial" w:eastAsia="Arial" w:hAnsi="Arial"/>
                <w:sz w:val="18"/>
                <w:szCs w:val="18"/>
                <w:color w:val="auto"/>
                <w:w w:val="90"/>
              </w:rPr>
              <w:t>Six Months Ended June</w:t>
            </w:r>
          </w:p>
        </w:tc>
      </w:tr>
      <w:tr>
        <w:trPr>
          <w:trHeight w:val="230"/>
        </w:trPr>
        <w:tc>
          <w:tcPr>
            <w:tcW w:w="5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5"/>
          </w:tcPr>
          <w:p>
            <w:pPr>
              <w:jc w:val="center"/>
              <w:ind w:right="240"/>
              <w:spacing w:after="0"/>
              <w:rPr>
                <w:sz w:val="20"/>
                <w:szCs w:val="20"/>
                <w:color w:val="auto"/>
              </w:rPr>
            </w:pPr>
            <w:r>
              <w:rPr>
                <w:rFonts w:ascii="Arial" w:cs="Arial" w:eastAsia="Arial" w:hAnsi="Arial"/>
                <w:sz w:val="18"/>
                <w:szCs w:val="18"/>
                <w:color w:val="auto"/>
                <w:w w:val="86"/>
              </w:rPr>
              <w:t>June 30,</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w w:val="87"/>
              </w:rPr>
              <w:t>30,</w:t>
            </w:r>
          </w:p>
        </w:tc>
        <w:tc>
          <w:tcPr>
            <w:tcW w:w="680" w:type="dxa"/>
            <w:vAlign w:val="bottom"/>
          </w:tcPr>
          <w:p>
            <w:pPr>
              <w:spacing w:after="0"/>
              <w:rPr>
                <w:sz w:val="20"/>
                <w:szCs w:val="20"/>
                <w:color w:val="auto"/>
              </w:rPr>
            </w:pPr>
          </w:p>
        </w:tc>
      </w:tr>
      <w:tr>
        <w:trPr>
          <w:trHeight w:val="27"/>
        </w:trPr>
        <w:tc>
          <w:tcPr>
            <w:tcW w:w="5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5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70"/>
              <w:spacing w:after="0"/>
              <w:rPr>
                <w:sz w:val="20"/>
                <w:szCs w:val="20"/>
                <w:color w:val="auto"/>
              </w:rPr>
            </w:pPr>
            <w:r>
              <w:rPr>
                <w:rFonts w:ascii="Arial" w:cs="Arial" w:eastAsia="Arial" w:hAnsi="Arial"/>
                <w:sz w:val="18"/>
                <w:szCs w:val="18"/>
                <w:color w:val="auto"/>
                <w:w w:val="99"/>
              </w:rPr>
              <w:t>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2014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2013</w:t>
            </w:r>
          </w:p>
        </w:tc>
      </w:tr>
      <w:tr>
        <w:trPr>
          <w:trHeight w:val="27"/>
        </w:trPr>
        <w:tc>
          <w:tcPr>
            <w:tcW w:w="5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Regional operating special items,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5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Nonoperating special items, net </w:t>
            </w:r>
            <w:r>
              <w:rPr>
                <w:rFonts w:ascii="Arial" w:cs="Arial" w:eastAsia="Arial" w:hAnsi="Arial"/>
                <w:sz w:val="25"/>
                <w:szCs w:val="25"/>
                <w:color w:val="auto"/>
                <w:vertAlign w:val="superscript"/>
              </w:rPr>
              <w:t>(b)</w:t>
            </w:r>
          </w:p>
        </w:tc>
        <w:tc>
          <w:tcPr>
            <w:tcW w:w="1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0"/>
        </w:trPr>
        <w:tc>
          <w:tcPr>
            <w:tcW w:w="5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Reorganization items, net </w:t>
            </w:r>
            <w:r>
              <w:rPr>
                <w:rFonts w:ascii="Arial" w:cs="Arial" w:eastAsia="Arial" w:hAnsi="Arial"/>
                <w:sz w:val="25"/>
                <w:szCs w:val="25"/>
                <w:color w:val="auto"/>
                <w:vertAlign w:val="superscript"/>
              </w:rPr>
              <w:t>(c)</w:t>
            </w:r>
          </w:p>
        </w:tc>
        <w:tc>
          <w:tcPr>
            <w:tcW w:w="1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320"/>
        </w:trPr>
        <w:tc>
          <w:tcPr>
            <w:tcW w:w="5340" w:type="dxa"/>
            <w:vAlign w:val="bottom"/>
          </w:tcPr>
          <w:p>
            <w:pPr>
              <w:ind w:left="40"/>
              <w:spacing w:after="0"/>
              <w:rPr>
                <w:sz w:val="20"/>
                <w:szCs w:val="20"/>
                <w:color w:val="auto"/>
              </w:rPr>
            </w:pPr>
            <w:r>
              <w:rPr>
                <w:rFonts w:ascii="Arial" w:cs="Arial" w:eastAsia="Arial" w:hAnsi="Arial"/>
                <w:sz w:val="18"/>
                <w:szCs w:val="18"/>
                <w:color w:val="auto"/>
              </w:rPr>
              <w:t xml:space="preserve">Income tax special items, net </w:t>
            </w:r>
            <w:r>
              <w:rPr>
                <w:rFonts w:ascii="Arial" w:cs="Arial" w:eastAsia="Arial" w:hAnsi="Arial"/>
                <w:sz w:val="25"/>
                <w:szCs w:val="25"/>
                <w:color w:val="auto"/>
                <w:vertAlign w:val="superscript"/>
              </w:rPr>
              <w:t>(d)</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bl>
    <w:p>
      <w:pPr>
        <w:ind w:left="540" w:right="20" w:hanging="532"/>
        <w:spacing w:after="0" w:line="211" w:lineRule="auto"/>
        <w:tabs>
          <w:tab w:leader="none" w:pos="216"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The 2014 second quarter and six month period nonoperating special items were primarily due to non-cash interest accretion of $2 million and $33 million, respectively, on the bankruptcy settlement obligations.</w:t>
      </w:r>
    </w:p>
    <w:p>
      <w:pPr>
        <w:spacing w:after="0" w:line="41"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The 2013 six month period nonoperating special items consisted of interest charges to recognize post-petition interest expense on unsecured obligations pursuant to the Plan.</w:t>
      </w:r>
    </w:p>
    <w:p>
      <w:pPr>
        <w:spacing w:after="0" w:line="8" w:lineRule="exact"/>
        <w:rPr>
          <w:sz w:val="20"/>
          <w:szCs w:val="20"/>
          <w:color w:val="auto"/>
        </w:rPr>
      </w:pPr>
    </w:p>
    <w:p>
      <w:pPr>
        <w:ind w:left="520" w:hanging="512"/>
        <w:spacing w:after="0" w:line="227" w:lineRule="auto"/>
        <w:tabs>
          <w:tab w:leader="none" w:pos="196"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In the 2013 second quarter and six month period, the Company recognized reorganization expenses as a result of the filing of the Chapter 11 Cases. These amounts consisted primarily of estimated allowed claim amounts and professional fees.</w:t>
      </w:r>
    </w:p>
    <w:p>
      <w:pPr>
        <w:spacing w:after="0" w:line="40" w:lineRule="exact"/>
        <w:rPr>
          <w:rFonts w:ascii="Arial" w:cs="Arial" w:eastAsia="Arial" w:hAnsi="Arial"/>
          <w:sz w:val="24"/>
          <w:szCs w:val="24"/>
          <w:color w:val="auto"/>
          <w:vertAlign w:val="superscript"/>
        </w:rPr>
      </w:pPr>
    </w:p>
    <w:p>
      <w:pPr>
        <w:ind w:left="540" w:hanging="532"/>
        <w:spacing w:after="0" w:line="275" w:lineRule="auto"/>
        <w:tabs>
          <w:tab w:leader="none" w:pos="216"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During the second quarter, the Company sold its portfolio of fuel hedging contracts that were scheduled to settle on or after June 30, 2014. In connection with this sale, the Company recorded a special non-cash tax provision of $330 million in the statement of operations for the second quarter of 2014 that reverses the non-cash tax provision which was recorded in Other Comprehensive Income (OCI), a subset of stockholders’ equity, principally in 2009. This provision represents the tax effect associated with gains recorded in OCI principally in 2009 due to a net increase in the fair value of the Company’s fuel hedging contracts. In accordance with GAAP, the Company retained the $330 million tax provision in OCI until the last contract was settled or terminated. In addition, the Company recorded $7 million in non-cash deferred income tax provision related to certain indefinite-lived intangible assets in the 2014 second quarter. The 2014 six month period included the $330 million non-cash tax provision related to the settlement of fuel hedges discussed above as well as $15 million in non-cash deferred income tax provision related to certain indefinite-lived intangible assets.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(Loss) Per Share</w:t>
      </w:r>
    </w:p>
    <w:p>
      <w:pPr>
        <w:spacing w:after="0" w:line="1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Pursuant to the Plan and the Merger Agreement, holders of AMR common stock formerly traded under the symbol “AAMRQ” received shares of AAG Common Stock principally over the 120-day distribution period following the Effective Date. In accordance with GAAP, the 2013 second quarter and six month period weighted average shares and earnings (loss) per share calculations have been adjusted to retrospectively reflect these distributions which were each made at the rate of approximately 0.7441 shares of AAG Common Stock per share of AAMRQ. Former holders of AAMRQ shares as of the Effective Date may in the future receive additional distributions of AAG Common Stock dependent upon the ultimate distribution of shares of AAG Common Stock to holders of disputed claims. Thus, the shares and related earnings per share (EPS) calculations prior to the Effective Date may change in the future to reflect additional retrospective adjustments for future AAG Common Stock distributions to former holders of AAMRQ shares.</w:t>
      </w:r>
    </w:p>
    <w:p>
      <w:pPr>
        <w:spacing w:after="0" w:line="11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June 30, 2014, all shares pursuant to the Plan have been issued and are outstanding for purposes of the Company's basic and diluted EPS calculation in connection with the conversion of AAG Series A Preferred Stock and satisfaction of other bankruptcy settlement obligations related to allowed unsecured claims, including disputed claims, labor-related deemed claims and former holders of AAMRQ shares.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computation of basic and diluted earnings (loss) per share (in millions, except share and per share amounts in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thousands):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64"/>
        </w:trPr>
        <w:tc>
          <w:tcPr>
            <w:tcW w:w="6400" w:type="dxa"/>
            <w:vAlign w:val="bottom"/>
          </w:tcPr>
          <w:p>
            <w:pPr>
              <w:spacing w:after="0"/>
              <w:rPr>
                <w:sz w:val="24"/>
                <w:szCs w:val="24"/>
                <w:color w:val="auto"/>
              </w:rPr>
            </w:pPr>
          </w:p>
        </w:tc>
        <w:tc>
          <w:tcPr>
            <w:tcW w:w="2480" w:type="dxa"/>
            <w:vAlign w:val="bottom"/>
            <w:gridSpan w:val="6"/>
          </w:tcPr>
          <w:p>
            <w:pPr>
              <w:ind w:left="120"/>
              <w:spacing w:after="0"/>
              <w:rPr>
                <w:sz w:val="20"/>
                <w:szCs w:val="20"/>
                <w:color w:val="auto"/>
              </w:rPr>
            </w:pPr>
            <w:r>
              <w:rPr>
                <w:rFonts w:ascii="Arial" w:cs="Arial" w:eastAsia="Arial" w:hAnsi="Arial"/>
                <w:sz w:val="18"/>
                <w:szCs w:val="18"/>
                <w:color w:val="auto"/>
                <w:w w:val="96"/>
              </w:rPr>
              <w:t>Three Months Ended June 30,</w:t>
            </w:r>
          </w:p>
        </w:tc>
        <w:tc>
          <w:tcPr>
            <w:tcW w:w="160" w:type="dxa"/>
            <w:vAlign w:val="bottom"/>
          </w:tcPr>
          <w:p>
            <w:pPr>
              <w:spacing w:after="0"/>
              <w:rPr>
                <w:sz w:val="24"/>
                <w:szCs w:val="24"/>
                <w:color w:val="auto"/>
              </w:rPr>
            </w:pPr>
          </w:p>
        </w:tc>
        <w:tc>
          <w:tcPr>
            <w:tcW w:w="2200" w:type="dxa"/>
            <w:vAlign w:val="bottom"/>
            <w:gridSpan w:val="4"/>
          </w:tcPr>
          <w:p>
            <w:pPr>
              <w:jc w:val="right"/>
              <w:ind w:right="90"/>
              <w:spacing w:after="0"/>
              <w:rPr>
                <w:sz w:val="20"/>
                <w:szCs w:val="20"/>
                <w:color w:val="auto"/>
              </w:rPr>
            </w:pPr>
            <w:r>
              <w:rPr>
                <w:rFonts w:ascii="Arial" w:cs="Arial" w:eastAsia="Arial" w:hAnsi="Arial"/>
                <w:sz w:val="18"/>
                <w:szCs w:val="18"/>
                <w:color w:val="auto"/>
                <w:w w:val="90"/>
              </w:rPr>
              <w:t>Six Months Ended June 30,</w:t>
            </w:r>
          </w:p>
        </w:tc>
      </w:tr>
      <w:tr>
        <w:trPr>
          <w:trHeight w:val="27"/>
        </w:trPr>
        <w:tc>
          <w:tcPr>
            <w:tcW w:w="6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2013</w:t>
            </w:r>
          </w:p>
        </w:tc>
      </w:tr>
      <w:tr>
        <w:trPr>
          <w:trHeight w:val="27"/>
        </w:trPr>
        <w:tc>
          <w:tcPr>
            <w:tcW w:w="6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864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1,343</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 (in thousands)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720,600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249,588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722,286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249,540</w:t>
            </w:r>
          </w:p>
        </w:tc>
      </w:tr>
      <w:tr>
        <w:trPr>
          <w:trHeight w:val="237"/>
        </w:trPr>
        <w:tc>
          <w:tcPr>
            <w:tcW w:w="6400" w:type="dxa"/>
            <w:vAlign w:val="bottom"/>
          </w:tcPr>
          <w:p>
            <w:pPr>
              <w:ind w:left="280"/>
              <w:spacing w:after="0"/>
              <w:rPr>
                <w:sz w:val="20"/>
                <w:szCs w:val="20"/>
                <w:color w:val="auto"/>
              </w:rPr>
            </w:pPr>
            <w:r>
              <w:rPr>
                <w:rFonts w:ascii="Arial" w:cs="Arial" w:eastAsia="Arial" w:hAnsi="Arial"/>
                <w:sz w:val="18"/>
                <w:szCs w:val="18"/>
                <w:color w:val="auto"/>
              </w:rPr>
              <w:t>Basic EPS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(0.49)</w:t>
            </w:r>
          </w:p>
        </w:tc>
      </w:tr>
      <w:tr>
        <w:trPr>
          <w:trHeight w:val="67"/>
        </w:trPr>
        <w:tc>
          <w:tcPr>
            <w:tcW w:w="64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278"/>
        </w:trPr>
        <w:tc>
          <w:tcPr>
            <w:tcW w:w="64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Diluted EPS: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1,343</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Interest expense on convertible senior notes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w w:val="99"/>
              </w:rPr>
              <w:t xml:space="preserve">Change in fair value of conversion feature on 7.25% convertible senior notes </w:t>
            </w:r>
            <w:r>
              <w:rPr>
                <w:rFonts w:ascii="Arial" w:cs="Arial" w:eastAsia="Arial" w:hAnsi="Arial"/>
                <w:sz w:val="25"/>
                <w:szCs w:val="25"/>
                <w:color w:val="auto"/>
                <w:w w:val="99"/>
                <w:vertAlign w:val="superscript"/>
              </w:rPr>
              <w:t>(a)</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6400" w:type="dxa"/>
            <w:vAlign w:val="bottom"/>
          </w:tcPr>
          <w:p>
            <w:pPr>
              <w:ind w:left="280"/>
              <w:spacing w:after="0"/>
              <w:rPr>
                <w:sz w:val="20"/>
                <w:szCs w:val="20"/>
                <w:color w:val="auto"/>
              </w:rPr>
            </w:pPr>
            <w:r>
              <w:rPr>
                <w:rFonts w:ascii="Arial" w:cs="Arial" w:eastAsia="Arial" w:hAnsi="Arial"/>
                <w:sz w:val="18"/>
                <w:szCs w:val="18"/>
                <w:color w:val="auto"/>
              </w:rPr>
              <w:t>Net income (loss) for purposes of computing diluted EPS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1,346</w:t>
            </w:r>
          </w:p>
        </w:tc>
        <w:tc>
          <w:tcPr>
            <w:tcW w:w="36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computation for diluted EPS (in thousands):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Weighted-average shares outstanding</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720,600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249,588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722,286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249,540</w:t>
            </w: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Dilutive effect of stock awards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Assumed conversion of convertible senior notes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34,581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Weighted average common shares outstanding - as adjusted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734,767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288,511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738,051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249,540</w:t>
            </w: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Diluted EPS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(0.49)</w:t>
            </w:r>
          </w:p>
        </w:tc>
      </w:tr>
      <w:tr>
        <w:trPr>
          <w:trHeight w:val="67"/>
        </w:trPr>
        <w:tc>
          <w:tcPr>
            <w:tcW w:w="64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305"/>
        </w:trPr>
        <w:tc>
          <w:tcPr>
            <w:tcW w:w="64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w w:val="98"/>
              </w:rPr>
              <w:t>The following were excluded from the computation of diluted EPS (in thousands):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options, SARs and RSUs because inclusion would be antidilutive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Convertible notes because inclusion would be antidilutive</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w:t>
            </w:r>
          </w:p>
        </w:tc>
      </w:tr>
    </w:tbl>
    <w:p>
      <w:pPr>
        <w:spacing w:after="0" w:line="67" w:lineRule="exact"/>
        <w:rPr>
          <w:sz w:val="20"/>
          <w:szCs w:val="20"/>
          <w:color w:val="auto"/>
        </w:rPr>
      </w:pPr>
    </w:p>
    <w:p>
      <w:pPr>
        <w:jc w:val="both"/>
        <w:ind w:left="540" w:hanging="526"/>
        <w:spacing w:after="0" w:line="273" w:lineRule="auto"/>
        <w:rPr>
          <w:sz w:val="20"/>
          <w:szCs w:val="20"/>
          <w:color w:val="auto"/>
        </w:rPr>
      </w:pPr>
      <w:r>
        <w:rPr>
          <w:rFonts w:ascii="Arial" w:cs="Arial" w:eastAsia="Arial" w:hAnsi="Arial"/>
          <w:sz w:val="17"/>
          <w:szCs w:val="17"/>
          <w:color w:val="auto"/>
        </w:rPr>
        <w:t>(a)In March 2014, the Company notified the holders of US Airways Group's 7.25% convertible senior notes that it had elected to settle all future conversions solely in cash instead of shares of AAG Common Stock in accordance with the related indenture. Thus, the diluted shares include the weighted average impact of the 7.25% convertible senior notes only for the period from January 1, 2014 to March 12, 2014. In addition, under GAAP, the Company must adjust the numerator for purposes of calculating diluted earnings per share by the change in fair value of the conversion feature from March 12, 2014 to May 15, 2014, which increased (decreased) GAAP net income for purposes of computing diluted earnings per share by $(2) million and $3 million, respectively, for the three and six months ended June 30, 2014.</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7. Debt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and capital lease obligations included in the condensed consolidated balance sheets consisted of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ind w:left="220"/>
              <w:spacing w:after="0"/>
              <w:rPr>
                <w:sz w:val="20"/>
                <w:szCs w:val="20"/>
                <w:color w:val="auto"/>
              </w:rPr>
            </w:pPr>
            <w:r>
              <w:rPr>
                <w:rFonts w:ascii="Arial" w:cs="Arial" w:eastAsia="Arial" w:hAnsi="Arial"/>
                <w:sz w:val="16"/>
                <w:szCs w:val="16"/>
                <w:color w:val="auto"/>
              </w:rPr>
              <w:t>June 30,</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ind w:right="579"/>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w w:val="89"/>
              </w:rPr>
              <w:t>December 31, 2013</w:t>
            </w:r>
          </w:p>
        </w:tc>
      </w:tr>
      <w:tr>
        <w:trPr>
          <w:trHeight w:val="33"/>
        </w:trPr>
        <w:tc>
          <w:tcPr>
            <w:tcW w:w="2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4"/>
        </w:trPr>
        <w:tc>
          <w:tcPr>
            <w:tcW w:w="8120" w:type="dxa"/>
            <w:vAlign w:val="bottom"/>
            <w:gridSpan w:val="4"/>
            <w:shd w:val="clear" w:color="auto" w:fill="CCEEFF"/>
          </w:tcPr>
          <w:p>
            <w:pPr>
              <w:ind w:left="40"/>
              <w:spacing w:after="0"/>
              <w:rPr>
                <w:sz w:val="20"/>
                <w:szCs w:val="20"/>
                <w:color w:val="auto"/>
              </w:rPr>
            </w:pPr>
            <w:r>
              <w:rPr>
                <w:rFonts w:ascii="Arial" w:cs="Arial" w:eastAsia="Arial" w:hAnsi="Arial"/>
                <w:sz w:val="16"/>
                <w:szCs w:val="16"/>
                <w:i w:val="1"/>
                <w:iCs w:val="1"/>
                <w:color w:val="auto"/>
              </w:rPr>
              <w:t>Secured</w:t>
            </w: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60"/>
        </w:trPr>
        <w:tc>
          <w:tcPr>
            <w:tcW w:w="2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66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r>
      <w:tr>
        <w:trPr>
          <w:trHeight w:val="189"/>
        </w:trPr>
        <w:tc>
          <w:tcPr>
            <w:tcW w:w="280" w:type="dxa"/>
            <w:vAlign w:val="bottom"/>
          </w:tcPr>
          <w:p>
            <w:pPr>
              <w:spacing w:after="0"/>
              <w:rPr>
                <w:sz w:val="16"/>
                <w:szCs w:val="16"/>
                <w:color w:val="auto"/>
              </w:rPr>
            </w:pPr>
          </w:p>
        </w:tc>
        <w:tc>
          <w:tcPr>
            <w:tcW w:w="7840" w:type="dxa"/>
            <w:vAlign w:val="bottom"/>
            <w:gridSpan w:val="3"/>
          </w:tcPr>
          <w:p>
            <w:pPr>
              <w:spacing w:after="0"/>
              <w:rPr>
                <w:sz w:val="20"/>
                <w:szCs w:val="20"/>
                <w:color w:val="auto"/>
              </w:rPr>
            </w:pPr>
            <w:r>
              <w:rPr>
                <w:rFonts w:ascii="Arial" w:cs="Arial" w:eastAsia="Arial" w:hAnsi="Arial"/>
                <w:sz w:val="16"/>
                <w:szCs w:val="16"/>
                <w:color w:val="auto"/>
              </w:rPr>
              <w:t>American</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61"/>
        </w:trPr>
        <w:tc>
          <w:tcPr>
            <w:tcW w:w="28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600" w:type="dxa"/>
            <w:vAlign w:val="bottom"/>
          </w:tcPr>
          <w:p>
            <w:pPr>
              <w:spacing w:after="0"/>
              <w:rPr>
                <w:sz w:val="5"/>
                <w:szCs w:val="5"/>
                <w:color w:val="auto"/>
              </w:rPr>
            </w:pPr>
          </w:p>
        </w:tc>
        <w:tc>
          <w:tcPr>
            <w:tcW w:w="6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40" w:type="dxa"/>
            <w:vAlign w:val="bottom"/>
          </w:tcPr>
          <w:p>
            <w:pPr>
              <w:spacing w:after="0"/>
              <w:rPr>
                <w:sz w:val="5"/>
                <w:szCs w:val="5"/>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w w:val="94"/>
              </w:rPr>
              <w:t>Secured indebtedness, fixed and variable interest rates ranging from 1.43% to 8.10%, maturing from 2014 to 2026</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2,140</w:t>
            </w:r>
          </w:p>
        </w:tc>
      </w:tr>
      <w:tr>
        <w:trPr>
          <w:trHeight w:val="220"/>
        </w:trPr>
        <w:tc>
          <w:tcPr>
            <w:tcW w:w="280" w:type="dxa"/>
            <w:vAlign w:val="bottom"/>
          </w:tcPr>
          <w:p>
            <w:pPr>
              <w:spacing w:after="0"/>
              <w:rPr>
                <w:sz w:val="19"/>
                <w:szCs w:val="19"/>
                <w:color w:val="auto"/>
              </w:rPr>
            </w:pPr>
          </w:p>
        </w:tc>
        <w:tc>
          <w:tcPr>
            <w:tcW w:w="7840" w:type="dxa"/>
            <w:vAlign w:val="bottom"/>
            <w:gridSpan w:val="3"/>
          </w:tcPr>
          <w:p>
            <w:pPr>
              <w:ind w:left="220"/>
              <w:spacing w:after="0"/>
              <w:rPr>
                <w:sz w:val="20"/>
                <w:szCs w:val="20"/>
                <w:color w:val="auto"/>
              </w:rPr>
            </w:pPr>
            <w:r>
              <w:rPr>
                <w:rFonts w:ascii="Arial" w:cs="Arial" w:eastAsia="Arial" w:hAnsi="Arial"/>
                <w:sz w:val="16"/>
                <w:szCs w:val="16"/>
                <w:color w:val="auto"/>
                <w:w w:val="93"/>
              </w:rPr>
              <w:t>Aircraft enhanced equipment trust certificates (EETCs), fixed interest rates ranging from 4.00% to 7.00%, maturing</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6"/>
        </w:trPr>
        <w:tc>
          <w:tcPr>
            <w:tcW w:w="280" w:type="dxa"/>
            <w:vAlign w:val="bottom"/>
          </w:tcPr>
          <w:p>
            <w:pPr>
              <w:spacing w:after="0"/>
              <w:rPr>
                <w:sz w:val="17"/>
                <w:szCs w:val="17"/>
                <w:color w:val="auto"/>
              </w:rPr>
            </w:pPr>
          </w:p>
        </w:tc>
        <w:tc>
          <w:tcPr>
            <w:tcW w:w="7840" w:type="dxa"/>
            <w:vAlign w:val="bottom"/>
            <w:gridSpan w:val="3"/>
          </w:tcPr>
          <w:p>
            <w:pPr>
              <w:ind w:left="220"/>
              <w:spacing w:after="0"/>
              <w:rPr>
                <w:sz w:val="20"/>
                <w:szCs w:val="20"/>
                <w:color w:val="auto"/>
              </w:rPr>
            </w:pPr>
            <w:r>
              <w:rPr>
                <w:rFonts w:ascii="Arial" w:cs="Arial" w:eastAsia="Arial" w:hAnsi="Arial"/>
                <w:sz w:val="16"/>
                <w:szCs w:val="16"/>
                <w:color w:val="auto"/>
              </w:rPr>
              <w:t>from 2017 to 2025</w:t>
            </w:r>
          </w:p>
        </w:tc>
        <w:tc>
          <w:tcPr>
            <w:tcW w:w="30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3,415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3,516</w:t>
            </w:r>
          </w:p>
        </w:tc>
      </w:tr>
      <w:tr>
        <w:trPr>
          <w:trHeight w:val="33"/>
        </w:trPr>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w w:val="97"/>
              </w:rPr>
              <w:t>Special facility revenue bonds, fixed interest rates ranging from 7.125% to 8.50%, maturing from 2016 to 2031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1,313</w:t>
            </w:r>
          </w:p>
        </w:tc>
      </w:tr>
      <w:tr>
        <w:trPr>
          <w:trHeight w:val="237"/>
        </w:trPr>
        <w:tc>
          <w:tcPr>
            <w:tcW w:w="280" w:type="dxa"/>
            <w:vAlign w:val="bottom"/>
          </w:tcPr>
          <w:p>
            <w:pPr>
              <w:spacing w:after="0"/>
              <w:rPr>
                <w:sz w:val="20"/>
                <w:szCs w:val="20"/>
                <w:color w:val="auto"/>
              </w:rPr>
            </w:pPr>
          </w:p>
        </w:tc>
        <w:tc>
          <w:tcPr>
            <w:tcW w:w="7840" w:type="dxa"/>
            <w:vAlign w:val="bottom"/>
            <w:gridSpan w:val="3"/>
          </w:tcPr>
          <w:p>
            <w:pPr>
              <w:ind w:left="220"/>
              <w:spacing w:after="0"/>
              <w:rPr>
                <w:sz w:val="20"/>
                <w:szCs w:val="20"/>
                <w:color w:val="auto"/>
              </w:rPr>
            </w:pPr>
            <w:r>
              <w:rPr>
                <w:rFonts w:ascii="Arial" w:cs="Arial" w:eastAsia="Arial" w:hAnsi="Arial"/>
                <w:sz w:val="16"/>
                <w:szCs w:val="16"/>
                <w:color w:val="auto"/>
              </w:rPr>
              <w:t>Senior secured credit facility, variable interest rate of 3.75%, installments through 2019</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1,881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1,891</w:t>
            </w:r>
          </w:p>
        </w:tc>
      </w:tr>
      <w:tr>
        <w:trPr>
          <w:trHeight w:val="33"/>
        </w:trPr>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7.50% senior secured notes, interest only payments until due in 2016</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r>
      <w:tr>
        <w:trPr>
          <w:trHeight w:val="237"/>
        </w:trPr>
        <w:tc>
          <w:tcPr>
            <w:tcW w:w="280" w:type="dxa"/>
            <w:vAlign w:val="bottom"/>
          </w:tcPr>
          <w:p>
            <w:pPr>
              <w:spacing w:after="0"/>
              <w:rPr>
                <w:sz w:val="20"/>
                <w:szCs w:val="20"/>
                <w:color w:val="auto"/>
              </w:rPr>
            </w:pPr>
          </w:p>
        </w:tc>
        <w:tc>
          <w:tcPr>
            <w:tcW w:w="7840" w:type="dxa"/>
            <w:vAlign w:val="bottom"/>
            <w:gridSpan w:val="3"/>
          </w:tcPr>
          <w:p>
            <w:pPr>
              <w:ind w:left="220"/>
              <w:spacing w:after="0"/>
              <w:rPr>
                <w:sz w:val="20"/>
                <w:szCs w:val="20"/>
                <w:color w:val="auto"/>
              </w:rPr>
            </w:pPr>
            <w:r>
              <w:rPr>
                <w:rFonts w:ascii="Arial" w:cs="Arial" w:eastAsia="Arial" w:hAnsi="Arial"/>
                <w:sz w:val="16"/>
                <w:szCs w:val="16"/>
                <w:color w:val="auto"/>
              </w:rPr>
              <w:t>AAdvantage Miles advance purchase, effective rate of 8.30%, installments through 2017</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611</w:t>
            </w:r>
          </w:p>
        </w:tc>
      </w:tr>
      <w:tr>
        <w:trPr>
          <w:trHeight w:val="33"/>
        </w:trPr>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280" w:type="dxa"/>
            <w:vAlign w:val="bottom"/>
            <w:tcBorders>
              <w:bottom w:val="single" w:sz="8" w:color="CCEEFF"/>
            </w:tcBorders>
            <w:shd w:val="clear" w:color="auto" w:fill="CCEEFF"/>
          </w:tcPr>
          <w:p>
            <w:pPr>
              <w:spacing w:after="0"/>
              <w:rPr>
                <w:sz w:val="23"/>
                <w:szCs w:val="23"/>
                <w:color w:val="auto"/>
              </w:rPr>
            </w:pPr>
          </w:p>
        </w:tc>
        <w:tc>
          <w:tcPr>
            <w:tcW w:w="78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Other secured obligations, fixed interest rates ranging from 4.19% to 12.24%, maturing from 2014 to 2035</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380</w:t>
            </w:r>
          </w:p>
        </w:tc>
      </w:tr>
      <w:tr>
        <w:trPr>
          <w:trHeight w:val="217"/>
        </w:trPr>
        <w:tc>
          <w:tcPr>
            <w:tcW w:w="280" w:type="dxa"/>
            <w:vAlign w:val="bottom"/>
          </w:tcPr>
          <w:p>
            <w:pPr>
              <w:spacing w:after="0"/>
              <w:rPr>
                <w:sz w:val="18"/>
                <w:szCs w:val="18"/>
                <w:color w:val="auto"/>
              </w:rPr>
            </w:pPr>
          </w:p>
        </w:tc>
        <w:tc>
          <w:tcPr>
            <w:tcW w:w="7840" w:type="dxa"/>
            <w:vAlign w:val="bottom"/>
            <w:gridSpan w:val="3"/>
          </w:tcPr>
          <w:p>
            <w:pPr>
              <w:ind w:left="220"/>
              <w:spacing w:after="0"/>
              <w:rPr>
                <w:sz w:val="20"/>
                <w:szCs w:val="20"/>
                <w:color w:val="auto"/>
              </w:rPr>
            </w:pPr>
            <w:r>
              <w:rPr>
                <w:rFonts w:ascii="Arial" w:cs="Arial" w:eastAsia="Arial" w:hAnsi="Arial"/>
                <w:sz w:val="16"/>
                <w:szCs w:val="16"/>
                <w:color w:val="auto"/>
              </w:rPr>
              <w:t>Total American secured debt</w:t>
            </w:r>
          </w:p>
        </w:tc>
        <w:tc>
          <w:tcPr>
            <w:tcW w:w="3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10,610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10,851</w:t>
            </w:r>
          </w:p>
        </w:tc>
      </w:tr>
      <w:tr>
        <w:trPr>
          <w:trHeight w:val="33"/>
        </w:trPr>
        <w:tc>
          <w:tcPr>
            <w:tcW w:w="2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69"/>
        </w:trPr>
        <w:tc>
          <w:tcPr>
            <w:tcW w:w="280" w:type="dxa"/>
            <w:vAlign w:val="bottom"/>
            <w:shd w:val="clear" w:color="auto" w:fill="CCEEFF"/>
          </w:tcPr>
          <w:p>
            <w:pPr>
              <w:spacing w:after="0"/>
              <w:rPr>
                <w:sz w:val="14"/>
                <w:szCs w:val="14"/>
                <w:color w:val="auto"/>
              </w:rPr>
            </w:pPr>
          </w:p>
        </w:tc>
        <w:tc>
          <w:tcPr>
            <w:tcW w:w="7840" w:type="dxa"/>
            <w:vAlign w:val="bottom"/>
            <w:gridSpan w:val="3"/>
            <w:shd w:val="clear" w:color="auto" w:fill="CCEEFF"/>
          </w:tcPr>
          <w:p>
            <w:pPr>
              <w:spacing w:after="0" w:line="169" w:lineRule="exact"/>
              <w:rPr>
                <w:sz w:val="20"/>
                <w:szCs w:val="20"/>
                <w:color w:val="auto"/>
              </w:rPr>
            </w:pPr>
            <w:r>
              <w:rPr>
                <w:rFonts w:ascii="Arial" w:cs="Arial" w:eastAsia="Arial" w:hAnsi="Arial"/>
                <w:sz w:val="16"/>
                <w:szCs w:val="16"/>
                <w:color w:val="auto"/>
              </w:rPr>
              <w:t>US Airways Group</w:t>
            </w: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75"/>
        </w:trPr>
        <w:tc>
          <w:tcPr>
            <w:tcW w:w="280" w:type="dxa"/>
            <w:vAlign w:val="bottom"/>
            <w:tcBorders>
              <w:top w:val="single" w:sz="8" w:color="CCEEFF"/>
            </w:tcBorders>
            <w:shd w:val="clear" w:color="auto" w:fill="CCEEFF"/>
          </w:tcPr>
          <w:p>
            <w:pPr>
              <w:spacing w:after="0"/>
              <w:rPr>
                <w:sz w:val="6"/>
                <w:szCs w:val="6"/>
                <w:color w:val="auto"/>
              </w:rPr>
            </w:pPr>
          </w:p>
        </w:tc>
        <w:tc>
          <w:tcPr>
            <w:tcW w:w="640" w:type="dxa"/>
            <w:vAlign w:val="bottom"/>
            <w:tcBorders>
              <w:top w:val="single" w:sz="8" w:color="auto"/>
            </w:tcBorders>
            <w:shd w:val="clear" w:color="auto" w:fill="CCEEFF"/>
          </w:tcPr>
          <w:p>
            <w:pPr>
              <w:spacing w:after="0"/>
              <w:rPr>
                <w:sz w:val="6"/>
                <w:szCs w:val="6"/>
                <w:color w:val="auto"/>
              </w:rPr>
            </w:pPr>
          </w:p>
        </w:tc>
        <w:tc>
          <w:tcPr>
            <w:tcW w:w="600" w:type="dxa"/>
            <w:vAlign w:val="bottom"/>
            <w:tcBorders>
              <w:top w:val="single" w:sz="8" w:color="auto"/>
            </w:tcBorders>
            <w:shd w:val="clear" w:color="auto" w:fill="CCEEFF"/>
          </w:tcPr>
          <w:p>
            <w:pPr>
              <w:spacing w:after="0"/>
              <w:rPr>
                <w:sz w:val="6"/>
                <w:szCs w:val="6"/>
                <w:color w:val="auto"/>
              </w:rPr>
            </w:pPr>
          </w:p>
        </w:tc>
        <w:tc>
          <w:tcPr>
            <w:tcW w:w="660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3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40" w:type="dxa"/>
            <w:vAlign w:val="bottom"/>
            <w:tcBorders>
              <w:top w:val="single" w:sz="8" w:color="CCEEFF"/>
            </w:tcBorders>
            <w:shd w:val="clear" w:color="auto" w:fill="CCEEFF"/>
          </w:tcPr>
          <w:p>
            <w:pPr>
              <w:spacing w:after="0"/>
              <w:rPr>
                <w:sz w:val="6"/>
                <w:szCs w:val="6"/>
                <w:color w:val="auto"/>
              </w:rPr>
            </w:pPr>
          </w:p>
        </w:tc>
      </w:tr>
      <w:tr>
        <w:trPr>
          <w:trHeight w:val="237"/>
        </w:trPr>
        <w:tc>
          <w:tcPr>
            <w:tcW w:w="280" w:type="dxa"/>
            <w:vAlign w:val="bottom"/>
          </w:tcPr>
          <w:p>
            <w:pPr>
              <w:spacing w:after="0"/>
              <w:rPr>
                <w:sz w:val="20"/>
                <w:szCs w:val="20"/>
                <w:color w:val="auto"/>
              </w:rPr>
            </w:pPr>
          </w:p>
        </w:tc>
        <w:tc>
          <w:tcPr>
            <w:tcW w:w="7840" w:type="dxa"/>
            <w:vAlign w:val="bottom"/>
            <w:gridSpan w:val="3"/>
          </w:tcPr>
          <w:p>
            <w:pPr>
              <w:ind w:left="220"/>
              <w:spacing w:after="0"/>
              <w:rPr>
                <w:sz w:val="20"/>
                <w:szCs w:val="20"/>
                <w:color w:val="auto"/>
              </w:rPr>
            </w:pPr>
            <w:r>
              <w:rPr>
                <w:rFonts w:ascii="Arial" w:cs="Arial" w:eastAsia="Arial" w:hAnsi="Arial"/>
                <w:sz w:val="16"/>
                <w:szCs w:val="16"/>
                <w:color w:val="auto"/>
              </w:rPr>
              <w:t>2013 Citicorp Credit Facility tranche B-1, variable interest rate of 3.50%, installments through 2019</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1,000</w:t>
            </w:r>
          </w:p>
        </w:tc>
      </w:tr>
      <w:tr>
        <w:trPr>
          <w:trHeight w:val="33"/>
        </w:trPr>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2013 Citicorp Credit Facility tranche B-2, variable interest rate of 3.00%, installments through 2016</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w:t>
            </w:r>
          </w:p>
        </w:tc>
      </w:tr>
      <w:tr>
        <w:trPr>
          <w:trHeight w:val="220"/>
        </w:trPr>
        <w:tc>
          <w:tcPr>
            <w:tcW w:w="280" w:type="dxa"/>
            <w:vAlign w:val="bottom"/>
          </w:tcPr>
          <w:p>
            <w:pPr>
              <w:spacing w:after="0"/>
              <w:rPr>
                <w:sz w:val="19"/>
                <w:szCs w:val="19"/>
                <w:color w:val="auto"/>
              </w:rPr>
            </w:pPr>
          </w:p>
        </w:tc>
        <w:tc>
          <w:tcPr>
            <w:tcW w:w="7840" w:type="dxa"/>
            <w:vAlign w:val="bottom"/>
            <w:gridSpan w:val="3"/>
          </w:tcPr>
          <w:p>
            <w:pPr>
              <w:ind w:left="220"/>
              <w:spacing w:after="0"/>
              <w:rPr>
                <w:sz w:val="20"/>
                <w:szCs w:val="20"/>
                <w:color w:val="auto"/>
              </w:rPr>
            </w:pPr>
            <w:r>
              <w:rPr>
                <w:rFonts w:ascii="Arial" w:cs="Arial" w:eastAsia="Arial" w:hAnsi="Arial"/>
                <w:sz w:val="16"/>
                <w:szCs w:val="16"/>
                <w:color w:val="auto"/>
                <w:w w:val="92"/>
              </w:rPr>
              <w:t>Aircraft enhanced equipment trust certificates (EETCs), fixed interest rates ranging from 3.95% to 11.00%, maturing</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6"/>
        </w:trPr>
        <w:tc>
          <w:tcPr>
            <w:tcW w:w="280" w:type="dxa"/>
            <w:vAlign w:val="bottom"/>
          </w:tcPr>
          <w:p>
            <w:pPr>
              <w:spacing w:after="0"/>
              <w:rPr>
                <w:sz w:val="17"/>
                <w:szCs w:val="17"/>
                <w:color w:val="auto"/>
              </w:rPr>
            </w:pPr>
          </w:p>
        </w:tc>
        <w:tc>
          <w:tcPr>
            <w:tcW w:w="7840" w:type="dxa"/>
            <w:vAlign w:val="bottom"/>
            <w:gridSpan w:val="3"/>
          </w:tcPr>
          <w:p>
            <w:pPr>
              <w:ind w:left="220"/>
              <w:spacing w:after="0"/>
              <w:rPr>
                <w:sz w:val="20"/>
                <w:szCs w:val="20"/>
                <w:color w:val="auto"/>
              </w:rPr>
            </w:pPr>
            <w:r>
              <w:rPr>
                <w:rFonts w:ascii="Arial" w:cs="Arial" w:eastAsia="Arial" w:hAnsi="Arial"/>
                <w:sz w:val="16"/>
                <w:szCs w:val="16"/>
                <w:color w:val="auto"/>
              </w:rPr>
              <w:t>from 2014 to 2025</w:t>
            </w:r>
          </w:p>
        </w:tc>
        <w:tc>
          <w:tcPr>
            <w:tcW w:w="30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2,863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2,515</w:t>
            </w:r>
          </w:p>
        </w:tc>
      </w:tr>
      <w:tr>
        <w:trPr>
          <w:trHeight w:val="33"/>
        </w:trPr>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0"/>
        </w:trPr>
        <w:tc>
          <w:tcPr>
            <w:tcW w:w="280" w:type="dxa"/>
            <w:vAlign w:val="bottom"/>
            <w:shd w:val="clear" w:color="auto" w:fill="CCEEFF"/>
          </w:tcPr>
          <w:p>
            <w:pPr>
              <w:spacing w:after="0"/>
              <w:rPr>
                <w:sz w:val="19"/>
                <w:szCs w:val="19"/>
                <w:color w:val="auto"/>
              </w:rPr>
            </w:pPr>
          </w:p>
        </w:tc>
        <w:tc>
          <w:tcPr>
            <w:tcW w:w="784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w w:val="93"/>
              </w:rPr>
              <w:t>Equipment loans and other notes payable, fixed and variable interest rates ranging from 1.55% to 8.48%, maturing</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9"/>
        </w:trPr>
        <w:tc>
          <w:tcPr>
            <w:tcW w:w="280" w:type="dxa"/>
            <w:vAlign w:val="bottom"/>
            <w:tcBorders>
              <w:bottom w:val="single" w:sz="8" w:color="CCEEFF"/>
            </w:tcBorders>
            <w:shd w:val="clear" w:color="auto" w:fill="CCEEFF"/>
          </w:tcPr>
          <w:p>
            <w:pPr>
              <w:spacing w:after="0"/>
              <w:rPr>
                <w:sz w:val="19"/>
                <w:szCs w:val="19"/>
                <w:color w:val="auto"/>
              </w:rPr>
            </w:pPr>
          </w:p>
        </w:tc>
        <w:tc>
          <w:tcPr>
            <w:tcW w:w="78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from 2015 to 2029</w:t>
            </w:r>
          </w:p>
        </w:tc>
        <w:tc>
          <w:tcPr>
            <w:tcW w:w="3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1,330</w:t>
            </w:r>
          </w:p>
        </w:tc>
      </w:tr>
      <w:tr>
        <w:trPr>
          <w:trHeight w:val="237"/>
        </w:trPr>
        <w:tc>
          <w:tcPr>
            <w:tcW w:w="280" w:type="dxa"/>
            <w:vAlign w:val="bottom"/>
          </w:tcPr>
          <w:p>
            <w:pPr>
              <w:spacing w:after="0"/>
              <w:rPr>
                <w:sz w:val="20"/>
                <w:szCs w:val="20"/>
                <w:color w:val="auto"/>
              </w:rPr>
            </w:pPr>
          </w:p>
        </w:tc>
        <w:tc>
          <w:tcPr>
            <w:tcW w:w="7840" w:type="dxa"/>
            <w:vAlign w:val="bottom"/>
            <w:gridSpan w:val="3"/>
          </w:tcPr>
          <w:p>
            <w:pPr>
              <w:ind w:left="220"/>
              <w:spacing w:after="0"/>
              <w:rPr>
                <w:sz w:val="20"/>
                <w:szCs w:val="20"/>
                <w:color w:val="auto"/>
              </w:rPr>
            </w:pPr>
            <w:r>
              <w:rPr>
                <w:rFonts w:ascii="Arial" w:cs="Arial" w:eastAsia="Arial" w:hAnsi="Arial"/>
                <w:sz w:val="16"/>
                <w:szCs w:val="16"/>
                <w:color w:val="auto"/>
              </w:rPr>
              <w:t>Other secured obligations, fixed interest rates ranging from 5.20% to 8.00%, maturing from 2014 to 2015</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47</w:t>
            </w:r>
          </w:p>
        </w:tc>
      </w:tr>
      <w:tr>
        <w:trPr>
          <w:trHeight w:val="33"/>
        </w:trPr>
        <w:tc>
          <w:tcPr>
            <w:tcW w:w="2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6"/>
                <w:szCs w:val="16"/>
                <w:color w:val="auto"/>
              </w:rPr>
              <w:t>Total US Airways Group secured debt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5,492</w:t>
            </w:r>
          </w:p>
        </w:tc>
      </w:tr>
      <w:tr>
        <w:trPr>
          <w:trHeight w:val="217"/>
        </w:trPr>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6"/>
                <w:szCs w:val="16"/>
                <w:color w:val="auto"/>
              </w:rPr>
              <w:t>Total AAG secured debt</w:t>
            </w:r>
          </w:p>
        </w:tc>
        <w:tc>
          <w:tcPr>
            <w:tcW w:w="3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16,295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16,343</w:t>
            </w:r>
          </w:p>
        </w:tc>
      </w:tr>
      <w:tr>
        <w:trPr>
          <w:trHeight w:val="33"/>
        </w:trPr>
        <w:tc>
          <w:tcPr>
            <w:tcW w:w="2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4"/>
        </w:trPr>
        <w:tc>
          <w:tcPr>
            <w:tcW w:w="8120" w:type="dxa"/>
            <w:vAlign w:val="bottom"/>
            <w:gridSpan w:val="4"/>
            <w:shd w:val="clear" w:color="auto" w:fill="CCEEFF"/>
          </w:tcPr>
          <w:p>
            <w:pPr>
              <w:ind w:left="40"/>
              <w:spacing w:after="0"/>
              <w:rPr>
                <w:sz w:val="20"/>
                <w:szCs w:val="20"/>
                <w:color w:val="auto"/>
              </w:rPr>
            </w:pPr>
            <w:r>
              <w:rPr>
                <w:rFonts w:ascii="Arial" w:cs="Arial" w:eastAsia="Arial" w:hAnsi="Arial"/>
                <w:sz w:val="16"/>
                <w:szCs w:val="16"/>
                <w:i w:val="1"/>
                <w:iCs w:val="1"/>
                <w:color w:val="auto"/>
              </w:rPr>
              <w:t>Unsecured</w:t>
            </w: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60"/>
        </w:trPr>
        <w:tc>
          <w:tcPr>
            <w:tcW w:w="2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66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r>
      <w:tr>
        <w:trPr>
          <w:trHeight w:val="189"/>
        </w:trPr>
        <w:tc>
          <w:tcPr>
            <w:tcW w:w="280" w:type="dxa"/>
            <w:vAlign w:val="bottom"/>
          </w:tcPr>
          <w:p>
            <w:pPr>
              <w:spacing w:after="0"/>
              <w:rPr>
                <w:sz w:val="16"/>
                <w:szCs w:val="16"/>
                <w:color w:val="auto"/>
              </w:rPr>
            </w:pPr>
          </w:p>
        </w:tc>
        <w:tc>
          <w:tcPr>
            <w:tcW w:w="7840" w:type="dxa"/>
            <w:vAlign w:val="bottom"/>
            <w:gridSpan w:val="3"/>
          </w:tcPr>
          <w:p>
            <w:pPr>
              <w:spacing w:after="0"/>
              <w:rPr>
                <w:sz w:val="20"/>
                <w:szCs w:val="20"/>
                <w:color w:val="auto"/>
              </w:rPr>
            </w:pPr>
            <w:r>
              <w:rPr>
                <w:rFonts w:ascii="Arial" w:cs="Arial" w:eastAsia="Arial" w:hAnsi="Arial"/>
                <w:sz w:val="16"/>
                <w:szCs w:val="16"/>
                <w:color w:val="auto"/>
              </w:rPr>
              <w:t>US Airways Group</w:t>
            </w: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61"/>
        </w:trPr>
        <w:tc>
          <w:tcPr>
            <w:tcW w:w="28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6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40" w:type="dxa"/>
            <w:vAlign w:val="bottom"/>
          </w:tcPr>
          <w:p>
            <w:pPr>
              <w:spacing w:after="0"/>
              <w:rPr>
                <w:sz w:val="5"/>
                <w:szCs w:val="5"/>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6.125% senior notes, interest only payments until due in 2018</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r>
      <w:tr>
        <w:trPr>
          <w:trHeight w:val="237"/>
        </w:trPr>
        <w:tc>
          <w:tcPr>
            <w:tcW w:w="280" w:type="dxa"/>
            <w:vAlign w:val="bottom"/>
          </w:tcPr>
          <w:p>
            <w:pPr>
              <w:spacing w:after="0"/>
              <w:rPr>
                <w:sz w:val="20"/>
                <w:szCs w:val="20"/>
                <w:color w:val="auto"/>
              </w:rPr>
            </w:pPr>
          </w:p>
        </w:tc>
        <w:tc>
          <w:tcPr>
            <w:tcW w:w="7840" w:type="dxa"/>
            <w:vAlign w:val="bottom"/>
            <w:gridSpan w:val="3"/>
          </w:tcPr>
          <w:p>
            <w:pPr>
              <w:ind w:left="220"/>
              <w:spacing w:after="0"/>
              <w:rPr>
                <w:sz w:val="20"/>
                <w:szCs w:val="20"/>
                <w:color w:val="auto"/>
              </w:rPr>
            </w:pPr>
            <w:r>
              <w:rPr>
                <w:rFonts w:ascii="Arial" w:cs="Arial" w:eastAsia="Arial" w:hAnsi="Arial"/>
                <w:sz w:val="16"/>
                <w:szCs w:val="16"/>
                <w:color w:val="auto"/>
              </w:rPr>
              <w:t>7.25% convertible senior notes</w:t>
            </w:r>
          </w:p>
        </w:tc>
        <w:tc>
          <w:tcPr>
            <w:tcW w:w="3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22</w:t>
            </w:r>
          </w:p>
        </w:tc>
      </w:tr>
      <w:tr>
        <w:trPr>
          <w:trHeight w:val="33"/>
        </w:trPr>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280" w:type="dxa"/>
            <w:vAlign w:val="bottom"/>
            <w:tcBorders>
              <w:bottom w:val="single" w:sz="8" w:color="CCEEFF"/>
            </w:tcBorders>
            <w:shd w:val="clear" w:color="auto" w:fill="CCEEFF"/>
          </w:tcPr>
          <w:p>
            <w:pPr>
              <w:spacing w:after="0"/>
              <w:rPr>
                <w:sz w:val="23"/>
                <w:szCs w:val="23"/>
                <w:color w:val="auto"/>
              </w:rPr>
            </w:pPr>
          </w:p>
        </w:tc>
        <w:tc>
          <w:tcPr>
            <w:tcW w:w="78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Industrial development bonds, fixed interest rate of 6.30%</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r>
      <w:tr>
        <w:trPr>
          <w:trHeight w:val="217"/>
        </w:trPr>
        <w:tc>
          <w:tcPr>
            <w:tcW w:w="280" w:type="dxa"/>
            <w:vAlign w:val="bottom"/>
          </w:tcPr>
          <w:p>
            <w:pPr>
              <w:spacing w:after="0"/>
              <w:rPr>
                <w:sz w:val="18"/>
                <w:szCs w:val="18"/>
                <w:color w:val="auto"/>
              </w:rPr>
            </w:pPr>
          </w:p>
        </w:tc>
        <w:tc>
          <w:tcPr>
            <w:tcW w:w="7840" w:type="dxa"/>
            <w:vAlign w:val="bottom"/>
            <w:gridSpan w:val="3"/>
          </w:tcPr>
          <w:p>
            <w:pPr>
              <w:ind w:left="440"/>
              <w:spacing w:after="0"/>
              <w:rPr>
                <w:sz w:val="20"/>
                <w:szCs w:val="20"/>
                <w:color w:val="auto"/>
              </w:rPr>
            </w:pPr>
            <w:r>
              <w:rPr>
                <w:rFonts w:ascii="Arial" w:cs="Arial" w:eastAsia="Arial" w:hAnsi="Arial"/>
                <w:sz w:val="16"/>
                <w:szCs w:val="16"/>
                <w:color w:val="auto"/>
              </w:rPr>
              <w:t>Total US Airways Group unsecured debt</w:t>
            </w:r>
          </w:p>
        </w:tc>
        <w:tc>
          <w:tcPr>
            <w:tcW w:w="3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551</w:t>
            </w:r>
          </w:p>
        </w:tc>
      </w:tr>
      <w:tr>
        <w:trPr>
          <w:trHeight w:val="33"/>
        </w:trPr>
        <w:tc>
          <w:tcPr>
            <w:tcW w:w="2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7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AAG unsecured debt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w:t>
            </w:r>
          </w:p>
        </w:tc>
      </w:tr>
      <w:tr>
        <w:trPr>
          <w:trHeight w:val="217"/>
        </w:trPr>
        <w:tc>
          <w:tcPr>
            <w:tcW w:w="8120" w:type="dxa"/>
            <w:vAlign w:val="bottom"/>
            <w:gridSpan w:val="4"/>
          </w:tcPr>
          <w:p>
            <w:pPr>
              <w:ind w:left="40"/>
              <w:spacing w:after="0"/>
              <w:rPr>
                <w:sz w:val="20"/>
                <w:szCs w:val="20"/>
                <w:color w:val="auto"/>
              </w:rPr>
            </w:pPr>
            <w:r>
              <w:rPr>
                <w:rFonts w:ascii="Arial" w:cs="Arial" w:eastAsia="Arial" w:hAnsi="Arial"/>
                <w:sz w:val="16"/>
                <w:szCs w:val="16"/>
                <w:color w:val="auto"/>
              </w:rPr>
              <w:t>Total long-term debt and capital lease obligations</w:t>
            </w:r>
          </w:p>
        </w:tc>
        <w:tc>
          <w:tcPr>
            <w:tcW w:w="3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16,795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16,894</w:t>
            </w:r>
          </w:p>
        </w:tc>
      </w:tr>
      <w:tr>
        <w:trPr>
          <w:trHeight w:val="33"/>
        </w:trPr>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Less: total unamortized debt discount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r>
      <w:tr>
        <w:trPr>
          <w:trHeight w:val="237"/>
        </w:trPr>
        <w:tc>
          <w:tcPr>
            <w:tcW w:w="280" w:type="dxa"/>
            <w:vAlign w:val="bottom"/>
          </w:tcPr>
          <w:p>
            <w:pPr>
              <w:spacing w:after="0"/>
              <w:rPr>
                <w:sz w:val="20"/>
                <w:szCs w:val="20"/>
                <w:color w:val="auto"/>
              </w:rPr>
            </w:pPr>
          </w:p>
        </w:tc>
        <w:tc>
          <w:tcPr>
            <w:tcW w:w="7840" w:type="dxa"/>
            <w:vAlign w:val="bottom"/>
            <w:gridSpan w:val="3"/>
          </w:tcPr>
          <w:p>
            <w:pPr>
              <w:spacing w:after="0"/>
              <w:rPr>
                <w:sz w:val="20"/>
                <w:szCs w:val="20"/>
                <w:color w:val="auto"/>
              </w:rPr>
            </w:pPr>
            <w:r>
              <w:rPr>
                <w:rFonts w:ascii="Arial" w:cs="Arial" w:eastAsia="Arial" w:hAnsi="Arial"/>
                <w:sz w:val="16"/>
                <w:szCs w:val="16"/>
                <w:color w:val="auto"/>
              </w:rPr>
              <w:t>Less: current maturities</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1,523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1,446</w:t>
            </w:r>
          </w:p>
        </w:tc>
      </w:tr>
      <w:tr>
        <w:trPr>
          <w:trHeight w:val="33"/>
        </w:trPr>
        <w:tc>
          <w:tcPr>
            <w:tcW w:w="2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6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5"/>
        </w:trPr>
        <w:tc>
          <w:tcPr>
            <w:tcW w:w="280" w:type="dxa"/>
            <w:vAlign w:val="bottom"/>
            <w:tcBorders>
              <w:bottom w:val="single" w:sz="8" w:color="CCEEFF"/>
            </w:tcBorders>
            <w:shd w:val="clear" w:color="auto" w:fill="CCEEFF"/>
          </w:tcPr>
          <w:p>
            <w:pPr>
              <w:spacing w:after="0"/>
              <w:rPr>
                <w:sz w:val="21"/>
                <w:szCs w:val="21"/>
                <w:color w:val="auto"/>
              </w:rPr>
            </w:pPr>
          </w:p>
        </w:tc>
        <w:tc>
          <w:tcPr>
            <w:tcW w:w="78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6"/>
                <w:szCs w:val="16"/>
                <w:color w:val="auto"/>
              </w:rPr>
              <w:t>Long-term debt and capital lease obligations, net of current maturities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15,353</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Secured Indebtedness (American and US Airways)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first six months of 2014, US Airways issued $481 million of equipment notes in two series under its 2013-1 EETCs completed in April 2013: Series A equipment notes in the amount of $364 million bearing interest at 3.95% per annum and Series B equipment notes in the amount of $117 million bearing interest at 5.375% per annum. The equipment notes are secured by liens on aircraft.</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May 2014, the Company prepaid $113 million principal amount of outstanding debt secured by certain aircraft.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3" w:right="239" w:bottom="1440" w:gutter="0" w:footer="0" w:header="0"/>
        </w:sectPr>
      </w:pPr>
    </w:p>
    <w:bookmarkStart w:id="18" w:name="page19"/>
    <w:bookmarkEnd w:id="18"/>
    <w:p>
      <w:pPr>
        <w:jc w:val="both"/>
        <w:ind w:firstLine="648"/>
        <w:spacing w:after="0" w:line="277" w:lineRule="auto"/>
        <w:rPr>
          <w:sz w:val="20"/>
          <w:szCs w:val="20"/>
          <w:color w:val="auto"/>
        </w:rPr>
      </w:pPr>
      <w:r>
        <w:rPr>
          <w:rFonts w:ascii="Arial" w:cs="Arial" w:eastAsia="Arial" w:hAnsi="Arial"/>
          <w:sz w:val="18"/>
          <w:szCs w:val="18"/>
          <w:color w:val="auto"/>
        </w:rPr>
        <w:t>In June 2014, American entered into a loan agreement to borrow $53 million in connection with financing certain aircraft deliveries. The notes mature in 2026 and bear interest at a rate of LIBOR plus an applicable margin.</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Senior Secured Notes (American)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March 2014, American prepaid $100 million of its 7.50% senior secured notes at a redemption price of 103% of principal amount plus accrued and unpaid interest.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Obligations Associated with Special Facility Revenue Bonds (American and US Airways)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June 2014, the Company prepaid $51 million of obligations, of which $29 million was reflected as debt on its balance sheet, associated with special facility revenue bonds issued by municipalities to build or improve certain airport and maintenance facilities. Also in June, the Company gave notice that it intends to prepay an additional $261 million of special facility bond related obligations in the third quarter of 2014, of which $106 million is reflected as debt on its balance sheet. The off-balance sheet portion of these obligations are accounted for as operating leases.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7.25% Convertible Notes (US Airways Group)</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2014, the Company notified the holders of US Airways Group's 7.25% convertible notes that it had elected to settle solely in cash instead of shares of AAG Common Stock all conversions during the period beginning on March 15, 2014 and ending on, and including, the second scheduled trading day immediately preceding the maturity date of May 15, 2014. In May 2014, the Company settled all outstanding 7.25% convertible notes in cash for approximately $175 million.</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Guarantees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March 2014, AAG, US Airways Group and US Airways entered into amended and restated guarantees of the payment obligations of US Airways under the equipment notes relating to each of its Series 2010-1, 2011-1, 2012-1, 2012-2 and 2013-1 Pass Through Certificates the result of which was to add AAG as a guarantor of such equipment notes on a joint and several basis with US Airways Group. Refer to Note 15 for further information.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result of the Merger, US Airways Group and its subsidiaries are included in the AAG consolidated federal and state income tax returns for the three and six months ended June 30, 2014. The Merger resulted in a statutory "ownership change" on December 9, 2013, as defined in Section 382 of the Internal Revenue Code of 1986, as amended (Section 382), which limits the Company's future ability to utilize NOLs generated before the ownership change and certain subsequently recognized "built-in" losses and deductions, if any, existing as of the date of the ownership change. The general limitation rules for a debtor in a bankruptcy case are liberalized where an ownership change occurs upon emergence from bankruptcy. The Company's ability to utilize any new NOLs arising after the ownership change is not affected.</w:t>
      </w:r>
    </w:p>
    <w:p>
      <w:pPr>
        <w:spacing w:after="0" w:line="1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At December 31, 2013, the Company had approximately $10.6 billion of gross NOLs to reduce future federal taxable income, the majority of which are expected to be available for use in 2014, subject to the Section 382 limitation described above. The federal NOLs will expire beginning in 2022 if unused. These NOLs include an unrealized tax benefit of $762 million related to the implementation of share-based compensation accounting guidance that will be recorded in equity when realized. The Company also had approximately $4.7 billion of gross NOLs to reduce future state taxable income at December 31, 2013, which will expire in years 2014 through 2033 if unused. At December 31, 2013, the Company had an Alternative Minimum Tax (AMT) credit carryforward of approximately $370 million available for federal income tax purposes, which is available for an indefinite period. The Company's net deferred tax assets, which include the NOLs, are subject to a full valuation allowance. At December 31, 2013, the federal and state valuation allowances were $4.6 billion and $415 million, respectively. In accordance with GAAP, utilization of the NOLs after December 9, 2013 will result in a corresponding decrease in the valuation allowance and offset the Company's tax provision dollar for dollar.</w:t>
      </w:r>
    </w:p>
    <w:p>
      <w:pPr>
        <w:spacing w:after="0" w:line="12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During the second quarter of 2014, the Company sold its portfolio of fuel hedging contracts that were scheduled to settle on or after June 30, 2014. In connection with this sale, the Company recorded a special non-cash tax provision of $330 million in the statement of operations for the second quarter of 2014 that reverses the non-cash tax provision which was recorded in OCI, a subset of stockholders’ equity, principally in 2009. This provision represents the tax effect associated with gains recorded in OCI principally in 2009 due to a net increase in the fair value of the Company’s fuel hedging contracts. In accordance with GAAP, the Company retained the $330 million tax provision in OCI until the last contract was settled or terminated. In addition, the Company recorded a special $7 million non-cash deferred income tax provision related to certain indefinite-lived intangible assets in the 2014 second quarter. The 2014 six month period included the $330 million non-cash tax provision related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7"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the settlement of fuel hedges discussed above as well as a special $15 million non-cash deferred income tax provision related to certain indefinite-lived intangible assets.</w:t>
      </w:r>
    </w:p>
    <w:p>
      <w:pPr>
        <w:spacing w:after="0" w:line="11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three and six months ended June 30, 2014, the Company recorded $3 million and $8 million, respectively, of state and international income tax expense related to certain states and countries where NOLs were limited or unavailable to be used.</w:t>
      </w:r>
    </w:p>
    <w:p>
      <w:pPr>
        <w:spacing w:after="0" w:line="11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did not record an income tax provision in the 2013 second quarter. For the six months ended June 30, 2013, the Company reported a loss before income taxes and recorded an income tax benefit of approximately $22 million as a result of the American Taxpayer Relief Act of 2012.</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 The Company's short-term investments classified as Level 2 primarily utilize broker quotes in a non-active market for valuation of these securities. No changes in valuation techniques or inputs occurred during the six months ended June 30, 2014.</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Assets and liabilities measured at fair value on a recurring basis are summarized below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340" w:type="dxa"/>
            <w:vAlign w:val="bottom"/>
            <w:gridSpan w:val="8"/>
          </w:tcPr>
          <w:p>
            <w:pPr>
              <w:ind w:left="60"/>
              <w:spacing w:after="0"/>
              <w:rPr>
                <w:sz w:val="20"/>
                <w:szCs w:val="20"/>
                <w:color w:val="auto"/>
              </w:rPr>
            </w:pPr>
            <w:r>
              <w:rPr>
                <w:rFonts w:ascii="Arial" w:cs="Arial" w:eastAsia="Arial" w:hAnsi="Arial"/>
                <w:sz w:val="18"/>
                <w:szCs w:val="18"/>
                <w:color w:val="auto"/>
                <w:w w:val="88"/>
              </w:rPr>
              <w:t>Fair Value Measurements as of June 30, 2014</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Level 2</w:t>
            </w:r>
          </w:p>
        </w:tc>
        <w:tc>
          <w:tcPr>
            <w:tcW w:w="300" w:type="dxa"/>
            <w:vAlign w:val="bottom"/>
          </w:tcPr>
          <w:p>
            <w:pPr>
              <w:spacing w:after="0"/>
              <w:rPr>
                <w:sz w:val="20"/>
                <w:szCs w:val="20"/>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Level 3</w:t>
            </w:r>
          </w:p>
        </w:tc>
      </w:tr>
      <w:tr>
        <w:trPr>
          <w:trHeight w:val="27"/>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1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5"/>
                <w:szCs w:val="25"/>
                <w:color w:val="auto"/>
                <w:vertAlign w:val="superscript"/>
              </w:rPr>
              <w:t>(1), (2)</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195</w:t>
            </w:r>
          </w:p>
        </w:tc>
        <w:tc>
          <w:tcPr>
            <w:tcW w:w="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Government agency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Repurchase agreements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Bank notes / Certificates of deposit / Time deposits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1,475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70"/>
        </w:trPr>
        <w:tc>
          <w:tcPr>
            <w:tcW w:w="51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5"/>
                <w:szCs w:val="25"/>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9,131</w:t>
            </w:r>
          </w:p>
        </w:tc>
        <w:tc>
          <w:tcPr>
            <w:tcW w:w="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8,085</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8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17145</wp:posOffset>
            </wp:positionV>
            <wp:extent cx="3970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33" w:lineRule="exact"/>
        <w:rPr>
          <w:sz w:val="20"/>
          <w:szCs w:val="20"/>
          <w:color w:val="auto"/>
        </w:rPr>
      </w:pPr>
    </w:p>
    <w:p>
      <w:pPr>
        <w:ind w:left="540" w:hanging="532"/>
        <w:spacing w:after="0" w:line="216" w:lineRule="auto"/>
        <w:tabs>
          <w:tab w:leader="none" w:pos="216"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Unrealized gains or losses on short-term investments and restricted cash and short-term investments are recorded in Accumulated other comprehensive income (loss) at each measurement date.</w:t>
      </w:r>
    </w:p>
    <w:p>
      <w:pPr>
        <w:spacing w:after="0" w:line="1" w:lineRule="exact"/>
        <w:rPr>
          <w:rFonts w:ascii="Arial" w:cs="Arial" w:eastAsia="Arial" w:hAnsi="Arial"/>
          <w:sz w:val="25"/>
          <w:szCs w:val="25"/>
          <w:color w:val="auto"/>
          <w:vertAlign w:val="superscript"/>
        </w:rPr>
      </w:pPr>
    </w:p>
    <w:p>
      <w:pPr>
        <w:ind w:left="540" w:hanging="532"/>
        <w:spacing w:after="0" w:line="209" w:lineRule="auto"/>
        <w:tabs>
          <w:tab w:leader="none" w:pos="216"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The Company's short-term investments mature in one year or less except for $2.0 billion of corporate obligations, $525 million of Bank notes/Certificates of deposit/Time deposits and $469 million of U.S. government agency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-555625</wp:posOffset>
            </wp:positionV>
            <wp:extent cx="3970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1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were no Level 1 to Level 2 transfers during the six months ended June 30, 2014. The Company's policy regarding the recording of transfers between levels is to reflect any such transfers at the end of the reporting period.</w:t>
      </w:r>
    </w:p>
    <w:p>
      <w:pPr>
        <w:spacing w:after="0" w:line="11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All of the Company's short-term investments are classified as available-for-sale and stated at fair value. Unrealized gains and losses are reflected as a component of Accumulated other comprehensive income (loss).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Venezuela Cash and Short-term Investments</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of June 30, 2014, approximately $791 million of the Company’s unrestricted cash balance was held in Venezuelan bolivars, valued at the weighted average applicable exchange rate of 6.53 bolivars to the dollar. This includes approximately $94 million valued at 4.3 bolivars, approximately $611 million valued at 6.3 bolivars, and approximately $86 million valued at 10.6 bolivars, with the rate depending on the date the Company submitted its repatriation request to the Venezuelan government. In the first quarter of 2014, the Venezuelan government announced that a newly-implemented system (SICAD I) will determine the exchange rate (which fluctuates as determined by weekly auctions and at June 30, 2014 was 10.6 bolivars to the dollar) for repatriation of cash proceeds from ticket sales after January 1, 2014, and introduced new procedures for approval of repatriation of local currency. The Company is continuing to work with Venezuelan authorities regarding the timing and exchange rate applicable to the repatriation of funds held in local currency. However, pending further repatriation of funds, and due to the significant decrease in demand for air travel resulting from the effective devaluation of the bolivar, the Company recently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significantly reduced capacity in this market. The Company is monitoring this situation closely and continues to evaluate its holdings of Venezuelan bolivars for potential impairment. See Part II, Item 1A - Risk Factors "</w:t>
      </w:r>
      <w:r>
        <w:rPr>
          <w:rFonts w:ascii="Arial" w:cs="Arial" w:eastAsia="Arial" w:hAnsi="Arial"/>
          <w:sz w:val="18"/>
          <w:szCs w:val="18"/>
          <w:i w:val="1"/>
          <w:iCs w:val="1"/>
          <w:color w:val="auto"/>
        </w:rPr>
        <w:t>We operate a global business with international operations that are subject to economic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political instability and have been, and in the future may continue to be, adversely affected by numerous events, circumstances or government actions beyond our control" </w:t>
      </w:r>
      <w:r>
        <w:rPr>
          <w:rFonts w:ascii="Arial" w:cs="Arial" w:eastAsia="Arial" w:hAnsi="Arial"/>
          <w:sz w:val="18"/>
          <w:szCs w:val="18"/>
          <w:color w:val="auto"/>
        </w:rPr>
        <w:t>for additional discussion of these and other currency risks.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Debt</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fair values of the Company’s long-term debt were estimated using quoted market prices or discounted cash flow analyses, based on the Company’s current estimated incremental borrowing rates for similar types of borrowing arrangements. If the Company’s long-term debt was measured at fair value, it would have been classified as Level 2 in the fair value hierarchy.</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Merger, US Airways Group's long-term debt was recorded at fair value as of December 9, 2013 using the acquisition method of accounting in accordance with ASC 805, "Business Combinations" and was determined by discounting the future contractual principal and interest payments using a market interest rate.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value and estimated fair value of the Company’s long-term debt, including current maturities, were as follows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ind w:left="620"/>
              <w:spacing w:after="0"/>
              <w:rPr>
                <w:sz w:val="20"/>
                <w:szCs w:val="20"/>
                <w:color w:val="auto"/>
              </w:rPr>
            </w:pPr>
            <w:r>
              <w:rPr>
                <w:rFonts w:ascii="Arial" w:cs="Arial" w:eastAsia="Arial" w:hAnsi="Arial"/>
                <w:sz w:val="18"/>
                <w:szCs w:val="18"/>
                <w:color w:val="auto"/>
              </w:rPr>
              <w:t>June 30, 2014</w:t>
            </w:r>
          </w:p>
        </w:tc>
        <w:tc>
          <w:tcPr>
            <w:tcW w:w="220" w:type="dxa"/>
            <w:vAlign w:val="bottom"/>
          </w:tcPr>
          <w:p>
            <w:pPr>
              <w:spacing w:after="0"/>
              <w:rPr>
                <w:sz w:val="20"/>
                <w:szCs w:val="20"/>
                <w:color w:val="auto"/>
              </w:rPr>
            </w:pPr>
          </w:p>
        </w:tc>
        <w:tc>
          <w:tcPr>
            <w:tcW w:w="2400" w:type="dxa"/>
            <w:vAlign w:val="bottom"/>
            <w:gridSpan w:val="4"/>
          </w:tcPr>
          <w:p>
            <w:pPr>
              <w:jc w:val="right"/>
              <w:ind w:right="490"/>
              <w:spacing w:after="0"/>
              <w:rPr>
                <w:sz w:val="20"/>
                <w:szCs w:val="20"/>
                <w:color w:val="auto"/>
              </w:rPr>
            </w:pPr>
            <w:r>
              <w:rPr>
                <w:rFonts w:ascii="Arial" w:cs="Arial" w:eastAsia="Arial" w:hAnsi="Arial"/>
                <w:sz w:val="18"/>
                <w:szCs w:val="18"/>
                <w:color w:val="auto"/>
              </w:rPr>
              <w:t>December 31, 2013</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Carrying</w:t>
            </w:r>
          </w:p>
        </w:tc>
        <w:tc>
          <w:tcPr>
            <w:tcW w:w="260" w:type="dxa"/>
            <w:vAlign w:val="bottom"/>
          </w:tcPr>
          <w:p>
            <w:pPr>
              <w:spacing w:after="0"/>
              <w:rPr>
                <w:sz w:val="19"/>
                <w:szCs w:val="19"/>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Fair</w:t>
            </w:r>
          </w:p>
        </w:tc>
        <w:tc>
          <w:tcPr>
            <w:tcW w:w="22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Carrying</w:t>
            </w:r>
          </w:p>
        </w:tc>
        <w:tc>
          <w:tcPr>
            <w:tcW w:w="280" w:type="dxa"/>
            <w:vAlign w:val="bottom"/>
          </w:tcPr>
          <w:p>
            <w:pPr>
              <w:spacing w:after="0"/>
              <w:rPr>
                <w:sz w:val="19"/>
                <w:szCs w:val="19"/>
                <w:color w:val="auto"/>
              </w:rPr>
            </w:pPr>
          </w:p>
        </w:tc>
        <w:tc>
          <w:tcPr>
            <w:tcW w:w="980" w:type="dxa"/>
            <w:vAlign w:val="bottom"/>
          </w:tcPr>
          <w:p>
            <w:pPr>
              <w:jc w:val="center"/>
              <w:ind w:right="190"/>
              <w:spacing w:after="0"/>
              <w:rPr>
                <w:sz w:val="20"/>
                <w:szCs w:val="20"/>
                <w:color w:val="auto"/>
              </w:rPr>
            </w:pPr>
            <w:r>
              <w:rPr>
                <w:rFonts w:ascii="Arial" w:cs="Arial" w:eastAsia="Arial" w:hAnsi="Arial"/>
                <w:sz w:val="18"/>
                <w:szCs w:val="18"/>
                <w:color w:val="auto"/>
                <w:w w:val="96"/>
              </w:rPr>
              <w:t>Fair</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Value</w:t>
            </w:r>
          </w:p>
        </w:tc>
        <w:tc>
          <w:tcPr>
            <w:tcW w:w="260" w:type="dxa"/>
            <w:vAlign w:val="bottom"/>
          </w:tcPr>
          <w:p>
            <w:pPr>
              <w:spacing w:after="0"/>
              <w:rPr>
                <w:sz w:val="20"/>
                <w:szCs w:val="20"/>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Value</w:t>
            </w:r>
          </w:p>
        </w:tc>
        <w:tc>
          <w:tcPr>
            <w:tcW w:w="22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Value</w:t>
            </w:r>
          </w:p>
        </w:tc>
        <w:tc>
          <w:tcPr>
            <w:tcW w:w="280" w:type="dxa"/>
            <w:vAlign w:val="bottom"/>
          </w:tcPr>
          <w:p>
            <w:pPr>
              <w:spacing w:after="0"/>
              <w:rPr>
                <w:sz w:val="20"/>
                <w:szCs w:val="20"/>
                <w:color w:val="auto"/>
              </w:rPr>
            </w:pPr>
          </w:p>
        </w:tc>
        <w:tc>
          <w:tcPr>
            <w:tcW w:w="980" w:type="dxa"/>
            <w:vAlign w:val="bottom"/>
          </w:tcPr>
          <w:p>
            <w:pPr>
              <w:jc w:val="center"/>
              <w:ind w:right="19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1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16,728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17,035</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ind w:right="190"/>
              <w:spacing w:after="0"/>
              <w:rPr>
                <w:sz w:val="20"/>
                <w:szCs w:val="20"/>
                <w:color w:val="auto"/>
              </w:rPr>
            </w:pPr>
            <w:r>
              <w:rPr>
                <w:rFonts w:ascii="Arial" w:cs="Arial" w:eastAsia="Arial" w:hAnsi="Arial"/>
                <w:sz w:val="18"/>
                <w:szCs w:val="18"/>
                <w:color w:val="auto"/>
              </w:rPr>
              <w:t>21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44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Retirement Benefits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provide the components of net periodic benefit cost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20" w:type="dxa"/>
            <w:vAlign w:val="bottom"/>
            <w:gridSpan w:val="4"/>
          </w:tcPr>
          <w:p>
            <w:pPr>
              <w:jc w:val="right"/>
              <w:ind w:right="60"/>
              <w:spacing w:after="0"/>
              <w:rPr>
                <w:sz w:val="20"/>
                <w:szCs w:val="20"/>
                <w:color w:val="auto"/>
              </w:rPr>
            </w:pPr>
            <w:r>
              <w:rPr>
                <w:rFonts w:ascii="Arial" w:cs="Arial" w:eastAsia="Arial" w:hAnsi="Arial"/>
                <w:sz w:val="18"/>
                <w:szCs w:val="18"/>
                <w:color w:val="auto"/>
                <w:w w:val="91"/>
              </w:rPr>
              <w:t>Pension Benefits</w:t>
            </w: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60" w:type="dxa"/>
            <w:vAlign w:val="bottom"/>
            <w:gridSpan w:val="6"/>
          </w:tcPr>
          <w:p>
            <w:pPr>
              <w:jc w:val="right"/>
              <w:ind w:right="330"/>
              <w:spacing w:after="0"/>
              <w:rPr>
                <w:sz w:val="20"/>
                <w:szCs w:val="20"/>
                <w:color w:val="auto"/>
              </w:rPr>
            </w:pPr>
            <w:r>
              <w:rPr>
                <w:rFonts w:ascii="Arial" w:cs="Arial" w:eastAsia="Arial" w:hAnsi="Arial"/>
                <w:sz w:val="18"/>
                <w:szCs w:val="18"/>
                <w:color w:val="auto"/>
                <w:w w:val="97"/>
              </w:rPr>
              <w:t>Retiree Medical and Other Benefits</w:t>
            </w:r>
          </w:p>
        </w:tc>
        <w:tc>
          <w:tcPr>
            <w:tcW w:w="0" w:type="dxa"/>
            <w:vAlign w:val="bottom"/>
          </w:tcPr>
          <w:p>
            <w:pPr>
              <w:spacing w:after="0"/>
              <w:rPr>
                <w:sz w:val="1"/>
                <w:szCs w:val="1"/>
                <w:color w:val="auto"/>
              </w:rPr>
            </w:pPr>
          </w:p>
        </w:tc>
      </w:tr>
      <w:tr>
        <w:trPr>
          <w:trHeight w:val="27"/>
        </w:trPr>
        <w:tc>
          <w:tcPr>
            <w:tcW w:w="44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Three Months Ended June 30,</w:t>
            </w: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2014</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jc w:val="right"/>
              <w:ind w:right="550"/>
              <w:spacing w:after="0"/>
              <w:rPr>
                <w:sz w:val="20"/>
                <w:szCs w:val="20"/>
                <w:color w:val="auto"/>
              </w:rPr>
            </w:pPr>
            <w:r>
              <w:rPr>
                <w:rFonts w:ascii="Arial" w:cs="Arial" w:eastAsia="Arial" w:hAnsi="Arial"/>
                <w:sz w:val="18"/>
                <w:szCs w:val="18"/>
                <w:color w:val="auto"/>
                <w:w w:val="89"/>
              </w:rPr>
              <w:t>2013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57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4460" w:type="dxa"/>
            <w:vAlign w:val="bottom"/>
            <w:gridSpan w:val="3"/>
            <w:vMerge w:val="restart"/>
          </w:tcPr>
          <w:p>
            <w:pPr>
              <w:ind w:left="40"/>
              <w:spacing w:after="0"/>
              <w:rPr>
                <w:sz w:val="20"/>
                <w:szCs w:val="20"/>
                <w:color w:val="auto"/>
              </w:rPr>
            </w:pPr>
            <w:r>
              <w:rPr>
                <w:rFonts w:ascii="Arial" w:cs="Arial" w:eastAsia="Arial" w:hAnsi="Arial"/>
                <w:sz w:val="18"/>
                <w:szCs w:val="18"/>
                <w:color w:val="auto"/>
              </w:rPr>
              <w:t>Components of net periodic benefit cost:</w:t>
            </w: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4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920" w:type="dxa"/>
            <w:vAlign w:val="bottom"/>
            <w:tcBorders>
              <w:top w:val="single" w:sz="8" w:color="auto"/>
            </w:tcBorders>
          </w:tcPr>
          <w:p>
            <w:pPr>
              <w:spacing w:after="0"/>
              <w:rPr>
                <w:sz w:val="5"/>
                <w:szCs w:val="5"/>
                <w:color w:val="auto"/>
              </w:rPr>
            </w:pPr>
          </w:p>
        </w:tc>
        <w:tc>
          <w:tcPr>
            <w:tcW w:w="1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Service cost</w:t>
            </w:r>
          </w:p>
        </w:tc>
        <w:tc>
          <w:tcPr>
            <w:tcW w:w="1060" w:type="dxa"/>
            <w:vAlign w:val="bottom"/>
            <w:tcBorders>
              <w:bottom w:val="single" w:sz="8" w:color="CCEEFF"/>
            </w:tcBorders>
            <w:gridSpan w:val="2"/>
            <w:shd w:val="clear" w:color="auto" w:fill="CCEEFF"/>
          </w:tcPr>
          <w:p>
            <w:pPr>
              <w:jc w:val="right"/>
              <w:ind w:right="94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Expected return on assets</w:t>
            </w: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5"/>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Settlements</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Amortization of:</w:t>
            </w: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20" w:type="dxa"/>
            <w:vAlign w:val="bottom"/>
            <w:gridSpan w:val="2"/>
          </w:tcPr>
          <w:p>
            <w:pPr>
              <w:ind w:left="460"/>
              <w:spacing w:after="0"/>
              <w:rPr>
                <w:sz w:val="20"/>
                <w:szCs w:val="20"/>
                <w:color w:val="auto"/>
              </w:rPr>
            </w:pPr>
            <w:r>
              <w:rPr>
                <w:rFonts w:ascii="Arial" w:cs="Arial" w:eastAsia="Arial" w:hAnsi="Arial"/>
                <w:sz w:val="18"/>
                <w:szCs w:val="18"/>
                <w:color w:val="auto"/>
              </w:rPr>
              <w:t>Prior service cost (benefit)</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4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Unrecognized net loss (gain)</w:t>
            </w:r>
          </w:p>
        </w:tc>
        <w:tc>
          <w:tcPr>
            <w:tcW w:w="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Net periodic benefit cost</w:t>
            </w:r>
          </w:p>
        </w:tc>
        <w:tc>
          <w:tcPr>
            <w:tcW w:w="1060" w:type="dxa"/>
            <w:vAlign w:val="bottom"/>
            <w:tcBorders>
              <w:top w:val="single" w:sz="8" w:color="auto"/>
            </w:tcBorders>
            <w:gridSpan w:val="2"/>
          </w:tcPr>
          <w:p>
            <w:pPr>
              <w:jc w:val="right"/>
              <w:ind w:right="94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62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gridSpan w:val="4"/>
          </w:tcPr>
          <w:p>
            <w:pPr>
              <w:jc w:val="right"/>
              <w:ind w:right="40"/>
              <w:spacing w:after="0"/>
              <w:rPr>
                <w:sz w:val="20"/>
                <w:szCs w:val="20"/>
                <w:color w:val="auto"/>
              </w:rPr>
            </w:pPr>
            <w:r>
              <w:rPr>
                <w:rFonts w:ascii="Arial" w:cs="Arial" w:eastAsia="Arial" w:hAnsi="Arial"/>
                <w:sz w:val="18"/>
                <w:szCs w:val="18"/>
                <w:color w:val="auto"/>
                <w:w w:val="93"/>
              </w:rPr>
              <w:t>Pension Benefits</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60" w:type="dxa"/>
            <w:vAlign w:val="bottom"/>
            <w:gridSpan w:val="6"/>
          </w:tcPr>
          <w:p>
            <w:pPr>
              <w:jc w:val="right"/>
              <w:ind w:right="330"/>
              <w:spacing w:after="0"/>
              <w:rPr>
                <w:sz w:val="20"/>
                <w:szCs w:val="20"/>
                <w:color w:val="auto"/>
              </w:rPr>
            </w:pPr>
            <w:r>
              <w:rPr>
                <w:rFonts w:ascii="Arial" w:cs="Arial" w:eastAsia="Arial" w:hAnsi="Arial"/>
                <w:sz w:val="18"/>
                <w:szCs w:val="18"/>
                <w:color w:val="auto"/>
                <w:w w:val="97"/>
              </w:rPr>
              <w:t>Retiree Medical and Other Benefits</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w:t>
            </w: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Borders>
              <w:top w:val="single" w:sz="8" w:color="auto"/>
            </w:tcBorders>
          </w:tcPr>
          <w:p>
            <w:pPr>
              <w:spacing w:after="0"/>
              <w:rPr>
                <w:sz w:val="20"/>
                <w:szCs w:val="20"/>
                <w:color w:val="auto"/>
              </w:rPr>
            </w:pPr>
          </w:p>
        </w:tc>
        <w:tc>
          <w:tcPr>
            <w:tcW w:w="29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2014</w:t>
            </w: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4"/>
              </w:rPr>
              <w:t>2013</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2014</w:t>
            </w: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460" w:type="dxa"/>
            <w:vAlign w:val="bottom"/>
            <w:gridSpan w:val="3"/>
            <w:shd w:val="clear" w:color="auto" w:fill="CCEEFF"/>
          </w:tcPr>
          <w:p>
            <w:pPr>
              <w:ind w:left="40"/>
              <w:spacing w:after="0" w:line="182" w:lineRule="exact"/>
              <w:rPr>
                <w:sz w:val="20"/>
                <w:szCs w:val="20"/>
                <w:color w:val="auto"/>
              </w:rPr>
            </w:pPr>
            <w:r>
              <w:rPr>
                <w:rFonts w:ascii="Arial" w:cs="Arial" w:eastAsia="Arial" w:hAnsi="Arial"/>
                <w:sz w:val="18"/>
                <w:szCs w:val="18"/>
                <w:color w:val="auto"/>
              </w:rPr>
              <w:t>Components of net periodic benefit cost:</w:t>
            </w:r>
          </w:p>
        </w:tc>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2920" w:type="dxa"/>
            <w:vAlign w:val="bottom"/>
            <w:tcBorders>
              <w:top w:val="single" w:sz="8" w:color="auto"/>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Service cost</w:t>
            </w:r>
          </w:p>
        </w:tc>
        <w:tc>
          <w:tcPr>
            <w:tcW w:w="106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6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Interest cost</w:t>
            </w: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Expected return on assets</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jc w:val="right"/>
              <w:ind w:right="70"/>
              <w:spacing w:after="0"/>
              <w:rPr>
                <w:sz w:val="20"/>
                <w:szCs w:val="20"/>
                <w:color w:val="auto"/>
              </w:rPr>
            </w:pPr>
            <w:r>
              <w:rPr>
                <w:rFonts w:ascii="Arial" w:cs="Arial" w:eastAsia="Arial" w:hAnsi="Arial"/>
                <w:sz w:val="18"/>
                <w:szCs w:val="18"/>
                <w:color w:val="auto"/>
                <w:w w:val="99"/>
              </w:rPr>
              <w:t>(393)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Settlements</w:t>
            </w: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Amortization of:</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Prior service cost (benefit)</w:t>
            </w: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20" w:type="dxa"/>
            <w:vAlign w:val="bottom"/>
            <w:gridSpan w:val="2"/>
          </w:tcPr>
          <w:p>
            <w:pPr>
              <w:ind w:left="460"/>
              <w:spacing w:after="0"/>
              <w:rPr>
                <w:sz w:val="20"/>
                <w:szCs w:val="20"/>
                <w:color w:val="auto"/>
              </w:rPr>
            </w:pPr>
            <w:r>
              <w:rPr>
                <w:rFonts w:ascii="Arial" w:cs="Arial" w:eastAsia="Arial" w:hAnsi="Arial"/>
                <w:sz w:val="18"/>
                <w:szCs w:val="18"/>
                <w:color w:val="auto"/>
              </w:rPr>
              <w:t>Unrecognized net loss (gain)</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periodic benefit cost</w:t>
            </w:r>
          </w:p>
        </w:tc>
        <w:tc>
          <w:tcPr>
            <w:tcW w:w="1060" w:type="dxa"/>
            <w:vAlign w:val="bottom"/>
            <w:tcBorders>
              <w:bottom w:val="single" w:sz="8" w:color="CCEEFF"/>
            </w:tcBorders>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Effective November 1, 2012, the Company's defined benefit pension plans were frozen.</w:t>
      </w:r>
    </w:p>
    <w:p>
      <w:pPr>
        <w:spacing w:after="0" w:line="17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8"/>
          <w:szCs w:val="18"/>
          <w:color w:val="auto"/>
        </w:rPr>
        <w:t>The Company is required to make minimum contributions to its defined benefit pension plans under the minimum funding requirements of ERISA, the Pension Funding Equity Act of 2004, the Pension Protection Act of 2006, the Pension Relief Act of 2010, and the Moving Ahead for Progress in the 21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Century Act of 2012. During the first six months of 2014, the Company contributed $71 million to its defined benefit pension plans. On July 15, 2014, the Company contributed an additional $37 million to its defined benefit pension plans.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Instruments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Fuel Hedging Contracts</w:t>
      </w:r>
    </w:p>
    <w:p>
      <w:pPr>
        <w:spacing w:after="0" w:line="171" w:lineRule="exact"/>
        <w:rPr>
          <w:sz w:val="20"/>
          <w:szCs w:val="20"/>
          <w:color w:val="auto"/>
        </w:rPr>
      </w:pPr>
    </w:p>
    <w:p>
      <w:pPr>
        <w:jc w:val="both"/>
        <w:ind w:firstLine="205"/>
        <w:spacing w:after="0" w:line="290" w:lineRule="auto"/>
        <w:rPr>
          <w:sz w:val="20"/>
          <w:szCs w:val="20"/>
          <w:color w:val="auto"/>
        </w:rPr>
      </w:pPr>
      <w:r>
        <w:rPr>
          <w:rFonts w:ascii="Arial" w:cs="Arial" w:eastAsia="Arial" w:hAnsi="Arial"/>
          <w:sz w:val="16"/>
          <w:szCs w:val="16"/>
          <w:color w:val="auto"/>
        </w:rPr>
        <w:t>The Company has not entered into any fuel hedges since December 9, 2013. As of June 30, 2014, the Company does not have any fuel hedging contracts outstanding. During the second quarter of 2014, the Company sold its portfolio of fuel hedging contracts that were scheduled to settle on or after June 30, 2014. The cash proceeds on these sales totaled $71 million which exceeded the current value of the portfolio. Approximately $25 million of the resulting gain was credited to OCI and will be recognized as a credit to fuel expense in the period the hedged fuel is scheduled to be consumed (the third quarter of 2014 through the second quarter of 2015). For the three months ended June 30, 2014 and 2013, the Company recognized a net gain of approximately $2 million and a net loss of approximately $31 million, respectively, and for the six months ended June 30, 2014 and 2013, the Company recognized a net gain of less than one million and a net loss of approximately $23 million, respectively, as a component of aircraft fuel expense on the accompanying condensed consolidated statements of operations related to its fuel hedging agreements, including the ineffective portion of the hedges.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impact of aircraft fuel derivative instruments on the Company’s condensed consolidated statements of operations is depicted below (in millions):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0"/>
        <w:spacing w:after="0" w:line="304" w:lineRule="auto"/>
        <w:rPr>
          <w:sz w:val="20"/>
          <w:szCs w:val="20"/>
          <w:color w:val="auto"/>
        </w:rPr>
      </w:pPr>
      <w:r>
        <w:rPr>
          <w:rFonts w:ascii="Arial" w:cs="Arial" w:eastAsia="Arial" w:hAnsi="Arial"/>
          <w:sz w:val="14"/>
          <w:szCs w:val="14"/>
          <w:color w:val="auto"/>
        </w:rPr>
        <w:t>Amount of gain (loss) reclassified from accumulated OCI into income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45" w:lineRule="exact"/>
        <w:rPr>
          <w:sz w:val="20"/>
          <w:szCs w:val="20"/>
          <w:color w:val="auto"/>
        </w:rPr>
      </w:pPr>
    </w:p>
    <w:p>
      <w:pPr>
        <w:ind w:left="40" w:right="120"/>
        <w:spacing w:after="0" w:line="308" w:lineRule="auto"/>
        <w:rPr>
          <w:sz w:val="20"/>
          <w:szCs w:val="20"/>
          <w:color w:val="auto"/>
        </w:rPr>
      </w:pPr>
      <w:r>
        <w:rPr>
          <w:rFonts w:ascii="Arial" w:cs="Arial" w:eastAsia="Arial" w:hAnsi="Arial"/>
          <w:sz w:val="14"/>
          <w:szCs w:val="14"/>
          <w:color w:val="auto"/>
        </w:rPr>
        <w:t xml:space="preserve">Amount of gain (loss) recognized in income on derivative </w:t>
      </w:r>
      <w:r>
        <w:rPr>
          <w:rFonts w:ascii="Arial" w:cs="Arial" w:eastAsia="Arial" w:hAnsi="Arial"/>
          <w:sz w:val="18"/>
          <w:szCs w:val="18"/>
          <w:color w:val="auto"/>
          <w:vertAlign w:val="superscript"/>
        </w:rPr>
        <w:t>(2)</w:t>
      </w:r>
    </w:p>
    <w:p>
      <w:pPr>
        <w:spacing w:after="0" w:line="1" w:lineRule="exact"/>
        <w:rPr>
          <w:sz w:val="20"/>
          <w:szCs w:val="20"/>
          <w:color w:val="auto"/>
        </w:rPr>
      </w:pPr>
    </w:p>
    <w:p>
      <w:pPr>
        <w:ind w:left="40" w:right="120"/>
        <w:spacing w:after="0" w:line="284" w:lineRule="auto"/>
        <w:rPr>
          <w:sz w:val="20"/>
          <w:szCs w:val="20"/>
          <w:color w:val="auto"/>
        </w:rPr>
      </w:pPr>
      <w:r>
        <w:rPr>
          <w:rFonts w:ascii="Arial" w:cs="Arial" w:eastAsia="Arial" w:hAnsi="Arial"/>
          <w:sz w:val="14"/>
          <w:szCs w:val="14"/>
          <w:color w:val="auto"/>
        </w:rPr>
        <w:t xml:space="preserve">Amount of gain (loss) recognized in condensed consolidated statements of operations </w:t>
      </w:r>
      <w:r>
        <w:rPr>
          <w:rFonts w:ascii="Arial" w:cs="Arial" w:eastAsia="Arial" w:hAnsi="Arial"/>
          <w:sz w:val="18"/>
          <w:szCs w:val="18"/>
          <w:color w:val="auto"/>
          <w:vertAlign w:val="superscript"/>
        </w:rPr>
        <w:t>(3)</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Location in condensed</w:t>
            </w:r>
          </w:p>
        </w:tc>
        <w:tc>
          <w:tcPr>
            <w:tcW w:w="180" w:type="dxa"/>
            <w:vAlign w:val="bottom"/>
          </w:tcPr>
          <w:p>
            <w:pPr>
              <w:spacing w:after="0"/>
              <w:rPr>
                <w:sz w:val="16"/>
                <w:szCs w:val="16"/>
                <w:color w:val="auto"/>
              </w:rPr>
            </w:pPr>
          </w:p>
        </w:tc>
        <w:tc>
          <w:tcPr>
            <w:tcW w:w="2380" w:type="dxa"/>
            <w:vAlign w:val="bottom"/>
            <w:gridSpan w:val="5"/>
          </w:tcPr>
          <w:p>
            <w:pPr>
              <w:ind w:left="80"/>
              <w:spacing w:after="0"/>
              <w:rPr>
                <w:sz w:val="20"/>
                <w:szCs w:val="20"/>
                <w:color w:val="auto"/>
              </w:rPr>
            </w:pPr>
            <w:r>
              <w:rPr>
                <w:rFonts w:ascii="Arial" w:cs="Arial" w:eastAsia="Arial" w:hAnsi="Arial"/>
                <w:sz w:val="16"/>
                <w:szCs w:val="16"/>
                <w:color w:val="auto"/>
              </w:rPr>
              <w:t>Three Months Ended June 30,</w:t>
            </w:r>
          </w:p>
        </w:tc>
        <w:tc>
          <w:tcPr>
            <w:tcW w:w="240" w:type="dxa"/>
            <w:vAlign w:val="bottom"/>
          </w:tcPr>
          <w:p>
            <w:pPr>
              <w:spacing w:after="0"/>
              <w:rPr>
                <w:sz w:val="16"/>
                <w:szCs w:val="16"/>
                <w:color w:val="auto"/>
              </w:rPr>
            </w:pPr>
          </w:p>
        </w:tc>
        <w:tc>
          <w:tcPr>
            <w:tcW w:w="2220" w:type="dxa"/>
            <w:vAlign w:val="bottom"/>
            <w:gridSpan w:val="4"/>
          </w:tcPr>
          <w:p>
            <w:pPr>
              <w:jc w:val="right"/>
              <w:ind w:right="239"/>
              <w:spacing w:after="0"/>
              <w:rPr>
                <w:sz w:val="20"/>
                <w:szCs w:val="20"/>
                <w:color w:val="auto"/>
              </w:rPr>
            </w:pPr>
            <w:r>
              <w:rPr>
                <w:rFonts w:ascii="Arial" w:cs="Arial" w:eastAsia="Arial" w:hAnsi="Arial"/>
                <w:sz w:val="16"/>
                <w:szCs w:val="16"/>
                <w:color w:val="auto"/>
                <w:w w:val="96"/>
              </w:rPr>
              <w:t>Six Months Ended June 30,</w:t>
            </w:r>
          </w:p>
        </w:tc>
        <w:tc>
          <w:tcPr>
            <w:tcW w:w="0" w:type="dxa"/>
            <w:vAlign w:val="bottom"/>
          </w:tcPr>
          <w:p>
            <w:pPr>
              <w:spacing w:after="0"/>
              <w:rPr>
                <w:sz w:val="1"/>
                <w:szCs w:val="1"/>
                <w:color w:val="auto"/>
              </w:rPr>
            </w:pPr>
          </w:p>
        </w:tc>
      </w:tr>
      <w:tr>
        <w:trPr>
          <w:trHeight w:val="59"/>
        </w:trPr>
        <w:tc>
          <w:tcPr>
            <w:tcW w:w="16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color w:val="auto"/>
                <w:w w:val="91"/>
              </w:rPr>
              <w:t>consolidated statements</w:t>
            </w:r>
          </w:p>
        </w:tc>
        <w:tc>
          <w:tcPr>
            <w:tcW w:w="1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16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vMerge w:val="restart"/>
          </w:tcPr>
          <w:p>
            <w:pPr>
              <w:jc w:val="right"/>
              <w:ind w:right="359"/>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vMerge w:val="restart"/>
          </w:tcPr>
          <w:p>
            <w:pPr>
              <w:jc w:val="right"/>
              <w:ind w:right="339"/>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vMerge w:val="restart"/>
          </w:tcPr>
          <w:p>
            <w:pPr>
              <w:jc w:val="right"/>
              <w:ind w:right="339"/>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vMerge w:val="restart"/>
          </w:tcPr>
          <w:p>
            <w:pPr>
              <w:jc w:val="right"/>
              <w:ind w:right="339"/>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188"/>
        </w:trPr>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of operations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7"/>
        </w:trPr>
        <w:tc>
          <w:tcPr>
            <w:tcW w:w="168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Aircraft fuel and</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related taxes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53"/>
        </w:trPr>
        <w:tc>
          <w:tcPr>
            <w:tcW w:w="168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Aircraft fuel and</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related taxes</w:t>
            </w:r>
          </w:p>
        </w:tc>
        <w:tc>
          <w:tcPr>
            <w:tcW w:w="180" w:type="dxa"/>
            <w:vAlign w:val="bottom"/>
          </w:tcPr>
          <w:p>
            <w:pPr>
              <w:spacing w:after="0"/>
              <w:rPr>
                <w:sz w:val="17"/>
                <w:szCs w:val="17"/>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168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6"/>
              </w:rPr>
              <w:t>Aircraft fuel and</w:t>
            </w: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2"/>
        </w:trPr>
        <w:tc>
          <w:tcPr>
            <w:tcW w:w="16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related taxes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-1059180</wp:posOffset>
            </wp:positionV>
            <wp:extent cx="5763260" cy="3689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63260" cy="36893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-398780</wp:posOffset>
            </wp:positionV>
            <wp:extent cx="5763260" cy="420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63260" cy="420370"/>
                    </a:xfrm>
                    <a:prstGeom prst="rect">
                      <a:avLst/>
                    </a:prstGeom>
                    <a:noFill/>
                  </pic:spPr>
                </pic:pic>
              </a:graphicData>
            </a:graphic>
          </wp:anchor>
        </w:drawing>
      </w:r>
    </w:p>
    <w:p>
      <w:pPr>
        <w:spacing w:after="0" w:line="29" w:lineRule="exact"/>
        <w:rPr>
          <w:sz w:val="20"/>
          <w:szCs w:val="20"/>
          <w:color w:val="auto"/>
        </w:rPr>
      </w:pPr>
    </w:p>
    <w:p>
      <w:pPr>
        <w:sectPr>
          <w:pgSz w:w="11900" w:h="16838" w:orient="portrait"/>
          <w:cols w:equalWidth="0" w:num="2">
            <w:col w:w="2340" w:space="40"/>
            <w:col w:w="9040"/>
          </w:cols>
          <w:pgMar w:left="240" w:top="125" w:right="239" w:bottom="1440" w:gutter="0" w:footer="0" w:header="0"/>
          <w:type w:val="continuous"/>
        </w:sectPr>
      </w:pPr>
    </w:p>
    <w:p>
      <w:pPr>
        <w:ind w:left="340" w:hanging="332"/>
        <w:spacing w:after="0" w:line="184" w:lineRule="auto"/>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Includes the effective portion of hedge gain (loss)</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13"/>
        </w:numPr>
        <w:rPr>
          <w:rFonts w:ascii="Arial" w:cs="Arial" w:eastAsia="Arial" w:hAnsi="Arial"/>
          <w:sz w:val="24"/>
          <w:szCs w:val="24"/>
          <w:color w:val="auto"/>
          <w:vertAlign w:val="superscript"/>
        </w:rPr>
      </w:pPr>
      <w:r>
        <w:rPr>
          <w:rFonts w:ascii="Arial" w:cs="Arial" w:eastAsia="Arial" w:hAnsi="Arial"/>
          <w:sz w:val="17"/>
          <w:szCs w:val="17"/>
          <w:color w:val="auto"/>
        </w:rPr>
        <w:t>Includes the ineffective portion of hedge gain (loss)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13"/>
        </w:numPr>
        <w:rPr>
          <w:rFonts w:ascii="Arial" w:cs="Arial" w:eastAsia="Arial" w:hAnsi="Arial"/>
          <w:sz w:val="24"/>
          <w:szCs w:val="24"/>
          <w:color w:val="auto"/>
          <w:vertAlign w:val="superscript"/>
        </w:rPr>
      </w:pPr>
      <w:r>
        <w:rPr>
          <w:rFonts w:ascii="Arial" w:cs="Arial" w:eastAsia="Arial" w:hAnsi="Arial"/>
          <w:sz w:val="17"/>
          <w:szCs w:val="17"/>
          <w:color w:val="auto"/>
        </w:rPr>
        <w:t>Includes the effective and ineffective portion of hedge gain (loss)</w:t>
      </w:r>
    </w:p>
    <w:p>
      <w:pPr>
        <w:spacing w:after="0" w:line="1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impact of aircraft fuel derivative instruments on the Company’s condensed consolidated statements of comprehensive income (loss) is depicted below (in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00" w:type="dxa"/>
            <w:vAlign w:val="bottom"/>
            <w:gridSpan w:val="5"/>
          </w:tcPr>
          <w:p>
            <w:pPr>
              <w:ind w:left="60"/>
              <w:spacing w:after="0"/>
              <w:rPr>
                <w:sz w:val="20"/>
                <w:szCs w:val="20"/>
                <w:color w:val="auto"/>
              </w:rPr>
            </w:pPr>
            <w:r>
              <w:rPr>
                <w:rFonts w:ascii="Arial" w:cs="Arial" w:eastAsia="Arial" w:hAnsi="Arial"/>
                <w:sz w:val="16"/>
                <w:szCs w:val="16"/>
                <w:color w:val="auto"/>
              </w:rPr>
              <w:t>Three Months Ended June 30,</w:t>
            </w:r>
          </w:p>
        </w:tc>
        <w:tc>
          <w:tcPr>
            <w:tcW w:w="240" w:type="dxa"/>
            <w:vAlign w:val="bottom"/>
          </w:tcPr>
          <w:p>
            <w:pPr>
              <w:spacing w:after="0"/>
              <w:rPr>
                <w:sz w:val="17"/>
                <w:szCs w:val="17"/>
                <w:color w:val="auto"/>
              </w:rPr>
            </w:pPr>
          </w:p>
        </w:tc>
        <w:tc>
          <w:tcPr>
            <w:tcW w:w="2280" w:type="dxa"/>
            <w:vAlign w:val="bottom"/>
            <w:gridSpan w:val="4"/>
          </w:tcPr>
          <w:p>
            <w:pPr>
              <w:jc w:val="right"/>
              <w:ind w:right="279"/>
              <w:spacing w:after="0"/>
              <w:rPr>
                <w:sz w:val="20"/>
                <w:szCs w:val="20"/>
                <w:color w:val="auto"/>
              </w:rPr>
            </w:pPr>
            <w:r>
              <w:rPr>
                <w:rFonts w:ascii="Arial" w:cs="Arial" w:eastAsia="Arial" w:hAnsi="Arial"/>
                <w:sz w:val="16"/>
                <w:szCs w:val="16"/>
                <w:color w:val="auto"/>
                <w:w w:val="97"/>
              </w:rPr>
              <w:t>Six Months Ended June 30,</w:t>
            </w:r>
          </w:p>
        </w:tc>
      </w:tr>
      <w:tr>
        <w:trPr>
          <w:trHeight w:val="33"/>
        </w:trPr>
        <w:tc>
          <w:tcPr>
            <w:tcW w:w="2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2900" w:type="dxa"/>
            <w:vAlign w:val="bottom"/>
          </w:tcPr>
          <w:p>
            <w:pPr>
              <w:spacing w:after="0"/>
              <w:rPr>
                <w:sz w:val="20"/>
                <w:szCs w:val="20"/>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Location</w:t>
            </w:r>
          </w:p>
        </w:tc>
        <w:tc>
          <w:tcPr>
            <w:tcW w:w="160" w:type="dxa"/>
            <w:vAlign w:val="bottom"/>
          </w:tcPr>
          <w:p>
            <w:pPr>
              <w:spacing w:after="0"/>
              <w:rPr>
                <w:sz w:val="20"/>
                <w:szCs w:val="20"/>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color w:val="auto"/>
              </w:rPr>
              <w:t>2013</w:t>
            </w:r>
          </w:p>
        </w:tc>
      </w:tr>
      <w:tr>
        <w:trPr>
          <w:trHeight w:val="33"/>
        </w:trPr>
        <w:tc>
          <w:tcPr>
            <w:tcW w:w="29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3"/>
        </w:trPr>
        <w:tc>
          <w:tcPr>
            <w:tcW w:w="2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Amount of (gain) loss reclassified from</w:t>
            </w:r>
          </w:p>
        </w:tc>
        <w:tc>
          <w:tcPr>
            <w:tcW w:w="12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Reclassification</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9"/>
        </w:trPr>
        <w:tc>
          <w:tcPr>
            <w:tcW w:w="2900" w:type="dxa"/>
            <w:vAlign w:val="bottom"/>
            <w:shd w:val="clear" w:color="auto" w:fill="CCEEFF"/>
          </w:tcPr>
          <w:p>
            <w:pPr>
              <w:ind w:left="40"/>
              <w:spacing w:after="0" w:line="239" w:lineRule="exact"/>
              <w:rPr>
                <w:sz w:val="20"/>
                <w:szCs w:val="20"/>
                <w:color w:val="auto"/>
              </w:rPr>
            </w:pPr>
            <w:r>
              <w:rPr>
                <w:rFonts w:ascii="Arial" w:cs="Arial" w:eastAsia="Arial" w:hAnsi="Arial"/>
                <w:sz w:val="16"/>
                <w:szCs w:val="16"/>
                <w:color w:val="auto"/>
              </w:rPr>
              <w:t xml:space="preserve">accumulated OCI into income </w:t>
            </w:r>
            <w:r>
              <w:rPr>
                <w:rFonts w:ascii="Arial" w:cs="Arial" w:eastAsia="Arial" w:hAnsi="Arial"/>
                <w:sz w:val="21"/>
                <w:szCs w:val="21"/>
                <w:color w:val="auto"/>
                <w:vertAlign w:val="superscript"/>
              </w:rPr>
              <w:t>(1)</w:t>
            </w:r>
          </w:p>
        </w:tc>
        <w:tc>
          <w:tcPr>
            <w:tcW w:w="12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into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w:t>
            </w:r>
          </w:p>
        </w:tc>
      </w:tr>
      <w:tr>
        <w:trPr>
          <w:trHeight w:val="220"/>
        </w:trPr>
        <w:tc>
          <w:tcPr>
            <w:tcW w:w="2900" w:type="dxa"/>
            <w:vAlign w:val="bottom"/>
          </w:tcPr>
          <w:p>
            <w:pPr>
              <w:ind w:left="40"/>
              <w:spacing w:after="0"/>
              <w:rPr>
                <w:sz w:val="20"/>
                <w:szCs w:val="20"/>
                <w:color w:val="auto"/>
              </w:rPr>
            </w:pPr>
            <w:r>
              <w:rPr>
                <w:rFonts w:ascii="Arial" w:cs="Arial" w:eastAsia="Arial" w:hAnsi="Arial"/>
                <w:sz w:val="16"/>
                <w:szCs w:val="16"/>
                <w:color w:val="auto"/>
              </w:rPr>
              <w:t>Amount of gain (loss) recognized in OCI</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Change in fair</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9"/>
        </w:trPr>
        <w:tc>
          <w:tcPr>
            <w:tcW w:w="2900" w:type="dxa"/>
            <w:vAlign w:val="bottom"/>
          </w:tcPr>
          <w:p>
            <w:pPr>
              <w:ind w:left="40"/>
              <w:spacing w:after="0" w:line="239" w:lineRule="exact"/>
              <w:rPr>
                <w:sz w:val="20"/>
                <w:szCs w:val="20"/>
                <w:color w:val="auto"/>
              </w:rPr>
            </w:pPr>
            <w:r>
              <w:rPr>
                <w:rFonts w:ascii="Arial" w:cs="Arial" w:eastAsia="Arial" w:hAnsi="Arial"/>
                <w:sz w:val="16"/>
                <w:szCs w:val="16"/>
                <w:color w:val="auto"/>
              </w:rPr>
              <w:t xml:space="preserve">on derivative </w:t>
            </w:r>
            <w:r>
              <w:rPr>
                <w:rFonts w:ascii="Arial" w:cs="Arial" w:eastAsia="Arial" w:hAnsi="Arial"/>
                <w:sz w:val="21"/>
                <w:szCs w:val="21"/>
                <w:color w:val="auto"/>
                <w:vertAlign w:val="superscript"/>
              </w:rPr>
              <w:t>(1)</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value</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(70)</w:t>
            </w:r>
          </w:p>
        </w:tc>
      </w:tr>
      <w:tr>
        <w:trPr>
          <w:trHeight w:val="200"/>
        </w:trPr>
        <w:tc>
          <w:tcPr>
            <w:tcW w:w="2900" w:type="dxa"/>
            <w:vAlign w:val="bottom"/>
          </w:tcPr>
          <w:p>
            <w:pPr>
              <w:ind w:left="40"/>
              <w:spacing w:after="0"/>
              <w:rPr>
                <w:sz w:val="20"/>
                <w:szCs w:val="20"/>
                <w:color w:val="auto"/>
              </w:rPr>
            </w:pPr>
            <w:r>
              <w:rPr>
                <w:rFonts w:ascii="Arial" w:cs="Arial" w:eastAsia="Arial" w:hAnsi="Arial"/>
                <w:sz w:val="16"/>
                <w:szCs w:val="16"/>
                <w:color w:val="auto"/>
              </w:rPr>
              <w:t>Amount of gain (loss) recognized in</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900" w:type="dxa"/>
            <w:vAlign w:val="bottom"/>
          </w:tcPr>
          <w:p>
            <w:pPr>
              <w:ind w:left="40"/>
              <w:spacing w:after="0"/>
              <w:rPr>
                <w:sz w:val="20"/>
                <w:szCs w:val="20"/>
                <w:color w:val="auto"/>
              </w:rPr>
            </w:pPr>
            <w:r>
              <w:rPr>
                <w:rFonts w:ascii="Arial" w:cs="Arial" w:eastAsia="Arial" w:hAnsi="Arial"/>
                <w:sz w:val="16"/>
                <w:szCs w:val="16"/>
                <w:color w:val="auto"/>
              </w:rPr>
              <w:t>condensed consolidated statements of</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6"/>
        </w:trPr>
        <w:tc>
          <w:tcPr>
            <w:tcW w:w="290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5754370" cy="420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420370"/>
                    </a:xfrm>
                    <a:prstGeom prst="rect">
                      <a:avLst/>
                    </a:prstGeom>
                    <a:noFill/>
                  </pic:spPr>
                </pic:pic>
              </a:graphicData>
            </a:graphic>
          </wp:anchor>
        </w:drawing>
      </w:r>
    </w:p>
    <w:p>
      <w:pPr>
        <w:ind w:left="340" w:hanging="332"/>
        <w:spacing w:after="0" w:line="207" w:lineRule="auto"/>
        <w:tabs>
          <w:tab w:leader="none" w:pos="34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Includes the effective portion of hedge gain (loss)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certain of the Company's fuel derivatives were subject to enforceable master netting agreements with its counterparties, the Company did not offset its fuel derivative assets and liabilities in its condensed consolidated balance sheets. The Company had a gross asset of $109 million as of December 31, 2013 for its aircraft fuel derivative instruments, which was reflected in Prepaid expenses and other on the accompanying condensed consolidated balance sheet. The Company had no cash collateral posted or received as of December 31, 2013.</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Accumulated Other Comprehensive Income (Loss)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accumulated other comprehensive income (loss) are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Net unrealized</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color w:val="auto"/>
                <w:w w:val="95"/>
              </w:rPr>
              <w:t>Derivative</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w w:val="94"/>
              </w:rPr>
              <w:t>Income tax</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Pension and retiree</w:t>
            </w: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color w:val="auto"/>
                <w:w w:val="88"/>
              </w:rPr>
              <w:t>change on</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financial</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w w:val="95"/>
              </w:rPr>
              <w:t>benefit</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6"/>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6"/>
                <w:szCs w:val="16"/>
                <w:color w:val="auto"/>
                <w:w w:val="98"/>
              </w:rPr>
              <w:t>medical liability</w:t>
            </w: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investments</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instruments</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w w:val="87"/>
              </w:rPr>
              <w:t>(expense)</w:t>
            </w:r>
          </w:p>
        </w:tc>
        <w:tc>
          <w:tcPr>
            <w:tcW w:w="260" w:type="dxa"/>
            <w:vAlign w:val="bottom"/>
          </w:tcPr>
          <w:p>
            <w:pPr>
              <w:spacing w:after="0"/>
              <w:rPr>
                <w:sz w:val="17"/>
                <w:szCs w:val="17"/>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color w:val="auto"/>
              </w:rPr>
              <w:t>Total</w:t>
            </w:r>
          </w:p>
        </w:tc>
      </w:tr>
      <w:tr>
        <w:trPr>
          <w:trHeight w:val="33"/>
        </w:trPr>
        <w:tc>
          <w:tcPr>
            <w:tcW w:w="4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(2,032)</w:t>
            </w: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Other comprehensive loss before reclassifications</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Amounts reclassified from accumulated other comprehensive</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57"/>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w:t>
            </w:r>
          </w:p>
        </w:tc>
      </w:tr>
      <w:tr>
        <w:trPr>
          <w:trHeight w:val="237"/>
        </w:trPr>
        <w:tc>
          <w:tcPr>
            <w:tcW w:w="4820" w:type="dxa"/>
            <w:vAlign w:val="bottom"/>
          </w:tcPr>
          <w:p>
            <w:pPr>
              <w:ind w:left="280"/>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186</w:t>
            </w:r>
          </w:p>
        </w:tc>
      </w:tr>
      <w:tr>
        <w:trPr>
          <w:trHeight w:val="27"/>
        </w:trPr>
        <w:tc>
          <w:tcPr>
            <w:tcW w:w="4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4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Balance at June 30, 2014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Reclassifications out of accumulated other comprehensive income (loss) for the three and six months ended June 30, 2014 and 2013 are as follows (in millions):</w:t>
      </w:r>
    </w:p>
    <w:p>
      <w:pPr>
        <w:spacing w:after="0" w:line="116" w:lineRule="exact"/>
        <w:rPr>
          <w:sz w:val="20"/>
          <w:szCs w:val="20"/>
          <w:color w:val="auto"/>
        </w:rPr>
      </w:pPr>
    </w:p>
    <w:p>
      <w:pPr>
        <w:jc w:val="center"/>
        <w:ind w:right="1980"/>
        <w:spacing w:after="0"/>
        <w:rPr>
          <w:sz w:val="20"/>
          <w:szCs w:val="20"/>
          <w:color w:val="auto"/>
        </w:rPr>
      </w:pPr>
      <w:r>
        <w:rPr>
          <w:rFonts w:ascii="Arial" w:cs="Arial" w:eastAsia="Arial" w:hAnsi="Arial"/>
          <w:sz w:val="18"/>
          <w:szCs w:val="18"/>
          <w:color w:val="auto"/>
        </w:rPr>
        <w:t>Amount reclassified from accumulated other</w:t>
      </w:r>
    </w:p>
    <w:p>
      <w:pPr>
        <w:spacing w:after="0" w:line="23" w:lineRule="exact"/>
        <w:rPr>
          <w:sz w:val="20"/>
          <w:szCs w:val="20"/>
          <w:color w:val="auto"/>
        </w:rPr>
      </w:pPr>
    </w:p>
    <w:p>
      <w:pPr>
        <w:jc w:val="center"/>
        <w:ind w:right="1980"/>
        <w:spacing w:after="0"/>
        <w:rPr>
          <w:sz w:val="20"/>
          <w:szCs w:val="20"/>
          <w:color w:val="auto"/>
        </w:rPr>
      </w:pPr>
      <w:r>
        <w:rPr>
          <w:rFonts w:ascii="Arial" w:cs="Arial" w:eastAsia="Arial" w:hAnsi="Arial"/>
          <w:sz w:val="18"/>
          <w:szCs w:val="18"/>
          <w:color w:val="auto"/>
        </w:rPr>
        <w:t>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22860</wp:posOffset>
            </wp:positionV>
            <wp:extent cx="2263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gridSpan w:val="2"/>
            <w:vMerge w:val="restart"/>
          </w:tcPr>
          <w:p>
            <w:pPr>
              <w:ind w:left="40"/>
              <w:spacing w:after="0"/>
              <w:rPr>
                <w:sz w:val="20"/>
                <w:szCs w:val="20"/>
                <w:color w:val="auto"/>
              </w:rPr>
            </w:pPr>
            <w:r>
              <w:rPr>
                <w:rFonts w:ascii="Arial" w:cs="Arial" w:eastAsia="Arial" w:hAnsi="Arial"/>
                <w:sz w:val="18"/>
                <w:szCs w:val="18"/>
                <w:color w:val="auto"/>
              </w:rPr>
              <w:t>Details about accumulated other</w:t>
            </w:r>
          </w:p>
        </w:tc>
        <w:tc>
          <w:tcPr>
            <w:tcW w:w="120" w:type="dxa"/>
            <w:vAlign w:val="bottom"/>
          </w:tcPr>
          <w:p>
            <w:pPr>
              <w:spacing w:after="0"/>
              <w:rPr>
                <w:sz w:val="18"/>
                <w:szCs w:val="18"/>
                <w:color w:val="auto"/>
              </w:rPr>
            </w:pPr>
          </w:p>
        </w:tc>
        <w:tc>
          <w:tcPr>
            <w:tcW w:w="1720" w:type="dxa"/>
            <w:vAlign w:val="bottom"/>
            <w:gridSpan w:val="5"/>
          </w:tcPr>
          <w:p>
            <w:pPr>
              <w:jc w:val="center"/>
              <w:ind w:right="200"/>
              <w:spacing w:after="0"/>
              <w:rPr>
                <w:sz w:val="20"/>
                <w:szCs w:val="20"/>
                <w:color w:val="auto"/>
              </w:rPr>
            </w:pPr>
            <w:r>
              <w:rPr>
                <w:rFonts w:ascii="Arial" w:cs="Arial" w:eastAsia="Arial" w:hAnsi="Arial"/>
                <w:sz w:val="18"/>
                <w:szCs w:val="18"/>
                <w:color w:val="auto"/>
                <w:w w:val="90"/>
              </w:rPr>
              <w:t>Three Months Ended</w:t>
            </w:r>
          </w:p>
        </w:tc>
        <w:tc>
          <w:tcPr>
            <w:tcW w:w="160" w:type="dxa"/>
            <w:vAlign w:val="bottom"/>
          </w:tcPr>
          <w:p>
            <w:pPr>
              <w:spacing w:after="0"/>
              <w:rPr>
                <w:sz w:val="18"/>
                <w:szCs w:val="18"/>
                <w:color w:val="auto"/>
              </w:rPr>
            </w:pPr>
          </w:p>
        </w:tc>
        <w:tc>
          <w:tcPr>
            <w:tcW w:w="1580" w:type="dxa"/>
            <w:vAlign w:val="bottom"/>
            <w:gridSpan w:val="4"/>
          </w:tcPr>
          <w:p>
            <w:pPr>
              <w:jc w:val="right"/>
              <w:ind w:right="110"/>
              <w:spacing w:after="0"/>
              <w:rPr>
                <w:sz w:val="20"/>
                <w:szCs w:val="20"/>
                <w:color w:val="auto"/>
              </w:rPr>
            </w:pPr>
            <w:r>
              <w:rPr>
                <w:rFonts w:ascii="Arial" w:cs="Arial" w:eastAsia="Arial" w:hAnsi="Arial"/>
                <w:sz w:val="18"/>
                <w:szCs w:val="18"/>
                <w:color w:val="auto"/>
                <w:w w:val="93"/>
              </w:rPr>
              <w:t>Six Months Ended</w:t>
            </w:r>
          </w:p>
        </w:tc>
        <w:tc>
          <w:tcPr>
            <w:tcW w:w="100" w:type="dxa"/>
            <w:vAlign w:val="bottom"/>
          </w:tcPr>
          <w:p>
            <w:pPr>
              <w:spacing w:after="0"/>
              <w:rPr>
                <w:sz w:val="18"/>
                <w:szCs w:val="18"/>
                <w:color w:val="auto"/>
              </w:rPr>
            </w:pPr>
          </w:p>
        </w:tc>
        <w:tc>
          <w:tcPr>
            <w:tcW w:w="2420" w:type="dxa"/>
            <w:vAlign w:val="bottom"/>
            <w:vMerge w:val="restart"/>
          </w:tcPr>
          <w:p>
            <w:pPr>
              <w:jc w:val="center"/>
              <w:spacing w:after="0"/>
              <w:rPr>
                <w:sz w:val="20"/>
                <w:szCs w:val="20"/>
                <w:color w:val="auto"/>
              </w:rPr>
            </w:pPr>
            <w:r>
              <w:rPr>
                <w:rFonts w:ascii="Arial" w:cs="Arial" w:eastAsia="Arial" w:hAnsi="Arial"/>
                <w:sz w:val="18"/>
                <w:szCs w:val="18"/>
                <w:color w:val="auto"/>
                <w:w w:val="94"/>
              </w:rPr>
              <w:t>Affected line item in the</w:t>
            </w:r>
          </w:p>
        </w:tc>
        <w:tc>
          <w:tcPr>
            <w:tcW w:w="0" w:type="dxa"/>
            <w:vAlign w:val="bottom"/>
          </w:tcPr>
          <w:p>
            <w:pPr>
              <w:spacing w:after="0"/>
              <w:rPr>
                <w:sz w:val="1"/>
                <w:szCs w:val="1"/>
                <w:color w:val="auto"/>
              </w:rPr>
            </w:pPr>
          </w:p>
        </w:tc>
      </w:tr>
      <w:tr>
        <w:trPr>
          <w:trHeight w:val="68"/>
        </w:trPr>
        <w:tc>
          <w:tcPr>
            <w:tcW w:w="29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720" w:type="dxa"/>
            <w:vAlign w:val="bottom"/>
            <w:gridSpan w:val="5"/>
            <w:vMerge w:val="restart"/>
          </w:tcPr>
          <w:p>
            <w:pPr>
              <w:jc w:val="center"/>
              <w:ind w:right="200"/>
              <w:spacing w:after="0"/>
              <w:rPr>
                <w:sz w:val="20"/>
                <w:szCs w:val="20"/>
                <w:color w:val="auto"/>
              </w:rPr>
            </w:pPr>
            <w:r>
              <w:rPr>
                <w:rFonts w:ascii="Arial" w:cs="Arial" w:eastAsia="Arial" w:hAnsi="Arial"/>
                <w:sz w:val="18"/>
                <w:szCs w:val="18"/>
                <w:color w:val="auto"/>
                <w:w w:val="86"/>
              </w:rPr>
              <w:t>June 30,</w:t>
            </w:r>
          </w:p>
        </w:tc>
        <w:tc>
          <w:tcPr>
            <w:tcW w:w="160" w:type="dxa"/>
            <w:vAlign w:val="bottom"/>
          </w:tcPr>
          <w:p>
            <w:pPr>
              <w:spacing w:after="0"/>
              <w:rPr>
                <w:sz w:val="5"/>
                <w:szCs w:val="5"/>
                <w:color w:val="auto"/>
              </w:rPr>
            </w:pPr>
          </w:p>
        </w:tc>
        <w:tc>
          <w:tcPr>
            <w:tcW w:w="1580" w:type="dxa"/>
            <w:vAlign w:val="bottom"/>
            <w:gridSpan w:val="4"/>
            <w:vMerge w:val="restart"/>
          </w:tcPr>
          <w:p>
            <w:pPr>
              <w:jc w:val="right"/>
              <w:ind w:right="470"/>
              <w:spacing w:after="0"/>
              <w:rPr>
                <w:sz w:val="20"/>
                <w:szCs w:val="20"/>
                <w:color w:val="auto"/>
              </w:rPr>
            </w:pPr>
            <w:r>
              <w:rPr>
                <w:rFonts w:ascii="Arial" w:cs="Arial" w:eastAsia="Arial" w:hAnsi="Arial"/>
                <w:sz w:val="18"/>
                <w:szCs w:val="18"/>
                <w:color w:val="auto"/>
              </w:rPr>
              <w:t>June 30,</w:t>
            </w:r>
          </w:p>
        </w:tc>
        <w:tc>
          <w:tcPr>
            <w:tcW w:w="100" w:type="dxa"/>
            <w:vAlign w:val="bottom"/>
          </w:tcPr>
          <w:p>
            <w:pPr>
              <w:spacing w:after="0"/>
              <w:rPr>
                <w:sz w:val="5"/>
                <w:szCs w:val="5"/>
                <w:color w:val="auto"/>
              </w:rPr>
            </w:pPr>
          </w:p>
        </w:tc>
        <w:tc>
          <w:tcPr>
            <w:tcW w:w="2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920" w:type="dxa"/>
            <w:vAlign w:val="bottom"/>
            <w:gridSpan w:val="2"/>
            <w:vMerge w:val="restart"/>
          </w:tcPr>
          <w:p>
            <w:pPr>
              <w:ind w:left="40"/>
              <w:spacing w:after="0" w:line="190" w:lineRule="exact"/>
              <w:rPr>
                <w:sz w:val="20"/>
                <w:szCs w:val="20"/>
                <w:color w:val="auto"/>
              </w:rPr>
            </w:pPr>
            <w:r>
              <w:rPr>
                <w:rFonts w:ascii="Arial" w:cs="Arial" w:eastAsia="Arial" w:hAnsi="Arial"/>
                <w:sz w:val="18"/>
                <w:szCs w:val="18"/>
                <w:color w:val="auto"/>
              </w:rPr>
              <w:t>comprehensive income (loss)</w:t>
            </w:r>
          </w:p>
        </w:tc>
        <w:tc>
          <w:tcPr>
            <w:tcW w:w="120" w:type="dxa"/>
            <w:vAlign w:val="bottom"/>
          </w:tcPr>
          <w:p>
            <w:pPr>
              <w:spacing w:after="0"/>
              <w:rPr>
                <w:sz w:val="14"/>
                <w:szCs w:val="14"/>
                <w:color w:val="auto"/>
              </w:rPr>
            </w:pPr>
          </w:p>
        </w:tc>
        <w:tc>
          <w:tcPr>
            <w:tcW w:w="172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vMerge w:val="restart"/>
          </w:tcPr>
          <w:p>
            <w:pPr>
              <w:jc w:val="center"/>
              <w:spacing w:after="0" w:line="190" w:lineRule="exact"/>
              <w:rPr>
                <w:sz w:val="20"/>
                <w:szCs w:val="20"/>
                <w:color w:val="auto"/>
              </w:rPr>
            </w:pPr>
            <w:r>
              <w:rPr>
                <w:rFonts w:ascii="Arial" w:cs="Arial" w:eastAsia="Arial" w:hAnsi="Arial"/>
                <w:sz w:val="18"/>
                <w:szCs w:val="18"/>
                <w:color w:val="auto"/>
                <w:w w:val="89"/>
              </w:rPr>
              <w:t>statement where net income</w:t>
            </w:r>
          </w:p>
        </w:tc>
        <w:tc>
          <w:tcPr>
            <w:tcW w:w="0" w:type="dxa"/>
            <w:vAlign w:val="bottom"/>
          </w:tcPr>
          <w:p>
            <w:pPr>
              <w:spacing w:after="0"/>
              <w:rPr>
                <w:sz w:val="1"/>
                <w:szCs w:val="1"/>
                <w:color w:val="auto"/>
              </w:rPr>
            </w:pPr>
          </w:p>
        </w:tc>
      </w:tr>
      <w:tr>
        <w:trPr>
          <w:trHeight w:val="27"/>
        </w:trPr>
        <w:tc>
          <w:tcPr>
            <w:tcW w:w="2920" w:type="dxa"/>
            <w:vAlign w:val="bottom"/>
            <w:gridSpan w:val="2"/>
            <w:vMerge w:val="continue"/>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20" w:type="dxa"/>
            <w:vAlign w:val="bottom"/>
            <w:gridSpan w:val="2"/>
          </w:tcPr>
          <w:p>
            <w:pPr>
              <w:ind w:left="40"/>
              <w:spacing w:after="0"/>
              <w:rPr>
                <w:sz w:val="20"/>
                <w:szCs w:val="20"/>
                <w:color w:val="auto"/>
              </w:rPr>
            </w:pPr>
            <w:r>
              <w:rPr>
                <w:rFonts w:ascii="Arial" w:cs="Arial" w:eastAsia="Arial" w:hAnsi="Arial"/>
                <w:sz w:val="18"/>
                <w:szCs w:val="18"/>
                <w:color w:val="auto"/>
              </w:rPr>
              <w:t>components</w:t>
            </w:r>
          </w:p>
        </w:tc>
        <w:tc>
          <w:tcPr>
            <w:tcW w:w="120" w:type="dxa"/>
            <w:vAlign w:val="bottom"/>
          </w:tcPr>
          <w:p>
            <w:pPr>
              <w:spacing w:after="0"/>
              <w:rPr>
                <w:sz w:val="20"/>
                <w:szCs w:val="20"/>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w w:val="94"/>
              </w:rPr>
              <w:t>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w w:val="99"/>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w w:val="94"/>
              </w:rPr>
              <w:t>2013</w:t>
            </w:r>
          </w:p>
        </w:tc>
        <w:tc>
          <w:tcPr>
            <w:tcW w:w="10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88"/>
              </w:rPr>
              <w:t>(loss) is presented</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pension and retiree</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medical liability:</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20" w:type="dxa"/>
            <w:vAlign w:val="bottom"/>
            <w:gridSpan w:val="2"/>
          </w:tcPr>
          <w:p>
            <w:pPr>
              <w:ind w:left="280"/>
              <w:spacing w:after="0"/>
              <w:rPr>
                <w:sz w:val="20"/>
                <w:szCs w:val="20"/>
                <w:color w:val="auto"/>
              </w:rPr>
            </w:pPr>
            <w:r>
              <w:rPr>
                <w:rFonts w:ascii="Arial" w:cs="Arial" w:eastAsia="Arial" w:hAnsi="Arial"/>
                <w:sz w:val="18"/>
                <w:szCs w:val="18"/>
                <w:color w:val="auto"/>
              </w:rPr>
              <w:t>Prior service cost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160" w:type="dxa"/>
            <w:vAlign w:val="bottom"/>
            <w:gridSpan w:val="3"/>
          </w:tcPr>
          <w:p>
            <w:pPr>
              <w:ind w:left="200"/>
              <w:spacing w:after="0"/>
              <w:rPr>
                <w:sz w:val="20"/>
                <w:szCs w:val="20"/>
                <w:color w:val="auto"/>
              </w:rPr>
            </w:pPr>
            <w:r>
              <w:rPr>
                <w:rFonts w:ascii="Arial" w:cs="Arial" w:eastAsia="Arial" w:hAnsi="Arial"/>
                <w:sz w:val="18"/>
                <w:szCs w:val="18"/>
                <w:color w:val="auto"/>
              </w:rPr>
              <w:t>(108)  Salaries, wages and benefits</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Actuarial loss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42   Salaries, wages and benefits</w:t>
            </w:r>
          </w:p>
        </w:tc>
        <w:tc>
          <w:tcPr>
            <w:tcW w:w="0" w:type="dxa"/>
            <w:vAlign w:val="bottom"/>
          </w:tcPr>
          <w:p>
            <w:pPr>
              <w:spacing w:after="0"/>
              <w:rPr>
                <w:sz w:val="1"/>
                <w:szCs w:val="1"/>
                <w:color w:val="auto"/>
              </w:rPr>
            </w:pPr>
          </w:p>
        </w:tc>
      </w:tr>
      <w:tr>
        <w:trPr>
          <w:trHeight w:val="243"/>
        </w:trPr>
        <w:tc>
          <w:tcPr>
            <w:tcW w:w="2920" w:type="dxa"/>
            <w:vAlign w:val="bottom"/>
            <w:gridSpan w:val="2"/>
          </w:tcPr>
          <w:p>
            <w:pPr>
              <w:ind w:left="4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flow hedges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12   Aircraft fuel and related taxes</w:t>
            </w:r>
          </w:p>
        </w:tc>
        <w:tc>
          <w:tcPr>
            <w:tcW w:w="0" w:type="dxa"/>
            <w:vAlign w:val="bottom"/>
          </w:tcPr>
          <w:p>
            <w:pPr>
              <w:spacing w:after="0"/>
              <w:rPr>
                <w:sz w:val="1"/>
                <w:szCs w:val="1"/>
                <w:color w:val="auto"/>
              </w:rPr>
            </w:pPr>
          </w:p>
        </w:tc>
      </w:tr>
      <w:tr>
        <w:trPr>
          <w:trHeight w:val="229"/>
        </w:trPr>
        <w:tc>
          <w:tcPr>
            <w:tcW w:w="2920" w:type="dxa"/>
            <w:vAlign w:val="bottom"/>
            <w:gridSpan w:val="2"/>
          </w:tcPr>
          <w:p>
            <w:pPr>
              <w:ind w:left="40"/>
              <w:spacing w:after="0"/>
              <w:rPr>
                <w:sz w:val="20"/>
                <w:szCs w:val="20"/>
                <w:color w:val="auto"/>
              </w:rPr>
            </w:pPr>
            <w:r>
              <w:rPr>
                <w:rFonts w:ascii="Arial" w:cs="Arial" w:eastAsia="Arial" w:hAnsi="Arial"/>
                <w:sz w:val="18"/>
                <w:szCs w:val="18"/>
                <w:color w:val="auto"/>
              </w:rPr>
              <w:t>Net unrealized change on</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40"/>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change in value</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243"/>
        </w:trPr>
        <w:tc>
          <w:tcPr>
            <w:tcW w:w="2920" w:type="dxa"/>
            <w:vAlign w:val="bottom"/>
            <w:gridSpan w:val="2"/>
          </w:tcPr>
          <w:p>
            <w:pPr>
              <w:ind w:left="40"/>
              <w:spacing w:after="0"/>
              <w:rPr>
                <w:sz w:val="20"/>
                <w:szCs w:val="20"/>
                <w:color w:val="auto"/>
              </w:rPr>
            </w:pPr>
            <w:r>
              <w:rPr>
                <w:rFonts w:ascii="Arial" w:cs="Arial" w:eastAsia="Arial" w:hAnsi="Arial"/>
                <w:sz w:val="18"/>
                <w:szCs w:val="18"/>
                <w:color w:val="auto"/>
              </w:rPr>
              <w:t>Income tax benefit (expense):</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4"/>
              </w:rPr>
              <w:t>Reversal of non-cash tax provision</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31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   Income tax provision (benefit)</w:t>
            </w:r>
          </w:p>
        </w:tc>
        <w:tc>
          <w:tcPr>
            <w:tcW w:w="0" w:type="dxa"/>
            <w:vAlign w:val="bottom"/>
          </w:tcPr>
          <w:p>
            <w:pPr>
              <w:spacing w:after="0"/>
              <w:rPr>
                <w:sz w:val="1"/>
                <w:szCs w:val="1"/>
                <w:color w:val="auto"/>
              </w:rPr>
            </w:pPr>
          </w:p>
        </w:tc>
      </w:tr>
      <w:tr>
        <w:trPr>
          <w:trHeight w:val="257"/>
        </w:trPr>
        <w:tc>
          <w:tcPr>
            <w:tcW w:w="2920" w:type="dxa"/>
            <w:vAlign w:val="bottom"/>
            <w:gridSpan w:val="2"/>
          </w:tcPr>
          <w:p>
            <w:pPr>
              <w:ind w:left="40"/>
              <w:spacing w:after="0"/>
              <w:rPr>
                <w:sz w:val="20"/>
                <w:szCs w:val="20"/>
                <w:color w:val="auto"/>
              </w:rPr>
            </w:pPr>
            <w:r>
              <w:rPr>
                <w:rFonts w:ascii="Arial" w:cs="Arial" w:eastAsia="Arial" w:hAnsi="Arial"/>
                <w:sz w:val="18"/>
                <w:szCs w:val="18"/>
                <w:color w:val="auto"/>
              </w:rPr>
              <w:t>Total reclassifications for the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the second quarter of 2014, the Company sold its portfolio of fuel hedging contracts that were scheduled to settle on or after June 30, 2014. In connection with this sale, the Company recorded a special non-cash tax provision of $330 million in the statement of operations for the second quarter of 2014 that reverses the non-cash tax provision which was recorded in OCI, a subset of stockholders’ equity, principally in 2009. This provision represents the tax effect associated with gains recorded in OCI principally in 2009 due to a net increase in the fair value of the Company’s fuel hedging contracts. In accordance with GAAP, the Company retained the $330 million tax provision in OCI until the last contract was settled or terminated. The 2014 six month period included the $330 million non-cash tax provision related to the settlement of fuel hedges discussed above.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Regional Expenses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Expenses associated with the Company's wholly-owned regional airlines and third-party regional carriers operating under the brand names American Eagle and US Airways Express are classified as Regional expenses on the condensed consolidated statements of operations. Regional expenses consist of the following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5"/>
          </w:tcPr>
          <w:p>
            <w:pPr>
              <w:ind w:left="20"/>
              <w:spacing w:after="0"/>
              <w:rPr>
                <w:sz w:val="20"/>
                <w:szCs w:val="20"/>
                <w:color w:val="auto"/>
              </w:rPr>
            </w:pPr>
            <w:r>
              <w:rPr>
                <w:rFonts w:ascii="Arial" w:cs="Arial" w:eastAsia="Arial" w:hAnsi="Arial"/>
                <w:sz w:val="18"/>
                <w:szCs w:val="18"/>
                <w:color w:val="auto"/>
                <w:w w:val="99"/>
              </w:rPr>
              <w:t>Three Months Ended June 30,</w:t>
            </w:r>
          </w:p>
        </w:tc>
        <w:tc>
          <w:tcPr>
            <w:tcW w:w="180" w:type="dxa"/>
            <w:vAlign w:val="bottom"/>
          </w:tcPr>
          <w:p>
            <w:pPr>
              <w:spacing w:after="0"/>
              <w:rPr>
                <w:sz w:val="20"/>
                <w:szCs w:val="20"/>
                <w:color w:val="auto"/>
              </w:rPr>
            </w:pPr>
          </w:p>
        </w:tc>
        <w:tc>
          <w:tcPr>
            <w:tcW w:w="2260" w:type="dxa"/>
            <w:vAlign w:val="bottom"/>
            <w:gridSpan w:val="4"/>
          </w:tcPr>
          <w:p>
            <w:pPr>
              <w:jc w:val="right"/>
              <w:ind w:right="130"/>
              <w:spacing w:after="0"/>
              <w:rPr>
                <w:sz w:val="20"/>
                <w:szCs w:val="20"/>
                <w:color w:val="auto"/>
              </w:rPr>
            </w:pPr>
            <w:r>
              <w:rPr>
                <w:rFonts w:ascii="Arial" w:cs="Arial" w:eastAsia="Arial" w:hAnsi="Arial"/>
                <w:sz w:val="18"/>
                <w:szCs w:val="18"/>
                <w:color w:val="auto"/>
                <w:w w:val="91"/>
              </w:rPr>
              <w:t>Six Months Ended June 30,</w:t>
            </w:r>
          </w:p>
        </w:tc>
      </w:tr>
      <w:tr>
        <w:trPr>
          <w:trHeight w:val="27"/>
        </w:trPr>
        <w:tc>
          <w:tcPr>
            <w:tcW w:w="3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2013</w:t>
            </w:r>
          </w:p>
        </w:tc>
      </w:tr>
      <w:tr>
        <w:trPr>
          <w:trHeight w:val="27"/>
        </w:trPr>
        <w:tc>
          <w:tcPr>
            <w:tcW w:w="3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Capacity purchases from third-party regional</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carriers</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Maintenance, materials and repairs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rent and landing fees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Aircraft rent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3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 items, net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7"/>
        </w:trPr>
        <w:tc>
          <w:tcPr>
            <w:tcW w:w="3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3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regional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1,549</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Legal Proceedings</w:t>
      </w:r>
    </w:p>
    <w:p>
      <w:pPr>
        <w:spacing w:after="0" w:line="1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Chapter 11 Cases</w:t>
      </w:r>
      <w:r>
        <w:rPr>
          <w:rFonts w:ascii="Arial" w:cs="Arial" w:eastAsia="Arial" w:hAnsi="Arial"/>
          <w:sz w:val="17"/>
          <w:szCs w:val="17"/>
          <w:color w:val="auto"/>
        </w:rPr>
        <w:t>. As previously disclosed, on the Petition Date, November 29, 2011, the Debtors filed voluntary petitions for relief under Chapter</w:t>
      </w:r>
      <w:r>
        <w:rPr>
          <w:rFonts w:ascii="Arial" w:cs="Arial" w:eastAsia="Arial" w:hAnsi="Arial"/>
          <w:sz w:val="17"/>
          <w:szCs w:val="17"/>
          <w:i w:val="1"/>
          <w:iCs w:val="1"/>
          <w:color w:val="auto"/>
        </w:rPr>
        <w:t xml:space="preserve"> </w:t>
      </w:r>
      <w:r>
        <w:rPr>
          <w:rFonts w:ascii="Arial" w:cs="Arial" w:eastAsia="Arial" w:hAnsi="Arial"/>
          <w:sz w:val="17"/>
          <w:szCs w:val="17"/>
          <w:color w:val="auto"/>
        </w:rPr>
        <w:t>11 of the Bankruptcy Code. On October 21, 2013, the Bankruptcy Court entered the Confirmation Order confirming the Plan. On the Effective Date, December 9, 2013, the Debtors consummated their reorganization pursuant to the Plan, principally through the transactions contemplated by the Merger Agreement pursuant to which Merger Sub merged with and into US Airways Group, with US Airways Group surviving as a wholly-owned subsidiary of AAG. From the Petition Date through the Effective Date, pursuant to automatic stay provisions under the Bankruptcy Code and orders granted by the Bankruptcy Court, actions to enforce or otherwise effect repayment of liabilities preceding the Petition Date as well as all pending litigation against the Debtors generally were stayed. Following the Effective Date, actions to enforce or otherwise effect repayment of liabilities preceding the Petition Date, generally have been permanently enjoined. Any unresolved claims will continue to be subject to the claims reconciliation process under the supervision of the Bankruptcy Court. However, certain pending litigation related to pre-petition liabilities may proceed in courts other than the Bankruptcy Court to determine the amount, if any, of such litigation claims for purposes of treatment under the Plan.</w:t>
      </w:r>
    </w:p>
    <w:p>
      <w:pPr>
        <w:spacing w:after="0" w:line="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Pursuant to rulings of the Bankruptcy Court, the Plan established the Disputed Claims Reserve to hold shares of AAG Common Stock reserved for issuance to disputed claimholders at the Effective Date that ultimately become holders of allowed Single-Dip Unsecured Claims. The shares provided for under the Plan were determined based upon a Disputed Claims Reserve amount of claims of approximately $755 million, representing the maximum amount of additional distributions to subsequently allowed Single-Dip Unsecured Claims under the Plan. As of June 30, 2014, approximately 30.4 million shares of AAG Common Stock were held in the Disputed Claims Reserve. As disputed claims are resolved, the claimants will receive distributions of shares from the Disputed Claims Reserve on the same basis as if such distributions had been made on or about the Effective Date. However, AAG is not required to distribute additional shares above the limits contemplated by the Plan, even if the shares remaining for distribution are not sufficient to fully pay any additional allowed unsecured claims. On July 1, 2014, approximately 2.9 million of the approximately 30.4 million shares held in the Disputed Claims Reserve were distributed to holders of allowed Single-Dip Unsecured Claims, to holders of certain labor-related deemed claims, and to holders of certain non-management, non-union employee deemed claims as specified in the Plan, and shares were withheld or sold on account of related tax obligations. To the extent that any of the reserved shares remain undistributed upon resolution of all remaining disputed claims, such shares will not be returned to AAG but rather will be distributed to former AMR shareholders as of the Effective Date. However, resolution of disputed claims could have a material effect on recoveries by holders of additional allowed Single-Dip Unsecured Claims under the Plan and the amount of additional share distributions, if any, that are made to former AMR shareholders as the total number of shares of AAG Common Stock that remain available for distribution upon resolution of disputed claims is limited pursuant to the Plan.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There is also pending in the Bankruptcy Court an adversary proceeding relating to an action brought by American to seek a determination that certain non-pension, post-employee benefits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The Company's financial statements presently reflect these retirement programs without giving effect to any modification or termination of benefits that may ultimately be implemented based upon the outcome of this proceeding.</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Merger Class Action</w:t>
      </w:r>
      <w:r>
        <w:rPr>
          <w:rFonts w:ascii="Arial" w:cs="Arial" w:eastAsia="Arial" w:hAnsi="Arial"/>
          <w:sz w:val="16"/>
          <w:szCs w:val="16"/>
          <w:color w:val="auto"/>
        </w:rPr>
        <w:t>. On March 1, 2013, a complaint captioned Plumbers &amp; Steamfitters Local Union No. 248 Pension Fund v. US Airways Group,</w:t>
      </w:r>
      <w:r>
        <w:rPr>
          <w:rFonts w:ascii="Arial" w:cs="Arial" w:eastAsia="Arial" w:hAnsi="Arial"/>
          <w:sz w:val="16"/>
          <w:szCs w:val="16"/>
          <w:i w:val="1"/>
          <w:iCs w:val="1"/>
          <w:color w:val="auto"/>
        </w:rPr>
        <w:t xml:space="preserve"> </w:t>
      </w:r>
      <w:r>
        <w:rPr>
          <w:rFonts w:ascii="Arial" w:cs="Arial" w:eastAsia="Arial" w:hAnsi="Arial"/>
          <w:sz w:val="16"/>
          <w:szCs w:val="16"/>
          <w:color w:val="auto"/>
        </w:rPr>
        <w:t>Inc., et al., No. CV2013-051605, was filed as a putative class action on behalf of the stockholders of US Airways Group in the Superior Court for Maricopa County, Arizona. On July 3, 2013, an amended complaint, captioned Dennis Palkon, et al. v. US Airways Group, Inc., et al., No. CV2013-051605, was filed with the same court. The amended complaint names as defendants US Airways Group and the members of its board of directors, and alleges that the directors failed to maximize the value of US Airways Group in connection with the Merger and that US Airways Group aided and abetted those breaches of fiduciary duty. The relief sought in the amended complaint included an injunction against the Merger, or rescission in the event it has been consummated. The court in the above-referenced action denied the plaintiff’s motion for a temporary restraining order that had sought to enjoin the US Airways Group Annual Meeting of Stockholders. On May 6, 2014, the court granted defendants' motion to dismiss this action. On May 27, 2014, plaintiff filed a motion for reconsideration of the court's decision to dismiss the action, and that motion was denied and judgment entered in favor of the defendants, and the complaint was dismissed with prejudice, on July 14, 2014. As of the date of this report, the Company does not know if the plaintiff will appeal the dismissal.</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Private Party Antitrust Action</w:t>
      </w:r>
      <w:r>
        <w:rPr>
          <w:rFonts w:ascii="Arial" w:cs="Arial" w:eastAsia="Arial" w:hAnsi="Arial"/>
          <w:sz w:val="17"/>
          <w:szCs w:val="17"/>
          <w:color w:val="auto"/>
        </w:rPr>
        <w:t>. On July 2, 2013, a lawsuit captioned Carolyn Fjord, et al., v. US Airways Group, Inc., et al., was filed in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District Court for the Northern District of California. The complaint names as defendants US Airways Group and US Airways, and alleges that the effect of the Merger may be to substantially lessen competition or tend to create a monopoly in violation of Section 7 of the Clayton Antitrust Act. The relief sought in the complaint includes an injunction against the Merger, or divestiture. On August 6, 2013, the plaintiffs re-filed their complaint in the Bankruptcy Court, adding AMR and American as defendants, and on October 2, 2013, dismissed the initial California action. The Bankruptcy Court denied plaintiffs’ motion to preliminarily enjoin the Merger. On January 10, 2014, the plaintiffs moved to amend their complaint to add additional factual allegations, a claim for money damages and a request for preliminary injunctive relief requiring the carriers to hold separate their assets. On March 14, 2014, the Court allowed plaintiffs to add certain allegations but denied plaintiffs' requests to add a damages claim or seek preliminary injunctive relief requiring the carriers to hold separate their assets. On June 2, 2014, plaintiffs filed an amended motion for leave to file a second amended and supplemental complaint, which motion is currently being briefed by the parties. There is currently no trial date set. The Company believes this lawsuit is without merit and intends to vigorously defend against the allegations.</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US Airways Sabre Matter</w:t>
      </w:r>
      <w:r>
        <w:rPr>
          <w:rFonts w:ascii="Arial" w:cs="Arial" w:eastAsia="Arial" w:hAnsi="Arial"/>
          <w:sz w:val="17"/>
          <w:szCs w:val="17"/>
          <w:color w:val="auto"/>
        </w:rPr>
        <w:t>. On April 21, 2011, US Airways filed an antitrust lawsuit against Sabre Holdings Corporation, Sabre Inc. and Sabre Travel</w:t>
      </w:r>
      <w:r>
        <w:rPr>
          <w:rFonts w:ascii="Arial" w:cs="Arial" w:eastAsia="Arial" w:hAnsi="Arial"/>
          <w:sz w:val="17"/>
          <w:szCs w:val="17"/>
          <w:i w:val="1"/>
          <w:iCs w:val="1"/>
          <w:color w:val="auto"/>
        </w:rPr>
        <w:t xml:space="preserve"> </w:t>
      </w:r>
      <w:r>
        <w:rPr>
          <w:rFonts w:ascii="Arial" w:cs="Arial" w:eastAsia="Arial" w:hAnsi="Arial"/>
          <w:sz w:val="17"/>
          <w:szCs w:val="17"/>
          <w:color w:val="auto"/>
        </w:rPr>
        <w:t>International Limited (collectively, Sabre) in Federal District Court for the Southern District of New York. The lawsuit, as amended to date, alleges, among other things, that Sabre has engaged in anticompetitive practices to preserve its market power by restricting the Company's ability to distribute its products to its customers. The lawsuit also alleges that these actions have permitted Sabre to charge supracompetitive booking fees and to use technologies that are not as robust and as efficient as alternatives in a competitive market. The lawsuit seeks both injunctive relief and money damages. Sabre filed a motion to dismiss the case, which the court denied in part and granted in part in September 2011, allowing two of the four counts in the complaint to proceed. On April 1, 2014, Sabre filed motions for summary judgment that are pending before the court. The Company intends to pursue its claims against Sabre vigorously, but there can be no assurance of the outcome of this litigation.</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Company and its subsidiaries are also engaged in other legal proceedings from time to time. Legal proceedings can be complex and</w:t>
      </w:r>
      <w:r>
        <w:rPr>
          <w:rFonts w:ascii="Arial" w:cs="Arial" w:eastAsia="Arial" w:hAnsi="Arial"/>
          <w:sz w:val="18"/>
          <w:szCs w:val="18"/>
          <w:i w:val="1"/>
          <w:iCs w:val="1"/>
          <w:color w:val="auto"/>
        </w:rPr>
        <w:t xml:space="preserve"> </w:t>
      </w:r>
      <w:r>
        <w:rPr>
          <w:rFonts w:ascii="Arial" w:cs="Arial" w:eastAsia="Arial" w:hAnsi="Arial"/>
          <w:sz w:val="18"/>
          <w:szCs w:val="18"/>
          <w:color w:val="auto"/>
        </w:rPr>
        <w:t>take many months, or even years, to reach resolution, with the final outcome depending on a number of variables, some of which are not within the control of the Company. Therefore, although the Company will vigorously defend itself in each of the actions described above and such other legal proceedings, their ultimate resolution and potential financial and other impacts on the Company are uncertain.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Financial Information for Subsidiary Guarantors and Non-guarantor Subsidiaries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There are various cross-guarantees among the Company, American, US Airways Group and US Airways with respect to publicly held debt securities. In connection with the Merger, the Company and American entered into a second supplemental indenture under which they jointly and severally guaranteed the payment of obligations associated with US Airways Group's 6.125% senior notes. In addition, on March 31, 2014, the Company, US Airways Group and US Airways entered into amended and restated guarantees of the payment obligations of US Airways under the equipment notes relating to each of its Series 2010-1, 2011-1, 2012-1, 2012-2 and 2013-1 Pass Through Certificates the result of which was to add AAG as a guarantor of such equipment notes on a joint and several basis with US Airways Group.</w:t>
      </w:r>
    </w:p>
    <w:p>
      <w:pPr>
        <w:spacing w:after="0" w:line="1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connection with the issuance of these guarantees, in accordance with Rule 3-10 of Regulation S-X and Rule 12h-5 under the Securities Exchange Act of 1934, as amended, US Airways Group and US Airways discontinued filing separate periodic and current reports with the SEC. As a result, in accordance with Rule 3-10, the Company is required to present the following condensed consolidating financial information for the periods after Merger close for American Airlines Group Parent, American, US Airways Group Parent, US Airways and all other non-guarantor subsidiaries, together with the consolidating adjustments necessary to present the Company’s results on a consolidated basis.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ind w:right="4839"/>
        <w:spacing w:after="0" w:line="261" w:lineRule="auto"/>
        <w:rPr>
          <w:sz w:val="20"/>
          <w:szCs w:val="20"/>
          <w:color w:val="auto"/>
        </w:rPr>
      </w:pPr>
      <w:r>
        <w:rPr>
          <w:rFonts w:ascii="Arial" w:cs="Arial" w:eastAsia="Arial" w:hAnsi="Arial"/>
          <w:sz w:val="18"/>
          <w:szCs w:val="18"/>
          <w:b w:val="1"/>
          <w:bCs w:val="1"/>
          <w:color w:val="auto"/>
        </w:rPr>
        <w:t xml:space="preserve">CONDENSED CONSOLIDATING STATEMENT OF OPERATIONS </w:t>
      </w:r>
      <w:r>
        <w:rPr>
          <w:rFonts w:ascii="Arial" w:cs="Arial" w:eastAsia="Arial" w:hAnsi="Arial"/>
          <w:sz w:val="18"/>
          <w:szCs w:val="18"/>
          <w:color w:val="auto"/>
        </w:rPr>
        <w:t>(In millions)(Unaudited)</w:t>
      </w:r>
    </w:p>
    <w:p>
      <w:pPr>
        <w:spacing w:after="0" w:line="148" w:lineRule="exact"/>
        <w:rPr>
          <w:sz w:val="20"/>
          <w:szCs w:val="20"/>
          <w:color w:val="auto"/>
        </w:rPr>
      </w:pPr>
    </w:p>
    <w:p>
      <w:pPr>
        <w:ind w:left="4360"/>
        <w:spacing w:after="0"/>
        <w:rPr>
          <w:sz w:val="20"/>
          <w:szCs w:val="20"/>
          <w:color w:val="auto"/>
        </w:rPr>
      </w:pPr>
      <w:r>
        <w:rPr>
          <w:rFonts w:ascii="Arial" w:cs="Arial" w:eastAsia="Arial" w:hAnsi="Arial"/>
          <w:sz w:val="16"/>
          <w:szCs w:val="16"/>
          <w:color w:val="auto"/>
        </w:rPr>
        <w:t>Three Months Ended June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34925</wp:posOffset>
            </wp:positionV>
            <wp:extent cx="45878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87875" cy="8890"/>
                    </a:xfrm>
                    <a:prstGeom prst="rect">
                      <a:avLst/>
                    </a:prstGeom>
                    <a:noFill/>
                  </pic:spPr>
                </pic:pic>
              </a:graphicData>
            </a:graphic>
          </wp:anchor>
        </w:drawing>
      </w:r>
    </w:p>
    <w:p>
      <w:pPr>
        <w:spacing w:after="0" w:line="52" w:lineRule="exact"/>
        <w:rPr>
          <w:sz w:val="20"/>
          <w:szCs w:val="20"/>
          <w:color w:val="auto"/>
        </w:rPr>
      </w:pPr>
    </w:p>
    <w:tbl>
      <w:tblPr>
        <w:tblLayout w:type="fixed"/>
        <w:tblInd w:w="1940" w:type="dxa"/>
        <w:tblCellMar>
          <w:top w:w="0" w:type="dxa"/>
          <w:left w:w="0" w:type="dxa"/>
          <w:bottom w:w="0" w:type="dxa"/>
          <w:right w:w="0" w:type="dxa"/>
        </w:tblCellMar>
      </w:tblPr>
      <w:tr>
        <w:trPr>
          <w:trHeight w:val="172"/>
        </w:trPr>
        <w:tc>
          <w:tcPr>
            <w:tcW w:w="1020" w:type="dxa"/>
            <w:vAlign w:val="bottom"/>
          </w:tcPr>
          <w:p>
            <w:pPr>
              <w:jc w:val="center"/>
              <w:ind w:right="23"/>
              <w:spacing w:after="0"/>
              <w:rPr>
                <w:sz w:val="20"/>
                <w:szCs w:val="20"/>
                <w:color w:val="auto"/>
              </w:rPr>
            </w:pPr>
            <w:r>
              <w:rPr>
                <w:rFonts w:ascii="Arial" w:cs="Arial" w:eastAsia="Arial" w:hAnsi="Arial"/>
                <w:sz w:val="15"/>
                <w:szCs w:val="15"/>
                <w:color w:val="auto"/>
                <w:w w:val="94"/>
              </w:rPr>
              <w:t>American</w:t>
            </w: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1020" w:type="dxa"/>
            <w:vAlign w:val="bottom"/>
          </w:tcPr>
          <w:p>
            <w:pPr>
              <w:jc w:val="center"/>
              <w:ind w:right="23"/>
              <w:spacing w:after="0" w:line="162" w:lineRule="exact"/>
              <w:rPr>
                <w:sz w:val="20"/>
                <w:szCs w:val="20"/>
                <w:color w:val="auto"/>
              </w:rPr>
            </w:pPr>
            <w:r>
              <w:rPr>
                <w:rFonts w:ascii="Arial" w:cs="Arial" w:eastAsia="Arial" w:hAnsi="Arial"/>
                <w:sz w:val="15"/>
                <w:szCs w:val="15"/>
                <w:color w:val="auto"/>
                <w:w w:val="96"/>
              </w:rPr>
              <w:t>Airlines Group</w:t>
            </w:r>
          </w:p>
        </w:tc>
        <w:tc>
          <w:tcPr>
            <w:tcW w:w="84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Arial" w:cs="Arial" w:eastAsia="Arial" w:hAnsi="Arial"/>
                <w:sz w:val="15"/>
                <w:szCs w:val="15"/>
                <w:color w:val="auto"/>
                <w:w w:val="97"/>
              </w:rPr>
              <w:t>US Airways</w:t>
            </w: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jc w:val="center"/>
              <w:ind w:left="63"/>
              <w:spacing w:after="0" w:line="162" w:lineRule="exact"/>
              <w:rPr>
                <w:sz w:val="20"/>
                <w:szCs w:val="20"/>
                <w:color w:val="auto"/>
              </w:rPr>
            </w:pPr>
            <w:r>
              <w:rPr>
                <w:rFonts w:ascii="Arial" w:cs="Arial" w:eastAsia="Arial" w:hAnsi="Arial"/>
                <w:sz w:val="15"/>
                <w:szCs w:val="15"/>
                <w:color w:val="auto"/>
                <w:w w:val="94"/>
              </w:rPr>
              <w:t>American</w:t>
            </w:r>
          </w:p>
        </w:tc>
      </w:tr>
      <w:tr>
        <w:trPr>
          <w:trHeight w:val="162"/>
        </w:trPr>
        <w:tc>
          <w:tcPr>
            <w:tcW w:w="1020" w:type="dxa"/>
            <w:vAlign w:val="bottom"/>
          </w:tcPr>
          <w:p>
            <w:pPr>
              <w:jc w:val="center"/>
              <w:ind w:right="23"/>
              <w:spacing w:after="0" w:line="162" w:lineRule="exact"/>
              <w:rPr>
                <w:sz w:val="20"/>
                <w:szCs w:val="20"/>
                <w:color w:val="auto"/>
              </w:rPr>
            </w:pPr>
            <w:r>
              <w:rPr>
                <w:rFonts w:ascii="Arial" w:cs="Arial" w:eastAsia="Arial" w:hAnsi="Arial"/>
                <w:sz w:val="15"/>
                <w:szCs w:val="15"/>
                <w:color w:val="auto"/>
                <w:w w:val="89"/>
              </w:rPr>
              <w:t>(Parent</w:t>
            </w:r>
          </w:p>
        </w:tc>
        <w:tc>
          <w:tcPr>
            <w:tcW w:w="84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Arial" w:cs="Arial" w:eastAsia="Arial" w:hAnsi="Arial"/>
                <w:sz w:val="15"/>
                <w:szCs w:val="15"/>
                <w:color w:val="auto"/>
                <w:w w:val="92"/>
              </w:rPr>
              <w:t>Group (Parent</w:t>
            </w:r>
          </w:p>
        </w:tc>
        <w:tc>
          <w:tcPr>
            <w:tcW w:w="800" w:type="dxa"/>
            <w:vAlign w:val="bottom"/>
          </w:tcPr>
          <w:p>
            <w:pPr>
              <w:spacing w:after="0"/>
              <w:rPr>
                <w:sz w:val="14"/>
                <w:szCs w:val="14"/>
                <w:color w:val="auto"/>
              </w:rPr>
            </w:pPr>
          </w:p>
        </w:tc>
        <w:tc>
          <w:tcPr>
            <w:tcW w:w="1040" w:type="dxa"/>
            <w:vAlign w:val="bottom"/>
          </w:tcPr>
          <w:p>
            <w:pPr>
              <w:jc w:val="center"/>
              <w:spacing w:after="0" w:line="162" w:lineRule="exact"/>
              <w:rPr>
                <w:sz w:val="20"/>
                <w:szCs w:val="20"/>
                <w:color w:val="auto"/>
              </w:rPr>
            </w:pPr>
            <w:r>
              <w:rPr>
                <w:rFonts w:ascii="Arial" w:cs="Arial" w:eastAsia="Arial" w:hAnsi="Arial"/>
                <w:sz w:val="15"/>
                <w:szCs w:val="15"/>
                <w:color w:val="auto"/>
                <w:w w:val="92"/>
              </w:rPr>
              <w:t>Non-</w:t>
            </w:r>
          </w:p>
        </w:tc>
        <w:tc>
          <w:tcPr>
            <w:tcW w:w="1340" w:type="dxa"/>
            <w:vAlign w:val="bottom"/>
          </w:tcPr>
          <w:p>
            <w:pPr>
              <w:spacing w:after="0"/>
              <w:rPr>
                <w:sz w:val="14"/>
                <w:szCs w:val="14"/>
                <w:color w:val="auto"/>
              </w:rPr>
            </w:pPr>
          </w:p>
        </w:tc>
        <w:tc>
          <w:tcPr>
            <w:tcW w:w="940" w:type="dxa"/>
            <w:vAlign w:val="bottom"/>
          </w:tcPr>
          <w:p>
            <w:pPr>
              <w:jc w:val="center"/>
              <w:ind w:left="83"/>
              <w:spacing w:after="0" w:line="162" w:lineRule="exact"/>
              <w:rPr>
                <w:sz w:val="20"/>
                <w:szCs w:val="20"/>
                <w:color w:val="auto"/>
              </w:rPr>
            </w:pPr>
            <w:r>
              <w:rPr>
                <w:rFonts w:ascii="Arial" w:cs="Arial" w:eastAsia="Arial" w:hAnsi="Arial"/>
                <w:sz w:val="15"/>
                <w:szCs w:val="15"/>
                <w:color w:val="auto"/>
              </w:rPr>
              <w:t>Airlines</w:t>
            </w:r>
          </w:p>
        </w:tc>
      </w:tr>
      <w:tr>
        <w:trPr>
          <w:trHeight w:val="162"/>
        </w:trPr>
        <w:tc>
          <w:tcPr>
            <w:tcW w:w="1020" w:type="dxa"/>
            <w:vAlign w:val="bottom"/>
          </w:tcPr>
          <w:p>
            <w:pPr>
              <w:jc w:val="center"/>
              <w:ind w:right="43"/>
              <w:spacing w:after="0" w:line="162" w:lineRule="exact"/>
              <w:rPr>
                <w:sz w:val="20"/>
                <w:szCs w:val="20"/>
                <w:color w:val="auto"/>
              </w:rPr>
            </w:pPr>
            <w:r>
              <w:rPr>
                <w:rFonts w:ascii="Arial" w:cs="Arial" w:eastAsia="Arial" w:hAnsi="Arial"/>
                <w:sz w:val="15"/>
                <w:szCs w:val="15"/>
                <w:color w:val="auto"/>
                <w:w w:val="90"/>
              </w:rPr>
              <w:t>Company</w:t>
            </w:r>
          </w:p>
        </w:tc>
        <w:tc>
          <w:tcPr>
            <w:tcW w:w="84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Arial" w:cs="Arial" w:eastAsia="Arial" w:hAnsi="Arial"/>
                <w:sz w:val="15"/>
                <w:szCs w:val="15"/>
                <w:color w:val="auto"/>
                <w:w w:val="93"/>
              </w:rPr>
              <w:t>Company</w:t>
            </w:r>
          </w:p>
        </w:tc>
        <w:tc>
          <w:tcPr>
            <w:tcW w:w="800" w:type="dxa"/>
            <w:vAlign w:val="bottom"/>
          </w:tcPr>
          <w:p>
            <w:pPr>
              <w:jc w:val="center"/>
              <w:spacing w:after="0" w:line="162" w:lineRule="exact"/>
              <w:rPr>
                <w:sz w:val="20"/>
                <w:szCs w:val="20"/>
                <w:color w:val="auto"/>
              </w:rPr>
            </w:pPr>
            <w:r>
              <w:rPr>
                <w:rFonts w:ascii="Arial" w:cs="Arial" w:eastAsia="Arial" w:hAnsi="Arial"/>
                <w:sz w:val="15"/>
                <w:szCs w:val="15"/>
                <w:color w:val="auto"/>
                <w:w w:val="86"/>
              </w:rPr>
              <w:t>US</w:t>
            </w:r>
          </w:p>
        </w:tc>
        <w:tc>
          <w:tcPr>
            <w:tcW w:w="1040" w:type="dxa"/>
            <w:vAlign w:val="bottom"/>
          </w:tcPr>
          <w:p>
            <w:pPr>
              <w:jc w:val="center"/>
              <w:spacing w:after="0" w:line="162" w:lineRule="exact"/>
              <w:rPr>
                <w:sz w:val="20"/>
                <w:szCs w:val="20"/>
                <w:color w:val="auto"/>
              </w:rPr>
            </w:pPr>
            <w:r>
              <w:rPr>
                <w:rFonts w:ascii="Arial" w:cs="Arial" w:eastAsia="Arial" w:hAnsi="Arial"/>
                <w:sz w:val="15"/>
                <w:szCs w:val="15"/>
                <w:color w:val="auto"/>
                <w:w w:val="91"/>
              </w:rPr>
              <w:t>Guarantor</w:t>
            </w:r>
          </w:p>
        </w:tc>
        <w:tc>
          <w:tcPr>
            <w:tcW w:w="1340" w:type="dxa"/>
            <w:vAlign w:val="bottom"/>
          </w:tcPr>
          <w:p>
            <w:pPr>
              <w:ind w:left="140"/>
              <w:spacing w:after="0" w:line="162" w:lineRule="exact"/>
              <w:rPr>
                <w:sz w:val="20"/>
                <w:szCs w:val="20"/>
                <w:color w:val="auto"/>
              </w:rPr>
            </w:pPr>
            <w:r>
              <w:rPr>
                <w:rFonts w:ascii="Arial" w:cs="Arial" w:eastAsia="Arial" w:hAnsi="Arial"/>
                <w:sz w:val="15"/>
                <w:szCs w:val="15"/>
                <w:color w:val="auto"/>
              </w:rPr>
              <w:t>Eliminations and</w:t>
            </w:r>
          </w:p>
        </w:tc>
        <w:tc>
          <w:tcPr>
            <w:tcW w:w="940" w:type="dxa"/>
            <w:vAlign w:val="bottom"/>
          </w:tcPr>
          <w:p>
            <w:pPr>
              <w:jc w:val="center"/>
              <w:ind w:left="83"/>
              <w:spacing w:after="0" w:line="162" w:lineRule="exact"/>
              <w:rPr>
                <w:sz w:val="20"/>
                <w:szCs w:val="20"/>
                <w:color w:val="auto"/>
              </w:rPr>
            </w:pPr>
            <w:r>
              <w:rPr>
                <w:rFonts w:ascii="Arial" w:cs="Arial" w:eastAsia="Arial" w:hAnsi="Arial"/>
                <w:sz w:val="15"/>
                <w:szCs w:val="15"/>
                <w:color w:val="auto"/>
                <w:w w:val="94"/>
              </w:rPr>
              <w:t>Group Inc.</w:t>
            </w:r>
          </w:p>
        </w:tc>
      </w:tr>
      <w:tr>
        <w:trPr>
          <w:trHeight w:val="194"/>
        </w:trPr>
        <w:tc>
          <w:tcPr>
            <w:tcW w:w="1020" w:type="dxa"/>
            <w:vAlign w:val="bottom"/>
          </w:tcPr>
          <w:p>
            <w:pPr>
              <w:jc w:val="center"/>
              <w:ind w:right="23"/>
              <w:spacing w:after="0"/>
              <w:rPr>
                <w:sz w:val="20"/>
                <w:szCs w:val="20"/>
                <w:color w:val="auto"/>
              </w:rPr>
            </w:pPr>
            <w:r>
              <w:rPr>
                <w:rFonts w:ascii="Arial" w:cs="Arial" w:eastAsia="Arial" w:hAnsi="Arial"/>
                <w:sz w:val="15"/>
                <w:szCs w:val="15"/>
                <w:color w:val="auto"/>
              </w:rPr>
              <w:t>Only)</w:t>
            </w:r>
          </w:p>
        </w:tc>
        <w:tc>
          <w:tcPr>
            <w:tcW w:w="840" w:type="dxa"/>
            <w:vAlign w:val="bottom"/>
          </w:tcPr>
          <w:p>
            <w:pPr>
              <w:ind w:left="120"/>
              <w:spacing w:after="0"/>
              <w:rPr>
                <w:sz w:val="20"/>
                <w:szCs w:val="20"/>
                <w:color w:val="auto"/>
              </w:rPr>
            </w:pPr>
            <w:r>
              <w:rPr>
                <w:rFonts w:ascii="Arial" w:cs="Arial" w:eastAsia="Arial" w:hAnsi="Arial"/>
                <w:sz w:val="15"/>
                <w:szCs w:val="15"/>
                <w:color w:val="auto"/>
              </w:rPr>
              <w:t>American</w:t>
            </w:r>
          </w:p>
        </w:tc>
        <w:tc>
          <w:tcPr>
            <w:tcW w:w="1100" w:type="dxa"/>
            <w:vAlign w:val="bottom"/>
          </w:tcPr>
          <w:p>
            <w:pPr>
              <w:jc w:val="center"/>
              <w:spacing w:after="0"/>
              <w:rPr>
                <w:sz w:val="20"/>
                <w:szCs w:val="20"/>
                <w:color w:val="auto"/>
              </w:rPr>
            </w:pPr>
            <w:r>
              <w:rPr>
                <w:rFonts w:ascii="Arial" w:cs="Arial" w:eastAsia="Arial" w:hAnsi="Arial"/>
                <w:sz w:val="15"/>
                <w:szCs w:val="15"/>
                <w:color w:val="auto"/>
              </w:rPr>
              <w:t>Only)</w:t>
            </w:r>
          </w:p>
        </w:tc>
        <w:tc>
          <w:tcPr>
            <w:tcW w:w="800" w:type="dxa"/>
            <w:vAlign w:val="bottom"/>
          </w:tcPr>
          <w:p>
            <w:pPr>
              <w:jc w:val="center"/>
              <w:spacing w:after="0"/>
              <w:rPr>
                <w:sz w:val="20"/>
                <w:szCs w:val="20"/>
                <w:color w:val="auto"/>
              </w:rPr>
            </w:pPr>
            <w:r>
              <w:rPr>
                <w:rFonts w:ascii="Arial" w:cs="Arial" w:eastAsia="Arial" w:hAnsi="Arial"/>
                <w:sz w:val="15"/>
                <w:szCs w:val="15"/>
                <w:color w:val="auto"/>
                <w:w w:val="98"/>
              </w:rPr>
              <w:t>Airways</w:t>
            </w:r>
          </w:p>
        </w:tc>
        <w:tc>
          <w:tcPr>
            <w:tcW w:w="1040" w:type="dxa"/>
            <w:vAlign w:val="bottom"/>
          </w:tcPr>
          <w:p>
            <w:pPr>
              <w:jc w:val="center"/>
              <w:spacing w:after="0"/>
              <w:rPr>
                <w:sz w:val="20"/>
                <w:szCs w:val="20"/>
                <w:color w:val="auto"/>
              </w:rPr>
            </w:pPr>
            <w:r>
              <w:rPr>
                <w:rFonts w:ascii="Arial" w:cs="Arial" w:eastAsia="Arial" w:hAnsi="Arial"/>
                <w:sz w:val="15"/>
                <w:szCs w:val="15"/>
                <w:color w:val="auto"/>
                <w:w w:val="90"/>
              </w:rPr>
              <w:t>Subsidiaries</w:t>
            </w:r>
          </w:p>
        </w:tc>
        <w:tc>
          <w:tcPr>
            <w:tcW w:w="1340" w:type="dxa"/>
            <w:vAlign w:val="bottom"/>
          </w:tcPr>
          <w:p>
            <w:pPr>
              <w:ind w:left="160"/>
              <w:spacing w:after="0"/>
              <w:rPr>
                <w:sz w:val="20"/>
                <w:szCs w:val="20"/>
                <w:color w:val="auto"/>
              </w:rPr>
            </w:pPr>
            <w:r>
              <w:rPr>
                <w:rFonts w:ascii="Arial" w:cs="Arial" w:eastAsia="Arial" w:hAnsi="Arial"/>
                <w:sz w:val="15"/>
                <w:szCs w:val="15"/>
                <w:color w:val="auto"/>
              </w:rPr>
              <w:t>Reclassifications</w:t>
            </w:r>
          </w:p>
        </w:tc>
        <w:tc>
          <w:tcPr>
            <w:tcW w:w="940" w:type="dxa"/>
            <w:vAlign w:val="bottom"/>
          </w:tcPr>
          <w:p>
            <w:pPr>
              <w:jc w:val="center"/>
              <w:ind w:left="63"/>
              <w:spacing w:after="0"/>
              <w:rPr>
                <w:sz w:val="20"/>
                <w:szCs w:val="20"/>
                <w:color w:val="auto"/>
              </w:rPr>
            </w:pPr>
            <w:r>
              <w:rPr>
                <w:rFonts w:ascii="Arial" w:cs="Arial" w:eastAsia="Arial" w:hAnsi="Arial"/>
                <w:sz w:val="15"/>
                <w:szCs w:val="15"/>
                <w:color w:val="auto"/>
                <w:w w:val="91"/>
              </w:rPr>
              <w:t>Consolidated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5780405"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80405" cy="180340"/>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Operating revenues</w:t>
      </w:r>
    </w:p>
    <w:p>
      <w:pPr>
        <w:sectPr>
          <w:pgSz w:w="11900" w:h="16838" w:orient="portrait"/>
          <w:cols w:equalWidth="0" w:num="1">
            <w:col w:w="10219"/>
          </w:cols>
          <w:pgMar w:left="240" w:top="125" w:right="1440" w:bottom="1440" w:gutter="0" w:footer="0" w:header="0"/>
        </w:sectPr>
      </w:pP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1840" w:type="dxa"/>
            <w:vAlign w:val="bottom"/>
          </w:tcPr>
          <w:p>
            <w:pPr>
              <w:ind w:left="240"/>
              <w:spacing w:after="0"/>
              <w:rPr>
                <w:sz w:val="20"/>
                <w:szCs w:val="20"/>
                <w:color w:val="auto"/>
              </w:rPr>
            </w:pPr>
            <w:r>
              <w:rPr>
                <w:rFonts w:ascii="Arial" w:cs="Arial" w:eastAsia="Arial" w:hAnsi="Arial"/>
                <w:sz w:val="16"/>
                <w:szCs w:val="16"/>
                <w:color w:val="auto"/>
              </w:rPr>
              <w:t>Mainline passenger</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5,352</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840" w:type="dxa"/>
            <w:vAlign w:val="bottom"/>
          </w:tcPr>
          <w:p>
            <w:pPr>
              <w:ind w:left="240"/>
              <w:spacing w:after="0"/>
              <w:rPr>
                <w:sz w:val="20"/>
                <w:szCs w:val="20"/>
                <w:color w:val="auto"/>
              </w:rPr>
            </w:pPr>
            <w:r>
              <w:rPr>
                <w:rFonts w:ascii="Arial" w:cs="Arial" w:eastAsia="Arial" w:hAnsi="Arial"/>
                <w:sz w:val="16"/>
                <w:szCs w:val="16"/>
                <w:color w:val="auto"/>
              </w:rPr>
              <w:t>Regional passenger</w:t>
            </w:r>
          </w:p>
        </w:tc>
        <w:tc>
          <w:tcPr>
            <w:tcW w:w="340" w:type="dxa"/>
            <w:vAlign w:val="bottom"/>
          </w:tcPr>
          <w:p>
            <w:pPr>
              <w:spacing w:after="0"/>
              <w:rPr>
                <w:sz w:val="23"/>
                <w:szCs w:val="2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786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840" w:type="dxa"/>
            <w:vAlign w:val="bottom"/>
          </w:tcPr>
          <w:p>
            <w:pPr>
              <w:ind w:left="240"/>
              <w:spacing w:after="0"/>
              <w:rPr>
                <w:sz w:val="20"/>
                <w:szCs w:val="20"/>
                <w:color w:val="auto"/>
              </w:rPr>
            </w:pPr>
            <w:r>
              <w:rPr>
                <w:rFonts w:ascii="Arial" w:cs="Arial" w:eastAsia="Arial" w:hAnsi="Arial"/>
                <w:sz w:val="16"/>
                <w:szCs w:val="16"/>
                <w:color w:val="auto"/>
              </w:rPr>
              <w:t>Cargo</w:t>
            </w:r>
          </w:p>
        </w:tc>
        <w:tc>
          <w:tcPr>
            <w:tcW w:w="340" w:type="dxa"/>
            <w:vAlign w:val="bottom"/>
          </w:tcPr>
          <w:p>
            <w:pPr>
              <w:spacing w:after="0"/>
              <w:rPr>
                <w:sz w:val="23"/>
                <w:szCs w:val="2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840" w:type="dxa"/>
            <w:vAlign w:val="bottom"/>
          </w:tcPr>
          <w:p>
            <w:pPr>
              <w:ind w:left="24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23"/>
                <w:szCs w:val="2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837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840" w:type="dxa"/>
            <w:vAlign w:val="bottom"/>
            <w:vMerge w:val="restart"/>
          </w:tcPr>
          <w:p>
            <w:pPr>
              <w:ind w:left="240"/>
              <w:spacing w:after="0"/>
              <w:rPr>
                <w:sz w:val="20"/>
                <w:szCs w:val="20"/>
                <w:color w:val="auto"/>
              </w:rPr>
            </w:pPr>
            <w:r>
              <w:rPr>
                <w:rFonts w:ascii="Arial" w:cs="Arial" w:eastAsia="Arial" w:hAnsi="Arial"/>
                <w:sz w:val="16"/>
                <w:szCs w:val="16"/>
                <w:color w:val="auto"/>
              </w:rPr>
              <w:t>Total operating</w:t>
            </w: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8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240"/>
              <w:spacing w:after="0"/>
              <w:rPr>
                <w:sz w:val="20"/>
                <w:szCs w:val="20"/>
                <w:color w:val="auto"/>
              </w:rPr>
            </w:pPr>
            <w:r>
              <w:rPr>
                <w:rFonts w:ascii="Arial" w:cs="Arial" w:eastAsia="Arial" w:hAnsi="Arial"/>
                <w:sz w:val="16"/>
                <w:szCs w:val="16"/>
                <w:color w:val="auto"/>
              </w:rPr>
              <w:t>revenues</w:t>
            </w:r>
          </w:p>
        </w:tc>
        <w:tc>
          <w:tcPr>
            <w:tcW w:w="34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7,153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184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1840" w:type="dxa"/>
            <w:vAlign w:val="bottom"/>
          </w:tcPr>
          <w:p>
            <w:pPr>
              <w:ind w:left="240"/>
              <w:spacing w:after="0"/>
              <w:rPr>
                <w:sz w:val="20"/>
                <w:szCs w:val="20"/>
                <w:color w:val="auto"/>
              </w:rPr>
            </w:pPr>
            <w:r>
              <w:rPr>
                <w:rFonts w:ascii="Arial" w:cs="Arial" w:eastAsia="Arial" w:hAnsi="Arial"/>
                <w:sz w:val="16"/>
                <w:szCs w:val="16"/>
                <w:color w:val="auto"/>
              </w:rPr>
              <w:t>Aircraft fuel and</w:t>
            </w: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240"/>
              <w:spacing w:after="0"/>
              <w:rPr>
                <w:sz w:val="20"/>
                <w:szCs w:val="20"/>
                <w:color w:val="auto"/>
              </w:rPr>
            </w:pPr>
            <w:r>
              <w:rPr>
                <w:rFonts w:ascii="Arial" w:cs="Arial" w:eastAsia="Arial" w:hAnsi="Arial"/>
                <w:sz w:val="16"/>
                <w:szCs w:val="16"/>
                <w:color w:val="auto"/>
              </w:rPr>
              <w:t>related taxes</w:t>
            </w:r>
          </w:p>
        </w:tc>
        <w:tc>
          <w:tcPr>
            <w:tcW w:w="34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1,897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1840" w:type="dxa"/>
            <w:vAlign w:val="bottom"/>
          </w:tcPr>
          <w:p>
            <w:pPr>
              <w:ind w:left="240"/>
              <w:spacing w:after="0"/>
              <w:rPr>
                <w:sz w:val="20"/>
                <w:szCs w:val="20"/>
                <w:color w:val="auto"/>
              </w:rPr>
            </w:pPr>
            <w:r>
              <w:rPr>
                <w:rFonts w:ascii="Arial" w:cs="Arial" w:eastAsia="Arial" w:hAnsi="Arial"/>
                <w:sz w:val="16"/>
                <w:szCs w:val="16"/>
                <w:color w:val="auto"/>
              </w:rPr>
              <w:t>Salaries, wages and</w:t>
            </w: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240"/>
              <w:spacing w:after="0"/>
              <w:rPr>
                <w:sz w:val="20"/>
                <w:szCs w:val="20"/>
                <w:color w:val="auto"/>
              </w:rPr>
            </w:pPr>
            <w:r>
              <w:rPr>
                <w:rFonts w:ascii="Arial" w:cs="Arial" w:eastAsia="Arial" w:hAnsi="Arial"/>
                <w:sz w:val="16"/>
                <w:szCs w:val="16"/>
                <w:color w:val="auto"/>
              </w:rPr>
              <w:t>benefits</w:t>
            </w:r>
          </w:p>
        </w:tc>
        <w:tc>
          <w:tcPr>
            <w:tcW w:w="34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1,441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840" w:type="dxa"/>
            <w:vAlign w:val="bottom"/>
          </w:tcPr>
          <w:p>
            <w:pPr>
              <w:ind w:left="240"/>
              <w:spacing w:after="0"/>
              <w:rPr>
                <w:sz w:val="20"/>
                <w:szCs w:val="20"/>
                <w:color w:val="auto"/>
              </w:rPr>
            </w:pPr>
            <w:r>
              <w:rPr>
                <w:rFonts w:ascii="Arial" w:cs="Arial" w:eastAsia="Arial" w:hAnsi="Arial"/>
                <w:sz w:val="16"/>
                <w:szCs w:val="16"/>
                <w:color w:val="auto"/>
              </w:rPr>
              <w:t>Regional expenses</w:t>
            </w:r>
          </w:p>
        </w:tc>
        <w:tc>
          <w:tcPr>
            <w:tcW w:w="340" w:type="dxa"/>
            <w:vAlign w:val="bottom"/>
          </w:tcPr>
          <w:p>
            <w:pPr>
              <w:spacing w:after="0"/>
              <w:rPr>
                <w:sz w:val="23"/>
                <w:szCs w:val="2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804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1840" w:type="dxa"/>
            <w:vAlign w:val="bottom"/>
          </w:tcPr>
          <w:p>
            <w:pPr>
              <w:ind w:left="240"/>
              <w:spacing w:after="0"/>
              <w:rPr>
                <w:sz w:val="20"/>
                <w:szCs w:val="20"/>
                <w:color w:val="auto"/>
              </w:rPr>
            </w:pPr>
            <w:r>
              <w:rPr>
                <w:rFonts w:ascii="Arial" w:cs="Arial" w:eastAsia="Arial" w:hAnsi="Arial"/>
                <w:sz w:val="16"/>
                <w:szCs w:val="16"/>
                <w:color w:val="auto"/>
              </w:rPr>
              <w:t>Maintenance,</w:t>
            </w: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240"/>
              <w:spacing w:after="0"/>
              <w:rPr>
                <w:sz w:val="20"/>
                <w:szCs w:val="20"/>
                <w:color w:val="auto"/>
              </w:rPr>
            </w:pPr>
            <w:r>
              <w:rPr>
                <w:rFonts w:ascii="Arial" w:cs="Arial" w:eastAsia="Arial" w:hAnsi="Arial"/>
                <w:sz w:val="16"/>
                <w:szCs w:val="16"/>
                <w:color w:val="auto"/>
              </w:rPr>
              <w:t>materials and repairs</w:t>
            </w:r>
          </w:p>
        </w:tc>
        <w:tc>
          <w:tcPr>
            <w:tcW w:w="34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1840" w:type="dxa"/>
            <w:vAlign w:val="bottom"/>
          </w:tcPr>
          <w:p>
            <w:pPr>
              <w:ind w:left="240"/>
              <w:spacing w:after="0"/>
              <w:rPr>
                <w:sz w:val="20"/>
                <w:szCs w:val="20"/>
                <w:color w:val="auto"/>
              </w:rPr>
            </w:pPr>
            <w:r>
              <w:rPr>
                <w:rFonts w:ascii="Arial" w:cs="Arial" w:eastAsia="Arial" w:hAnsi="Arial"/>
                <w:sz w:val="16"/>
                <w:szCs w:val="16"/>
                <w:color w:val="auto"/>
                <w:w w:val="99"/>
              </w:rPr>
              <w:t>Other rent and landing</w:t>
            </w: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240"/>
              <w:spacing w:after="0"/>
              <w:rPr>
                <w:sz w:val="20"/>
                <w:szCs w:val="20"/>
                <w:color w:val="auto"/>
              </w:rPr>
            </w:pPr>
            <w:r>
              <w:rPr>
                <w:rFonts w:ascii="Arial" w:cs="Arial" w:eastAsia="Arial" w:hAnsi="Arial"/>
                <w:sz w:val="16"/>
                <w:szCs w:val="16"/>
                <w:color w:val="auto"/>
              </w:rPr>
              <w:t>fees</w:t>
            </w:r>
          </w:p>
        </w:tc>
        <w:tc>
          <w:tcPr>
            <w:tcW w:w="34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840" w:type="dxa"/>
            <w:vAlign w:val="bottom"/>
          </w:tcPr>
          <w:p>
            <w:pPr>
              <w:ind w:left="240"/>
              <w:spacing w:after="0"/>
              <w:rPr>
                <w:sz w:val="20"/>
                <w:szCs w:val="20"/>
                <w:color w:val="auto"/>
              </w:rPr>
            </w:pPr>
            <w:r>
              <w:rPr>
                <w:rFonts w:ascii="Arial" w:cs="Arial" w:eastAsia="Arial" w:hAnsi="Arial"/>
                <w:sz w:val="16"/>
                <w:szCs w:val="16"/>
                <w:color w:val="auto"/>
              </w:rPr>
              <w:t>Aircraft rent</w:t>
            </w:r>
          </w:p>
        </w:tc>
        <w:tc>
          <w:tcPr>
            <w:tcW w:w="340" w:type="dxa"/>
            <w:vAlign w:val="bottom"/>
          </w:tcPr>
          <w:p>
            <w:pPr>
              <w:spacing w:after="0"/>
              <w:rPr>
                <w:sz w:val="23"/>
                <w:szCs w:val="2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840" w:type="dxa"/>
            <w:vAlign w:val="bottom"/>
          </w:tcPr>
          <w:p>
            <w:pPr>
              <w:ind w:left="240"/>
              <w:spacing w:after="0"/>
              <w:rPr>
                <w:sz w:val="20"/>
                <w:szCs w:val="20"/>
                <w:color w:val="auto"/>
              </w:rPr>
            </w:pPr>
            <w:r>
              <w:rPr>
                <w:rFonts w:ascii="Arial" w:cs="Arial" w:eastAsia="Arial" w:hAnsi="Arial"/>
                <w:sz w:val="16"/>
                <w:szCs w:val="16"/>
                <w:color w:val="auto"/>
              </w:rPr>
              <w:t>Selling expenses</w:t>
            </w:r>
          </w:p>
        </w:tc>
        <w:tc>
          <w:tcPr>
            <w:tcW w:w="340" w:type="dxa"/>
            <w:vAlign w:val="bottom"/>
          </w:tcPr>
          <w:p>
            <w:pPr>
              <w:spacing w:after="0"/>
              <w:rPr>
                <w:sz w:val="23"/>
                <w:szCs w:val="2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1840" w:type="dxa"/>
            <w:vAlign w:val="bottom"/>
          </w:tcPr>
          <w:p>
            <w:pPr>
              <w:ind w:left="240"/>
              <w:spacing w:after="0"/>
              <w:rPr>
                <w:sz w:val="20"/>
                <w:szCs w:val="20"/>
                <w:color w:val="auto"/>
              </w:rPr>
            </w:pPr>
            <w:r>
              <w:rPr>
                <w:rFonts w:ascii="Arial" w:cs="Arial" w:eastAsia="Arial" w:hAnsi="Arial"/>
                <w:sz w:val="16"/>
                <w:szCs w:val="16"/>
                <w:color w:val="auto"/>
              </w:rPr>
              <w:t>Depreciation and</w:t>
            </w: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240"/>
              <w:spacing w:after="0"/>
              <w:rPr>
                <w:sz w:val="20"/>
                <w:szCs w:val="20"/>
                <w:color w:val="auto"/>
              </w:rPr>
            </w:pPr>
            <w:r>
              <w:rPr>
                <w:rFonts w:ascii="Arial" w:cs="Arial" w:eastAsia="Arial" w:hAnsi="Arial"/>
                <w:sz w:val="16"/>
                <w:szCs w:val="16"/>
                <w:color w:val="auto"/>
              </w:rPr>
              <w:t>amortization</w:t>
            </w:r>
          </w:p>
        </w:tc>
        <w:tc>
          <w:tcPr>
            <w:tcW w:w="34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840" w:type="dxa"/>
            <w:vAlign w:val="bottom"/>
          </w:tcPr>
          <w:p>
            <w:pPr>
              <w:ind w:left="240"/>
              <w:spacing w:after="0"/>
              <w:rPr>
                <w:sz w:val="20"/>
                <w:szCs w:val="20"/>
                <w:color w:val="auto"/>
              </w:rPr>
            </w:pPr>
            <w:r>
              <w:rPr>
                <w:rFonts w:ascii="Arial" w:cs="Arial" w:eastAsia="Arial" w:hAnsi="Arial"/>
                <w:sz w:val="16"/>
                <w:szCs w:val="16"/>
                <w:color w:val="auto"/>
              </w:rPr>
              <w:t>Special items, net</w:t>
            </w:r>
          </w:p>
        </w:tc>
        <w:tc>
          <w:tcPr>
            <w:tcW w:w="340" w:type="dxa"/>
            <w:vAlign w:val="bottom"/>
          </w:tcPr>
          <w:p>
            <w:pPr>
              <w:spacing w:after="0"/>
              <w:rPr>
                <w:sz w:val="23"/>
                <w:szCs w:val="23"/>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840" w:type="dxa"/>
            <w:vAlign w:val="bottom"/>
          </w:tcPr>
          <w:p>
            <w:pPr>
              <w:ind w:left="24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23"/>
                <w:szCs w:val="23"/>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763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840" w:type="dxa"/>
            <w:vAlign w:val="bottom"/>
            <w:vMerge w:val="restart"/>
          </w:tcPr>
          <w:p>
            <w:pPr>
              <w:ind w:left="240"/>
              <w:spacing w:after="0"/>
              <w:rPr>
                <w:sz w:val="20"/>
                <w:szCs w:val="20"/>
                <w:color w:val="auto"/>
              </w:rPr>
            </w:pPr>
            <w:r>
              <w:rPr>
                <w:rFonts w:ascii="Arial" w:cs="Arial" w:eastAsia="Arial" w:hAnsi="Arial"/>
                <w:sz w:val="16"/>
                <w:szCs w:val="16"/>
                <w:color w:val="auto"/>
              </w:rPr>
              <w:t>Total operating</w:t>
            </w: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8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240"/>
              <w:spacing w:after="0"/>
              <w:rPr>
                <w:sz w:val="20"/>
                <w:szCs w:val="20"/>
                <w:color w:val="auto"/>
              </w:rPr>
            </w:pPr>
            <w:r>
              <w:rPr>
                <w:rFonts w:ascii="Arial" w:cs="Arial" w:eastAsia="Arial" w:hAnsi="Arial"/>
                <w:sz w:val="16"/>
                <w:szCs w:val="16"/>
                <w:color w:val="auto"/>
              </w:rPr>
              <w:t>expenses</w:t>
            </w:r>
          </w:p>
        </w:tc>
        <w:tc>
          <w:tcPr>
            <w:tcW w:w="34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6,435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840" w:type="dxa"/>
            <w:vAlign w:val="bottom"/>
            <w:vMerge w:val="restart"/>
          </w:tcPr>
          <w:p>
            <w:pPr>
              <w:spacing w:after="0"/>
              <w:rPr>
                <w:sz w:val="20"/>
                <w:szCs w:val="20"/>
                <w:color w:val="auto"/>
              </w:rPr>
            </w:pPr>
            <w:r>
              <w:rPr>
                <w:rFonts w:ascii="Arial" w:cs="Arial" w:eastAsia="Arial" w:hAnsi="Arial"/>
                <w:sz w:val="16"/>
                <w:szCs w:val="16"/>
                <w:b w:val="1"/>
                <w:bCs w:val="1"/>
                <w:color w:val="auto"/>
              </w:rPr>
              <w:t>Operating income</w:t>
            </w: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8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9"/>
        </w:trPr>
        <w:tc>
          <w:tcPr>
            <w:tcW w:w="1840" w:type="dxa"/>
            <w:vAlign w:val="bottom"/>
          </w:tcPr>
          <w:p>
            <w:pPr>
              <w:spacing w:after="0"/>
              <w:rPr>
                <w:sz w:val="20"/>
                <w:szCs w:val="20"/>
                <w:color w:val="auto"/>
              </w:rPr>
            </w:pPr>
            <w:r>
              <w:rPr>
                <w:rFonts w:ascii="Arial" w:cs="Arial" w:eastAsia="Arial" w:hAnsi="Arial"/>
                <w:sz w:val="16"/>
                <w:szCs w:val="16"/>
                <w:b w:val="1"/>
                <w:bCs w:val="1"/>
                <w:color w:val="auto"/>
              </w:rPr>
              <w:t>Nonoperating income</w:t>
            </w: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840" w:type="dxa"/>
            <w:vAlign w:val="bottom"/>
          </w:tcPr>
          <w:p>
            <w:pPr>
              <w:spacing w:after="0"/>
              <w:rPr>
                <w:sz w:val="20"/>
                <w:szCs w:val="20"/>
                <w:color w:val="auto"/>
              </w:rPr>
            </w:pPr>
            <w:r>
              <w:rPr>
                <w:rFonts w:ascii="Arial" w:cs="Arial" w:eastAsia="Arial" w:hAnsi="Arial"/>
                <w:sz w:val="16"/>
                <w:szCs w:val="16"/>
                <w:b w:val="1"/>
                <w:bCs w:val="1"/>
                <w:color w:val="auto"/>
              </w:rPr>
              <w:t>(expense)</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840" w:type="dxa"/>
            <w:vAlign w:val="bottom"/>
          </w:tcPr>
          <w:p>
            <w:pPr>
              <w:ind w:left="240"/>
              <w:spacing w:after="0"/>
              <w:rPr>
                <w:sz w:val="20"/>
                <w:szCs w:val="20"/>
                <w:color w:val="auto"/>
              </w:rPr>
            </w:pPr>
            <w:r>
              <w:rPr>
                <w:rFonts w:ascii="Arial" w:cs="Arial" w:eastAsia="Arial" w:hAnsi="Arial"/>
                <w:sz w:val="16"/>
                <w:szCs w:val="16"/>
                <w:color w:val="auto"/>
              </w:rPr>
              <w:t>Interest income</w:t>
            </w:r>
          </w:p>
        </w:tc>
        <w:tc>
          <w:tcPr>
            <w:tcW w:w="340" w:type="dxa"/>
            <w:vAlign w:val="bottom"/>
          </w:tcPr>
          <w:p>
            <w:pPr>
              <w:spacing w:after="0"/>
              <w:rPr>
                <w:sz w:val="23"/>
                <w:szCs w:val="23"/>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1840" w:type="dxa"/>
            <w:vAlign w:val="bottom"/>
          </w:tcPr>
          <w:p>
            <w:pPr>
              <w:ind w:left="240"/>
              <w:spacing w:after="0"/>
              <w:rPr>
                <w:sz w:val="20"/>
                <w:szCs w:val="20"/>
                <w:color w:val="auto"/>
              </w:rPr>
            </w:pPr>
            <w:r>
              <w:rPr>
                <w:rFonts w:ascii="Arial" w:cs="Arial" w:eastAsia="Arial" w:hAnsi="Arial"/>
                <w:sz w:val="16"/>
                <w:szCs w:val="16"/>
                <w:color w:val="auto"/>
              </w:rPr>
              <w:t>Interest expense, net</w:t>
            </w:r>
          </w:p>
        </w:tc>
        <w:tc>
          <w:tcPr>
            <w:tcW w:w="340" w:type="dxa"/>
            <w:vAlign w:val="bottom"/>
          </w:tcPr>
          <w:p>
            <w:pPr>
              <w:spacing w:after="0"/>
              <w:rPr>
                <w:sz w:val="23"/>
                <w:szCs w:val="2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53"/>
        </w:trPr>
        <w:tc>
          <w:tcPr>
            <w:tcW w:w="1840" w:type="dxa"/>
            <w:vAlign w:val="bottom"/>
          </w:tcPr>
          <w:p>
            <w:pPr>
              <w:ind w:left="240"/>
              <w:spacing w:after="0"/>
              <w:rPr>
                <w:sz w:val="20"/>
                <w:szCs w:val="20"/>
                <w:color w:val="auto"/>
              </w:rPr>
            </w:pPr>
            <w:r>
              <w:rPr>
                <w:rFonts w:ascii="Arial" w:cs="Arial" w:eastAsia="Arial" w:hAnsi="Arial"/>
                <w:sz w:val="16"/>
                <w:szCs w:val="16"/>
                <w:color w:val="auto"/>
              </w:rPr>
              <w:t>Equity in earnings of</w:t>
            </w: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240"/>
              <w:spacing w:after="0"/>
              <w:rPr>
                <w:sz w:val="20"/>
                <w:szCs w:val="20"/>
                <w:color w:val="auto"/>
              </w:rPr>
            </w:pPr>
            <w:r>
              <w:rPr>
                <w:rFonts w:ascii="Arial" w:cs="Arial" w:eastAsia="Arial" w:hAnsi="Arial"/>
                <w:sz w:val="16"/>
                <w:szCs w:val="16"/>
                <w:color w:val="auto"/>
              </w:rPr>
              <w:t>subsidiaries</w:t>
            </w:r>
          </w:p>
        </w:tc>
        <w:tc>
          <w:tcPr>
            <w:tcW w:w="340" w:type="dxa"/>
            <w:vAlign w:val="bottom"/>
          </w:tcPr>
          <w:p>
            <w:pPr>
              <w:spacing w:after="0"/>
              <w:rPr>
                <w:sz w:val="17"/>
                <w:szCs w:val="17"/>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863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595</w:t>
            </w:r>
          </w:p>
        </w:tc>
        <w:tc>
          <w:tcPr>
            <w:tcW w:w="0" w:type="dxa"/>
            <w:vAlign w:val="bottom"/>
          </w:tcPr>
          <w:p>
            <w:pPr>
              <w:spacing w:after="0"/>
              <w:rPr>
                <w:sz w:val="1"/>
                <w:szCs w:val="1"/>
                <w:color w:val="auto"/>
              </w:rPr>
            </w:pPr>
          </w:p>
        </w:tc>
      </w:tr>
      <w:tr>
        <w:trPr>
          <w:trHeight w:val="270"/>
        </w:trPr>
        <w:tc>
          <w:tcPr>
            <w:tcW w:w="1840" w:type="dxa"/>
            <w:vAlign w:val="bottom"/>
          </w:tcPr>
          <w:p>
            <w:pPr>
              <w:ind w:left="240"/>
              <w:spacing w:after="0"/>
              <w:rPr>
                <w:sz w:val="20"/>
                <w:szCs w:val="20"/>
                <w:color w:val="auto"/>
              </w:rPr>
            </w:pPr>
            <w:r>
              <w:rPr>
                <w:rFonts w:ascii="Arial" w:cs="Arial" w:eastAsia="Arial" w:hAnsi="Arial"/>
                <w:sz w:val="16"/>
                <w:szCs w:val="16"/>
                <w:color w:val="auto"/>
              </w:rPr>
              <w:t>Other, net</w:t>
            </w:r>
          </w:p>
        </w:tc>
        <w:tc>
          <w:tcPr>
            <w:tcW w:w="340" w:type="dxa"/>
            <w:vAlign w:val="bottom"/>
          </w:tcPr>
          <w:p>
            <w:pPr>
              <w:spacing w:after="0"/>
              <w:rPr>
                <w:sz w:val="23"/>
                <w:szCs w:val="2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1840" w:type="dxa"/>
            <w:vAlign w:val="bottom"/>
            <w:vMerge w:val="restart"/>
          </w:tcPr>
          <w:p>
            <w:pPr>
              <w:ind w:left="240"/>
              <w:spacing w:after="0"/>
              <w:rPr>
                <w:sz w:val="20"/>
                <w:szCs w:val="20"/>
                <w:color w:val="auto"/>
              </w:rPr>
            </w:pPr>
            <w:r>
              <w:rPr>
                <w:rFonts w:ascii="Arial" w:cs="Arial" w:eastAsia="Arial" w:hAnsi="Arial"/>
                <w:sz w:val="16"/>
                <w:szCs w:val="16"/>
                <w:color w:val="auto"/>
              </w:rPr>
              <w:t>Total nonoperating</w:t>
            </w: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8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240"/>
              <w:spacing w:after="0"/>
              <w:rPr>
                <w:sz w:val="20"/>
                <w:szCs w:val="20"/>
                <w:color w:val="auto"/>
              </w:rPr>
            </w:pPr>
            <w:r>
              <w:rPr>
                <w:rFonts w:ascii="Arial" w:cs="Arial" w:eastAsia="Arial" w:hAnsi="Arial"/>
                <w:sz w:val="16"/>
                <w:szCs w:val="16"/>
                <w:color w:val="auto"/>
                <w:w w:val="99"/>
              </w:rPr>
              <w:t>income (expense), net</w:t>
            </w:r>
          </w:p>
        </w:tc>
        <w:tc>
          <w:tcPr>
            <w:tcW w:w="340" w:type="dxa"/>
            <w:vAlign w:val="bottom"/>
          </w:tcPr>
          <w:p>
            <w:pPr>
              <w:spacing w:after="0"/>
              <w:rPr>
                <w:sz w:val="17"/>
                <w:szCs w:val="17"/>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865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33"/>
        </w:trPr>
        <w:tc>
          <w:tcPr>
            <w:tcW w:w="1840" w:type="dxa"/>
            <w:vAlign w:val="bottom"/>
            <w:vMerge w:val="restart"/>
          </w:tcPr>
          <w:p>
            <w:pPr>
              <w:spacing w:after="0"/>
              <w:rPr>
                <w:sz w:val="20"/>
                <w:szCs w:val="20"/>
                <w:color w:val="auto"/>
              </w:rPr>
            </w:pPr>
            <w:r>
              <w:rPr>
                <w:rFonts w:ascii="Arial" w:cs="Arial" w:eastAsia="Arial" w:hAnsi="Arial"/>
                <w:sz w:val="16"/>
                <w:szCs w:val="16"/>
                <w:b w:val="1"/>
                <w:bCs w:val="1"/>
                <w:color w:val="auto"/>
              </w:rPr>
              <w:t>Income before income</w:t>
            </w: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8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40" w:type="dxa"/>
            <w:vAlign w:val="bottom"/>
          </w:tcPr>
          <w:p>
            <w:pPr>
              <w:spacing w:after="0"/>
              <w:rPr>
                <w:sz w:val="20"/>
                <w:szCs w:val="20"/>
                <w:color w:val="auto"/>
              </w:rPr>
            </w:pPr>
            <w:r>
              <w:rPr>
                <w:rFonts w:ascii="Arial" w:cs="Arial" w:eastAsia="Arial" w:hAnsi="Arial"/>
                <w:sz w:val="16"/>
                <w:szCs w:val="16"/>
                <w:b w:val="1"/>
                <w:bCs w:val="1"/>
                <w:color w:val="auto"/>
              </w:rPr>
              <w:t>taxes</w:t>
            </w:r>
          </w:p>
        </w:tc>
        <w:tc>
          <w:tcPr>
            <w:tcW w:w="340" w:type="dxa"/>
            <w:vAlign w:val="bottom"/>
          </w:tcPr>
          <w:p>
            <w:pPr>
              <w:spacing w:after="0"/>
              <w:rPr>
                <w:sz w:val="18"/>
                <w:szCs w:val="18"/>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865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53"/>
        </w:trPr>
        <w:tc>
          <w:tcPr>
            <w:tcW w:w="1840" w:type="dxa"/>
            <w:vAlign w:val="bottom"/>
          </w:tcPr>
          <w:p>
            <w:pPr>
              <w:ind w:left="240"/>
              <w:spacing w:after="0"/>
              <w:rPr>
                <w:sz w:val="20"/>
                <w:szCs w:val="20"/>
                <w:color w:val="auto"/>
              </w:rPr>
            </w:pPr>
            <w:r>
              <w:rPr>
                <w:rFonts w:ascii="Arial" w:cs="Arial" w:eastAsia="Arial" w:hAnsi="Arial"/>
                <w:sz w:val="16"/>
                <w:szCs w:val="16"/>
                <w:color w:val="auto"/>
              </w:rPr>
              <w:t>Income tax provision</w:t>
            </w: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240"/>
              <w:spacing w:after="0"/>
              <w:rPr>
                <w:sz w:val="20"/>
                <w:szCs w:val="20"/>
                <w:color w:val="auto"/>
              </w:rPr>
            </w:pPr>
            <w:r>
              <w:rPr>
                <w:rFonts w:ascii="Arial" w:cs="Arial" w:eastAsia="Arial" w:hAnsi="Arial"/>
                <w:sz w:val="16"/>
                <w:szCs w:val="16"/>
                <w:color w:val="auto"/>
              </w:rPr>
              <w:t>(benefit)</w:t>
            </w:r>
          </w:p>
        </w:tc>
        <w:tc>
          <w:tcPr>
            <w:tcW w:w="340" w:type="dxa"/>
            <w:vAlign w:val="bottom"/>
          </w:tcPr>
          <w:p>
            <w:pPr>
              <w:spacing w:after="0"/>
              <w:rPr>
                <w:sz w:val="17"/>
                <w:szCs w:val="17"/>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840" w:type="dxa"/>
            <w:vAlign w:val="bottom"/>
            <w:vMerge w:val="restart"/>
          </w:tcPr>
          <w:p>
            <w:pPr>
              <w:spacing w:after="0"/>
              <w:rPr>
                <w:sz w:val="20"/>
                <w:szCs w:val="20"/>
                <w:color w:val="auto"/>
              </w:rPr>
            </w:pPr>
            <w:r>
              <w:rPr>
                <w:rFonts w:ascii="Arial" w:cs="Arial" w:eastAsia="Arial" w:hAnsi="Arial"/>
                <w:sz w:val="16"/>
                <w:szCs w:val="16"/>
                <w:b w:val="1"/>
                <w:bCs w:val="1"/>
                <w:color w:val="auto"/>
              </w:rPr>
              <w:t>Net income (loss)</w:t>
            </w: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840" w:type="dxa"/>
            <w:vAlign w:val="bottom"/>
            <w:vMerge w:val="continue"/>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868</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-5925185</wp:posOffset>
            </wp:positionV>
            <wp:extent cx="578040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804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-5582285</wp:posOffset>
            </wp:positionV>
            <wp:extent cx="578040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804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-5119370</wp:posOffset>
            </wp:positionV>
            <wp:extent cx="578040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804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-4655820</wp:posOffset>
            </wp:positionV>
            <wp:extent cx="5780405" cy="291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80405"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-4192905</wp:posOffset>
            </wp:positionV>
            <wp:extent cx="5780405" cy="291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80405"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-3609975</wp:posOffset>
            </wp:positionV>
            <wp:extent cx="578040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804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-3266440</wp:posOffset>
            </wp:positionV>
            <wp:extent cx="5780405" cy="291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80405"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-2803525</wp:posOffset>
            </wp:positionV>
            <wp:extent cx="578040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804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-2340610</wp:posOffset>
            </wp:positionV>
            <wp:extent cx="578040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804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-1877695</wp:posOffset>
            </wp:positionV>
            <wp:extent cx="578040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804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-1534160</wp:posOffset>
            </wp:positionV>
            <wp:extent cx="5780405" cy="291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80405"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-1071245</wp:posOffset>
            </wp:positionV>
            <wp:extent cx="5780405" cy="291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80405"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5780405" cy="291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80405"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2,861</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8,213</w:t>
            </w:r>
          </w:p>
        </w:tc>
      </w:tr>
      <w:tr>
        <w:trPr>
          <w:trHeight w:val="270"/>
        </w:trPr>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921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1,707</w:t>
            </w:r>
          </w:p>
        </w:tc>
      </w:tr>
      <w:tr>
        <w:trPr>
          <w:trHeight w:val="270"/>
        </w:trPr>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221</w:t>
            </w:r>
          </w:p>
        </w:tc>
      </w:tr>
      <w:tr>
        <w:trPr>
          <w:trHeight w:val="270"/>
        </w:trPr>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1,214</w:t>
            </w:r>
          </w:p>
        </w:tc>
      </w:tr>
      <w:tr>
        <w:trPr>
          <w:trHeight w:val="33"/>
        </w:trPr>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406"/>
        </w:trPr>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4,233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11,355</w:t>
            </w:r>
          </w:p>
        </w:tc>
      </w:tr>
      <w:tr>
        <w:trPr>
          <w:trHeight w:val="729"/>
        </w:trPr>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933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2,830</w:t>
            </w:r>
          </w:p>
        </w:tc>
      </w:tr>
      <w:tr>
        <w:trPr>
          <w:trHeight w:val="459"/>
        </w:trPr>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2,163</w:t>
            </w:r>
          </w:p>
        </w:tc>
      </w:tr>
      <w:tr>
        <w:trPr>
          <w:trHeight w:val="270"/>
        </w:trPr>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867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1,657</w:t>
            </w:r>
          </w:p>
        </w:tc>
      </w:tr>
      <w:tr>
        <w:trPr>
          <w:trHeight w:val="459"/>
        </w:trPr>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514</w:t>
            </w:r>
          </w:p>
        </w:tc>
      </w:tr>
      <w:tr>
        <w:trPr>
          <w:trHeight w:val="459"/>
        </w:trPr>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441</w:t>
            </w:r>
          </w:p>
        </w:tc>
      </w:tr>
      <w:tr>
        <w:trPr>
          <w:trHeight w:val="270"/>
        </w:trPr>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312</w:t>
            </w:r>
          </w:p>
        </w:tc>
      </w:tr>
      <w:tr>
        <w:trPr>
          <w:trHeight w:val="270"/>
        </w:trPr>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402</w:t>
            </w:r>
          </w:p>
        </w:tc>
      </w:tr>
      <w:tr>
        <w:trPr>
          <w:trHeight w:val="459"/>
        </w:trPr>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319</w:t>
            </w:r>
          </w:p>
        </w:tc>
      </w:tr>
      <w:tr>
        <w:trPr>
          <w:trHeight w:val="270"/>
        </w:trPr>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251</w:t>
            </w:r>
          </w:p>
        </w:tc>
      </w:tr>
      <w:tr>
        <w:trPr>
          <w:trHeight w:val="270"/>
        </w:trPr>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319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1,067</w:t>
            </w:r>
          </w:p>
        </w:tc>
      </w:tr>
      <w:tr>
        <w:trPr>
          <w:trHeight w:val="33"/>
        </w:trPr>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406"/>
        </w:trPr>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3,555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741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9,956</w:t>
            </w:r>
          </w:p>
        </w:tc>
      </w:tr>
      <w:tr>
        <w:trPr>
          <w:trHeight w:val="33"/>
        </w:trPr>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7"/>
        </w:trPr>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678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1,399</w:t>
            </w:r>
          </w:p>
        </w:tc>
      </w:tr>
      <w:tr>
        <w:trPr>
          <w:trHeight w:val="729"/>
        </w:trPr>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270"/>
        </w:trPr>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459"/>
        </w:trPr>
        <w:tc>
          <w:tcPr>
            <w:tcW w:w="20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(1,458)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33"/>
        </w:trPr>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406"/>
        </w:trPr>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(1,461)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(195)</w:t>
            </w:r>
          </w:p>
        </w:tc>
      </w:tr>
      <w:tr>
        <w:trPr>
          <w:trHeight w:val="33"/>
        </w:trPr>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406"/>
        </w:trPr>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606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(1,461)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1,204</w:t>
            </w:r>
          </w:p>
        </w:tc>
      </w:tr>
      <w:tr>
        <w:trPr>
          <w:trHeight w:val="459"/>
        </w:trPr>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340</w:t>
            </w:r>
          </w:p>
        </w:tc>
      </w:tr>
      <w:tr>
        <w:trPr>
          <w:trHeight w:val="33"/>
        </w:trPr>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7"/>
        </w:trPr>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605</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(1,461)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864</w:t>
            </w:r>
          </w:p>
        </w:tc>
      </w:tr>
      <w:tr>
        <w:trPr>
          <w:trHeight w:val="33"/>
        </w:trPr>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800" w:space="120"/>
            <w:col w:w="5299"/>
          </w:cols>
          <w:pgMar w:left="240" w:top="125" w:right="1440" w:bottom="1440" w:gutter="0" w:footer="0" w:header="0"/>
          <w:type w:val="continuous"/>
        </w:sectPr>
      </w:pPr>
    </w:p>
    <w:p>
      <w:pPr>
        <w:spacing w:after="0" w:line="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0219"/>
          </w:cols>
          <w:pgMar w:left="240" w:top="125" w:right="1440"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ind w:right="4839"/>
        <w:spacing w:after="0" w:line="261" w:lineRule="auto"/>
        <w:rPr>
          <w:sz w:val="20"/>
          <w:szCs w:val="20"/>
          <w:color w:val="auto"/>
        </w:rPr>
      </w:pPr>
      <w:r>
        <w:rPr>
          <w:rFonts w:ascii="Arial" w:cs="Arial" w:eastAsia="Arial" w:hAnsi="Arial"/>
          <w:sz w:val="18"/>
          <w:szCs w:val="18"/>
          <w:b w:val="1"/>
          <w:bCs w:val="1"/>
          <w:color w:val="auto"/>
        </w:rPr>
        <w:t xml:space="preserve">CONDENSED CONSOLIDATING STATEMENT OF OPERATIONS </w:t>
      </w:r>
      <w:r>
        <w:rPr>
          <w:rFonts w:ascii="Arial" w:cs="Arial" w:eastAsia="Arial" w:hAnsi="Arial"/>
          <w:sz w:val="18"/>
          <w:szCs w:val="18"/>
          <w:color w:val="auto"/>
        </w:rPr>
        <w:t>(In millions)(Unaudited)</w:t>
      </w:r>
    </w:p>
    <w:p>
      <w:pPr>
        <w:spacing w:after="0" w:line="148"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Six Months Ended June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34925</wp:posOffset>
            </wp:positionV>
            <wp:extent cx="45878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87875" cy="8890"/>
                    </a:xfrm>
                    <a:prstGeom prst="rect">
                      <a:avLst/>
                    </a:prstGeom>
                    <a:noFill/>
                  </pic:spPr>
                </pic:pic>
              </a:graphicData>
            </a:graphic>
          </wp:anchor>
        </w:drawing>
      </w:r>
    </w:p>
    <w:p>
      <w:pPr>
        <w:spacing w:after="0" w:line="52" w:lineRule="exact"/>
        <w:rPr>
          <w:sz w:val="20"/>
          <w:szCs w:val="20"/>
          <w:color w:val="auto"/>
        </w:rPr>
      </w:pPr>
    </w:p>
    <w:tbl>
      <w:tblPr>
        <w:tblLayout w:type="fixed"/>
        <w:tblInd w:w="1940" w:type="dxa"/>
        <w:tblCellMar>
          <w:top w:w="0" w:type="dxa"/>
          <w:left w:w="0" w:type="dxa"/>
          <w:bottom w:w="0" w:type="dxa"/>
          <w:right w:w="0" w:type="dxa"/>
        </w:tblCellMar>
      </w:tblPr>
      <w:tr>
        <w:trPr>
          <w:trHeight w:val="172"/>
        </w:trPr>
        <w:tc>
          <w:tcPr>
            <w:tcW w:w="1020" w:type="dxa"/>
            <w:vAlign w:val="bottom"/>
          </w:tcPr>
          <w:p>
            <w:pPr>
              <w:jc w:val="center"/>
              <w:ind w:right="23"/>
              <w:spacing w:after="0"/>
              <w:rPr>
                <w:sz w:val="20"/>
                <w:szCs w:val="20"/>
                <w:color w:val="auto"/>
              </w:rPr>
            </w:pPr>
            <w:r>
              <w:rPr>
                <w:rFonts w:ascii="Arial" w:cs="Arial" w:eastAsia="Arial" w:hAnsi="Arial"/>
                <w:sz w:val="15"/>
                <w:szCs w:val="15"/>
                <w:color w:val="auto"/>
                <w:w w:val="94"/>
              </w:rPr>
              <w:t>American</w:t>
            </w: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1020" w:type="dxa"/>
            <w:vAlign w:val="bottom"/>
          </w:tcPr>
          <w:p>
            <w:pPr>
              <w:jc w:val="center"/>
              <w:ind w:right="23"/>
              <w:spacing w:after="0" w:line="162" w:lineRule="exact"/>
              <w:rPr>
                <w:sz w:val="20"/>
                <w:szCs w:val="20"/>
                <w:color w:val="auto"/>
              </w:rPr>
            </w:pPr>
            <w:r>
              <w:rPr>
                <w:rFonts w:ascii="Arial" w:cs="Arial" w:eastAsia="Arial" w:hAnsi="Arial"/>
                <w:sz w:val="15"/>
                <w:szCs w:val="15"/>
                <w:color w:val="auto"/>
                <w:w w:val="96"/>
              </w:rPr>
              <w:t>Airlines Group</w:t>
            </w:r>
          </w:p>
        </w:tc>
        <w:tc>
          <w:tcPr>
            <w:tcW w:w="84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Arial" w:cs="Arial" w:eastAsia="Arial" w:hAnsi="Arial"/>
                <w:sz w:val="15"/>
                <w:szCs w:val="15"/>
                <w:color w:val="auto"/>
                <w:w w:val="97"/>
              </w:rPr>
              <w:t>US Airways</w:t>
            </w: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40" w:type="dxa"/>
            <w:vAlign w:val="bottom"/>
          </w:tcPr>
          <w:p>
            <w:pPr>
              <w:jc w:val="center"/>
              <w:ind w:left="63"/>
              <w:spacing w:after="0" w:line="162" w:lineRule="exact"/>
              <w:rPr>
                <w:sz w:val="20"/>
                <w:szCs w:val="20"/>
                <w:color w:val="auto"/>
              </w:rPr>
            </w:pPr>
            <w:r>
              <w:rPr>
                <w:rFonts w:ascii="Arial" w:cs="Arial" w:eastAsia="Arial" w:hAnsi="Arial"/>
                <w:sz w:val="15"/>
                <w:szCs w:val="15"/>
                <w:color w:val="auto"/>
                <w:w w:val="94"/>
              </w:rPr>
              <w:t>American</w:t>
            </w:r>
          </w:p>
        </w:tc>
      </w:tr>
      <w:tr>
        <w:trPr>
          <w:trHeight w:val="162"/>
        </w:trPr>
        <w:tc>
          <w:tcPr>
            <w:tcW w:w="1020" w:type="dxa"/>
            <w:vAlign w:val="bottom"/>
          </w:tcPr>
          <w:p>
            <w:pPr>
              <w:jc w:val="center"/>
              <w:ind w:right="23"/>
              <w:spacing w:after="0" w:line="162" w:lineRule="exact"/>
              <w:rPr>
                <w:sz w:val="20"/>
                <w:szCs w:val="20"/>
                <w:color w:val="auto"/>
              </w:rPr>
            </w:pPr>
            <w:r>
              <w:rPr>
                <w:rFonts w:ascii="Arial" w:cs="Arial" w:eastAsia="Arial" w:hAnsi="Arial"/>
                <w:sz w:val="15"/>
                <w:szCs w:val="15"/>
                <w:color w:val="auto"/>
                <w:w w:val="89"/>
              </w:rPr>
              <w:t>(Parent</w:t>
            </w:r>
          </w:p>
        </w:tc>
        <w:tc>
          <w:tcPr>
            <w:tcW w:w="84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Arial" w:cs="Arial" w:eastAsia="Arial" w:hAnsi="Arial"/>
                <w:sz w:val="15"/>
                <w:szCs w:val="15"/>
                <w:color w:val="auto"/>
                <w:w w:val="92"/>
              </w:rPr>
              <w:t>Group (Parent</w:t>
            </w:r>
          </w:p>
        </w:tc>
        <w:tc>
          <w:tcPr>
            <w:tcW w:w="800" w:type="dxa"/>
            <w:vAlign w:val="bottom"/>
          </w:tcPr>
          <w:p>
            <w:pPr>
              <w:spacing w:after="0"/>
              <w:rPr>
                <w:sz w:val="14"/>
                <w:szCs w:val="14"/>
                <w:color w:val="auto"/>
              </w:rPr>
            </w:pPr>
          </w:p>
        </w:tc>
        <w:tc>
          <w:tcPr>
            <w:tcW w:w="1040" w:type="dxa"/>
            <w:vAlign w:val="bottom"/>
          </w:tcPr>
          <w:p>
            <w:pPr>
              <w:jc w:val="center"/>
              <w:spacing w:after="0" w:line="162" w:lineRule="exact"/>
              <w:rPr>
                <w:sz w:val="20"/>
                <w:szCs w:val="20"/>
                <w:color w:val="auto"/>
              </w:rPr>
            </w:pPr>
            <w:r>
              <w:rPr>
                <w:rFonts w:ascii="Arial" w:cs="Arial" w:eastAsia="Arial" w:hAnsi="Arial"/>
                <w:sz w:val="15"/>
                <w:szCs w:val="15"/>
                <w:color w:val="auto"/>
                <w:w w:val="92"/>
              </w:rPr>
              <w:t>Non-</w:t>
            </w:r>
          </w:p>
        </w:tc>
        <w:tc>
          <w:tcPr>
            <w:tcW w:w="1340" w:type="dxa"/>
            <w:vAlign w:val="bottom"/>
          </w:tcPr>
          <w:p>
            <w:pPr>
              <w:spacing w:after="0"/>
              <w:rPr>
                <w:sz w:val="14"/>
                <w:szCs w:val="14"/>
                <w:color w:val="auto"/>
              </w:rPr>
            </w:pPr>
          </w:p>
        </w:tc>
        <w:tc>
          <w:tcPr>
            <w:tcW w:w="940" w:type="dxa"/>
            <w:vAlign w:val="bottom"/>
          </w:tcPr>
          <w:p>
            <w:pPr>
              <w:jc w:val="center"/>
              <w:ind w:left="83"/>
              <w:spacing w:after="0" w:line="162" w:lineRule="exact"/>
              <w:rPr>
                <w:sz w:val="20"/>
                <w:szCs w:val="20"/>
                <w:color w:val="auto"/>
              </w:rPr>
            </w:pPr>
            <w:r>
              <w:rPr>
                <w:rFonts w:ascii="Arial" w:cs="Arial" w:eastAsia="Arial" w:hAnsi="Arial"/>
                <w:sz w:val="15"/>
                <w:szCs w:val="15"/>
                <w:color w:val="auto"/>
              </w:rPr>
              <w:t>Airlines</w:t>
            </w:r>
          </w:p>
        </w:tc>
      </w:tr>
      <w:tr>
        <w:trPr>
          <w:trHeight w:val="162"/>
        </w:trPr>
        <w:tc>
          <w:tcPr>
            <w:tcW w:w="1020" w:type="dxa"/>
            <w:vAlign w:val="bottom"/>
          </w:tcPr>
          <w:p>
            <w:pPr>
              <w:jc w:val="center"/>
              <w:ind w:right="43"/>
              <w:spacing w:after="0" w:line="162" w:lineRule="exact"/>
              <w:rPr>
                <w:sz w:val="20"/>
                <w:szCs w:val="20"/>
                <w:color w:val="auto"/>
              </w:rPr>
            </w:pPr>
            <w:r>
              <w:rPr>
                <w:rFonts w:ascii="Arial" w:cs="Arial" w:eastAsia="Arial" w:hAnsi="Arial"/>
                <w:sz w:val="15"/>
                <w:szCs w:val="15"/>
                <w:color w:val="auto"/>
                <w:w w:val="90"/>
              </w:rPr>
              <w:t>Company</w:t>
            </w:r>
          </w:p>
        </w:tc>
        <w:tc>
          <w:tcPr>
            <w:tcW w:w="84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Arial" w:cs="Arial" w:eastAsia="Arial" w:hAnsi="Arial"/>
                <w:sz w:val="15"/>
                <w:szCs w:val="15"/>
                <w:color w:val="auto"/>
                <w:w w:val="93"/>
              </w:rPr>
              <w:t>Company</w:t>
            </w:r>
          </w:p>
        </w:tc>
        <w:tc>
          <w:tcPr>
            <w:tcW w:w="800" w:type="dxa"/>
            <w:vAlign w:val="bottom"/>
          </w:tcPr>
          <w:p>
            <w:pPr>
              <w:jc w:val="center"/>
              <w:spacing w:after="0" w:line="162" w:lineRule="exact"/>
              <w:rPr>
                <w:sz w:val="20"/>
                <w:szCs w:val="20"/>
                <w:color w:val="auto"/>
              </w:rPr>
            </w:pPr>
            <w:r>
              <w:rPr>
                <w:rFonts w:ascii="Arial" w:cs="Arial" w:eastAsia="Arial" w:hAnsi="Arial"/>
                <w:sz w:val="15"/>
                <w:szCs w:val="15"/>
                <w:color w:val="auto"/>
                <w:w w:val="86"/>
              </w:rPr>
              <w:t>US</w:t>
            </w:r>
          </w:p>
        </w:tc>
        <w:tc>
          <w:tcPr>
            <w:tcW w:w="1040" w:type="dxa"/>
            <w:vAlign w:val="bottom"/>
          </w:tcPr>
          <w:p>
            <w:pPr>
              <w:jc w:val="center"/>
              <w:spacing w:after="0" w:line="162" w:lineRule="exact"/>
              <w:rPr>
                <w:sz w:val="20"/>
                <w:szCs w:val="20"/>
                <w:color w:val="auto"/>
              </w:rPr>
            </w:pPr>
            <w:r>
              <w:rPr>
                <w:rFonts w:ascii="Arial" w:cs="Arial" w:eastAsia="Arial" w:hAnsi="Arial"/>
                <w:sz w:val="15"/>
                <w:szCs w:val="15"/>
                <w:color w:val="auto"/>
                <w:w w:val="91"/>
              </w:rPr>
              <w:t>Guarantor</w:t>
            </w:r>
          </w:p>
        </w:tc>
        <w:tc>
          <w:tcPr>
            <w:tcW w:w="1340" w:type="dxa"/>
            <w:vAlign w:val="bottom"/>
          </w:tcPr>
          <w:p>
            <w:pPr>
              <w:ind w:left="140"/>
              <w:spacing w:after="0" w:line="162" w:lineRule="exact"/>
              <w:rPr>
                <w:sz w:val="20"/>
                <w:szCs w:val="20"/>
                <w:color w:val="auto"/>
              </w:rPr>
            </w:pPr>
            <w:r>
              <w:rPr>
                <w:rFonts w:ascii="Arial" w:cs="Arial" w:eastAsia="Arial" w:hAnsi="Arial"/>
                <w:sz w:val="15"/>
                <w:szCs w:val="15"/>
                <w:color w:val="auto"/>
              </w:rPr>
              <w:t>Eliminations and</w:t>
            </w:r>
          </w:p>
        </w:tc>
        <w:tc>
          <w:tcPr>
            <w:tcW w:w="940" w:type="dxa"/>
            <w:vAlign w:val="bottom"/>
          </w:tcPr>
          <w:p>
            <w:pPr>
              <w:jc w:val="center"/>
              <w:ind w:left="83"/>
              <w:spacing w:after="0" w:line="162" w:lineRule="exact"/>
              <w:rPr>
                <w:sz w:val="20"/>
                <w:szCs w:val="20"/>
                <w:color w:val="auto"/>
              </w:rPr>
            </w:pPr>
            <w:r>
              <w:rPr>
                <w:rFonts w:ascii="Arial" w:cs="Arial" w:eastAsia="Arial" w:hAnsi="Arial"/>
                <w:sz w:val="15"/>
                <w:szCs w:val="15"/>
                <w:color w:val="auto"/>
                <w:w w:val="94"/>
              </w:rPr>
              <w:t>Group Inc.</w:t>
            </w:r>
          </w:p>
        </w:tc>
      </w:tr>
      <w:tr>
        <w:trPr>
          <w:trHeight w:val="194"/>
        </w:trPr>
        <w:tc>
          <w:tcPr>
            <w:tcW w:w="1020" w:type="dxa"/>
            <w:vAlign w:val="bottom"/>
          </w:tcPr>
          <w:p>
            <w:pPr>
              <w:jc w:val="center"/>
              <w:ind w:right="23"/>
              <w:spacing w:after="0"/>
              <w:rPr>
                <w:sz w:val="20"/>
                <w:szCs w:val="20"/>
                <w:color w:val="auto"/>
              </w:rPr>
            </w:pPr>
            <w:r>
              <w:rPr>
                <w:rFonts w:ascii="Arial" w:cs="Arial" w:eastAsia="Arial" w:hAnsi="Arial"/>
                <w:sz w:val="15"/>
                <w:szCs w:val="15"/>
                <w:color w:val="auto"/>
              </w:rPr>
              <w:t>Only)</w:t>
            </w:r>
          </w:p>
        </w:tc>
        <w:tc>
          <w:tcPr>
            <w:tcW w:w="840" w:type="dxa"/>
            <w:vAlign w:val="bottom"/>
          </w:tcPr>
          <w:p>
            <w:pPr>
              <w:ind w:left="120"/>
              <w:spacing w:after="0"/>
              <w:rPr>
                <w:sz w:val="20"/>
                <w:szCs w:val="20"/>
                <w:color w:val="auto"/>
              </w:rPr>
            </w:pPr>
            <w:r>
              <w:rPr>
                <w:rFonts w:ascii="Arial" w:cs="Arial" w:eastAsia="Arial" w:hAnsi="Arial"/>
                <w:sz w:val="15"/>
                <w:szCs w:val="15"/>
                <w:color w:val="auto"/>
              </w:rPr>
              <w:t>American</w:t>
            </w:r>
          </w:p>
        </w:tc>
        <w:tc>
          <w:tcPr>
            <w:tcW w:w="1100" w:type="dxa"/>
            <w:vAlign w:val="bottom"/>
          </w:tcPr>
          <w:p>
            <w:pPr>
              <w:jc w:val="center"/>
              <w:spacing w:after="0"/>
              <w:rPr>
                <w:sz w:val="20"/>
                <w:szCs w:val="20"/>
                <w:color w:val="auto"/>
              </w:rPr>
            </w:pPr>
            <w:r>
              <w:rPr>
                <w:rFonts w:ascii="Arial" w:cs="Arial" w:eastAsia="Arial" w:hAnsi="Arial"/>
                <w:sz w:val="15"/>
                <w:szCs w:val="15"/>
                <w:color w:val="auto"/>
              </w:rPr>
              <w:t>Only)</w:t>
            </w:r>
          </w:p>
        </w:tc>
        <w:tc>
          <w:tcPr>
            <w:tcW w:w="800" w:type="dxa"/>
            <w:vAlign w:val="bottom"/>
          </w:tcPr>
          <w:p>
            <w:pPr>
              <w:jc w:val="center"/>
              <w:spacing w:after="0"/>
              <w:rPr>
                <w:sz w:val="20"/>
                <w:szCs w:val="20"/>
                <w:color w:val="auto"/>
              </w:rPr>
            </w:pPr>
            <w:r>
              <w:rPr>
                <w:rFonts w:ascii="Arial" w:cs="Arial" w:eastAsia="Arial" w:hAnsi="Arial"/>
                <w:sz w:val="15"/>
                <w:szCs w:val="15"/>
                <w:color w:val="auto"/>
                <w:w w:val="98"/>
              </w:rPr>
              <w:t>Airways</w:t>
            </w:r>
          </w:p>
        </w:tc>
        <w:tc>
          <w:tcPr>
            <w:tcW w:w="1040" w:type="dxa"/>
            <w:vAlign w:val="bottom"/>
          </w:tcPr>
          <w:p>
            <w:pPr>
              <w:jc w:val="center"/>
              <w:spacing w:after="0"/>
              <w:rPr>
                <w:sz w:val="20"/>
                <w:szCs w:val="20"/>
                <w:color w:val="auto"/>
              </w:rPr>
            </w:pPr>
            <w:r>
              <w:rPr>
                <w:rFonts w:ascii="Arial" w:cs="Arial" w:eastAsia="Arial" w:hAnsi="Arial"/>
                <w:sz w:val="15"/>
                <w:szCs w:val="15"/>
                <w:color w:val="auto"/>
                <w:w w:val="90"/>
              </w:rPr>
              <w:t>Subsidiaries</w:t>
            </w:r>
          </w:p>
        </w:tc>
        <w:tc>
          <w:tcPr>
            <w:tcW w:w="1340" w:type="dxa"/>
            <w:vAlign w:val="bottom"/>
          </w:tcPr>
          <w:p>
            <w:pPr>
              <w:ind w:left="160"/>
              <w:spacing w:after="0"/>
              <w:rPr>
                <w:sz w:val="20"/>
                <w:szCs w:val="20"/>
                <w:color w:val="auto"/>
              </w:rPr>
            </w:pPr>
            <w:r>
              <w:rPr>
                <w:rFonts w:ascii="Arial" w:cs="Arial" w:eastAsia="Arial" w:hAnsi="Arial"/>
                <w:sz w:val="15"/>
                <w:szCs w:val="15"/>
                <w:color w:val="auto"/>
              </w:rPr>
              <w:t>Reclassifications</w:t>
            </w:r>
          </w:p>
        </w:tc>
        <w:tc>
          <w:tcPr>
            <w:tcW w:w="940" w:type="dxa"/>
            <w:vAlign w:val="bottom"/>
          </w:tcPr>
          <w:p>
            <w:pPr>
              <w:jc w:val="center"/>
              <w:ind w:left="63"/>
              <w:spacing w:after="0"/>
              <w:rPr>
                <w:sz w:val="20"/>
                <w:szCs w:val="20"/>
                <w:color w:val="auto"/>
              </w:rPr>
            </w:pPr>
            <w:r>
              <w:rPr>
                <w:rFonts w:ascii="Arial" w:cs="Arial" w:eastAsia="Arial" w:hAnsi="Arial"/>
                <w:sz w:val="15"/>
                <w:szCs w:val="15"/>
                <w:color w:val="auto"/>
                <w:w w:val="91"/>
              </w:rPr>
              <w:t>Consolidated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5780405"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80405" cy="180340"/>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Operating revenues</w:t>
      </w:r>
    </w:p>
    <w:p>
      <w:pPr>
        <w:sectPr>
          <w:pgSz w:w="11900" w:h="16838" w:orient="portrait"/>
          <w:cols w:equalWidth="0" w:num="1">
            <w:col w:w="10219"/>
          </w:cols>
          <w:pgMar w:left="240" w:top="125" w:right="1440" w:bottom="1440" w:gutter="0" w:footer="0" w:header="0"/>
        </w:sectPr>
      </w:pP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1840" w:type="dxa"/>
            <w:vAlign w:val="bottom"/>
          </w:tcPr>
          <w:p>
            <w:pPr>
              <w:ind w:left="240"/>
              <w:spacing w:after="0"/>
              <w:rPr>
                <w:sz w:val="20"/>
                <w:szCs w:val="20"/>
                <w:color w:val="auto"/>
              </w:rPr>
            </w:pPr>
            <w:r>
              <w:rPr>
                <w:rFonts w:ascii="Arial" w:cs="Arial" w:eastAsia="Arial" w:hAnsi="Arial"/>
                <w:sz w:val="16"/>
                <w:szCs w:val="16"/>
                <w:color w:val="auto"/>
              </w:rPr>
              <w:t>Mainline passenger</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10,258</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840" w:type="dxa"/>
            <w:vAlign w:val="bottom"/>
          </w:tcPr>
          <w:p>
            <w:pPr>
              <w:ind w:left="240"/>
              <w:spacing w:after="0"/>
              <w:rPr>
                <w:sz w:val="20"/>
                <w:szCs w:val="20"/>
                <w:color w:val="auto"/>
              </w:rPr>
            </w:pPr>
            <w:r>
              <w:rPr>
                <w:rFonts w:ascii="Arial" w:cs="Arial" w:eastAsia="Arial" w:hAnsi="Arial"/>
                <w:sz w:val="16"/>
                <w:szCs w:val="16"/>
                <w:color w:val="auto"/>
              </w:rPr>
              <w:t>Regional passenger</w:t>
            </w:r>
          </w:p>
        </w:tc>
        <w:tc>
          <w:tcPr>
            <w:tcW w:w="280" w:type="dxa"/>
            <w:vAlign w:val="bottom"/>
          </w:tcPr>
          <w:p>
            <w:pPr>
              <w:spacing w:after="0"/>
              <w:rPr>
                <w:sz w:val="23"/>
                <w:szCs w:val="23"/>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1,455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840" w:type="dxa"/>
            <w:vAlign w:val="bottom"/>
          </w:tcPr>
          <w:p>
            <w:pPr>
              <w:ind w:left="240"/>
              <w:spacing w:after="0"/>
              <w:rPr>
                <w:sz w:val="20"/>
                <w:szCs w:val="20"/>
                <w:color w:val="auto"/>
              </w:rPr>
            </w:pPr>
            <w:r>
              <w:rPr>
                <w:rFonts w:ascii="Arial" w:cs="Arial" w:eastAsia="Arial" w:hAnsi="Arial"/>
                <w:sz w:val="16"/>
                <w:szCs w:val="16"/>
                <w:color w:val="auto"/>
              </w:rPr>
              <w:t>Cargo</w:t>
            </w:r>
          </w:p>
        </w:tc>
        <w:tc>
          <w:tcPr>
            <w:tcW w:w="280" w:type="dxa"/>
            <w:vAlign w:val="bottom"/>
          </w:tcPr>
          <w:p>
            <w:pPr>
              <w:spacing w:after="0"/>
              <w:rPr>
                <w:sz w:val="23"/>
                <w:szCs w:val="23"/>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840" w:type="dxa"/>
            <w:vAlign w:val="bottom"/>
          </w:tcPr>
          <w:p>
            <w:pPr>
              <w:ind w:left="24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23"/>
                <w:szCs w:val="23"/>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1,563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840" w:type="dxa"/>
            <w:vAlign w:val="bottom"/>
            <w:vMerge w:val="restart"/>
          </w:tcPr>
          <w:p>
            <w:pPr>
              <w:ind w:left="240"/>
              <w:spacing w:after="0"/>
              <w:rPr>
                <w:sz w:val="20"/>
                <w:szCs w:val="20"/>
                <w:color w:val="auto"/>
              </w:rPr>
            </w:pPr>
            <w:r>
              <w:rPr>
                <w:rFonts w:ascii="Arial" w:cs="Arial" w:eastAsia="Arial" w:hAnsi="Arial"/>
                <w:sz w:val="16"/>
                <w:szCs w:val="16"/>
                <w:color w:val="auto"/>
              </w:rPr>
              <w:t>Total operating</w:t>
            </w: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8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240"/>
              <w:spacing w:after="0"/>
              <w:rPr>
                <w:sz w:val="20"/>
                <w:szCs w:val="20"/>
                <w:color w:val="auto"/>
              </w:rPr>
            </w:pPr>
            <w:r>
              <w:rPr>
                <w:rFonts w:ascii="Arial" w:cs="Arial" w:eastAsia="Arial" w:hAnsi="Arial"/>
                <w:sz w:val="16"/>
                <w:szCs w:val="16"/>
                <w:color w:val="auto"/>
              </w:rPr>
              <w:t>revenues</w:t>
            </w:r>
          </w:p>
        </w:tc>
        <w:tc>
          <w:tcPr>
            <w:tcW w:w="28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13,622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184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1840" w:type="dxa"/>
            <w:vAlign w:val="bottom"/>
          </w:tcPr>
          <w:p>
            <w:pPr>
              <w:ind w:left="240"/>
              <w:spacing w:after="0"/>
              <w:rPr>
                <w:sz w:val="20"/>
                <w:szCs w:val="20"/>
                <w:color w:val="auto"/>
              </w:rPr>
            </w:pPr>
            <w:r>
              <w:rPr>
                <w:rFonts w:ascii="Arial" w:cs="Arial" w:eastAsia="Arial" w:hAnsi="Arial"/>
                <w:sz w:val="16"/>
                <w:szCs w:val="16"/>
                <w:color w:val="auto"/>
              </w:rPr>
              <w:t>Aircraft fuel and</w:t>
            </w: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240"/>
              <w:spacing w:after="0"/>
              <w:rPr>
                <w:sz w:val="20"/>
                <w:szCs w:val="20"/>
                <w:color w:val="auto"/>
              </w:rPr>
            </w:pPr>
            <w:r>
              <w:rPr>
                <w:rFonts w:ascii="Arial" w:cs="Arial" w:eastAsia="Arial" w:hAnsi="Arial"/>
                <w:sz w:val="16"/>
                <w:szCs w:val="16"/>
                <w:color w:val="auto"/>
              </w:rPr>
              <w:t>related taxes</w:t>
            </w:r>
          </w:p>
        </w:tc>
        <w:tc>
          <w:tcPr>
            <w:tcW w:w="28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3,768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1840" w:type="dxa"/>
            <w:vAlign w:val="bottom"/>
          </w:tcPr>
          <w:p>
            <w:pPr>
              <w:ind w:left="240"/>
              <w:spacing w:after="0"/>
              <w:rPr>
                <w:sz w:val="20"/>
                <w:szCs w:val="20"/>
                <w:color w:val="auto"/>
              </w:rPr>
            </w:pPr>
            <w:r>
              <w:rPr>
                <w:rFonts w:ascii="Arial" w:cs="Arial" w:eastAsia="Arial" w:hAnsi="Arial"/>
                <w:sz w:val="16"/>
                <w:szCs w:val="16"/>
                <w:color w:val="auto"/>
              </w:rPr>
              <w:t>Salaries, wages and</w:t>
            </w: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240"/>
              <w:spacing w:after="0"/>
              <w:rPr>
                <w:sz w:val="20"/>
                <w:szCs w:val="20"/>
                <w:color w:val="auto"/>
              </w:rPr>
            </w:pPr>
            <w:r>
              <w:rPr>
                <w:rFonts w:ascii="Arial" w:cs="Arial" w:eastAsia="Arial" w:hAnsi="Arial"/>
                <w:sz w:val="16"/>
                <w:szCs w:val="16"/>
                <w:color w:val="auto"/>
              </w:rPr>
              <w:t>benefits</w:t>
            </w:r>
          </w:p>
        </w:tc>
        <w:tc>
          <w:tcPr>
            <w:tcW w:w="28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2,839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840" w:type="dxa"/>
            <w:vAlign w:val="bottom"/>
          </w:tcPr>
          <w:p>
            <w:pPr>
              <w:ind w:left="240"/>
              <w:spacing w:after="0"/>
              <w:rPr>
                <w:sz w:val="20"/>
                <w:szCs w:val="20"/>
                <w:color w:val="auto"/>
              </w:rPr>
            </w:pPr>
            <w:r>
              <w:rPr>
                <w:rFonts w:ascii="Arial" w:cs="Arial" w:eastAsia="Arial" w:hAnsi="Arial"/>
                <w:sz w:val="16"/>
                <w:szCs w:val="16"/>
                <w:color w:val="auto"/>
              </w:rPr>
              <w:t>Regional expenses</w:t>
            </w:r>
          </w:p>
        </w:tc>
        <w:tc>
          <w:tcPr>
            <w:tcW w:w="280" w:type="dxa"/>
            <w:vAlign w:val="bottom"/>
          </w:tcPr>
          <w:p>
            <w:pPr>
              <w:spacing w:after="0"/>
              <w:rPr>
                <w:sz w:val="23"/>
                <w:szCs w:val="23"/>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1,562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1840" w:type="dxa"/>
            <w:vAlign w:val="bottom"/>
          </w:tcPr>
          <w:p>
            <w:pPr>
              <w:ind w:left="240"/>
              <w:spacing w:after="0"/>
              <w:rPr>
                <w:sz w:val="20"/>
                <w:szCs w:val="20"/>
                <w:color w:val="auto"/>
              </w:rPr>
            </w:pPr>
            <w:r>
              <w:rPr>
                <w:rFonts w:ascii="Arial" w:cs="Arial" w:eastAsia="Arial" w:hAnsi="Arial"/>
                <w:sz w:val="16"/>
                <w:szCs w:val="16"/>
                <w:color w:val="auto"/>
              </w:rPr>
              <w:t>Maintenance,</w:t>
            </w: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240"/>
              <w:spacing w:after="0"/>
              <w:rPr>
                <w:sz w:val="20"/>
                <w:szCs w:val="20"/>
                <w:color w:val="auto"/>
              </w:rPr>
            </w:pPr>
            <w:r>
              <w:rPr>
                <w:rFonts w:ascii="Arial" w:cs="Arial" w:eastAsia="Arial" w:hAnsi="Arial"/>
                <w:sz w:val="16"/>
                <w:szCs w:val="16"/>
                <w:color w:val="auto"/>
              </w:rPr>
              <w:t>materials and repairs</w:t>
            </w:r>
          </w:p>
        </w:tc>
        <w:tc>
          <w:tcPr>
            <w:tcW w:w="28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678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1840" w:type="dxa"/>
            <w:vAlign w:val="bottom"/>
          </w:tcPr>
          <w:p>
            <w:pPr>
              <w:ind w:left="240"/>
              <w:spacing w:after="0"/>
              <w:rPr>
                <w:sz w:val="20"/>
                <w:szCs w:val="20"/>
                <w:color w:val="auto"/>
              </w:rPr>
            </w:pPr>
            <w:r>
              <w:rPr>
                <w:rFonts w:ascii="Arial" w:cs="Arial" w:eastAsia="Arial" w:hAnsi="Arial"/>
                <w:sz w:val="16"/>
                <w:szCs w:val="16"/>
                <w:color w:val="auto"/>
                <w:w w:val="99"/>
              </w:rPr>
              <w:t>Other rent and landing</w:t>
            </w: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240"/>
              <w:spacing w:after="0"/>
              <w:rPr>
                <w:sz w:val="20"/>
                <w:szCs w:val="20"/>
                <w:color w:val="auto"/>
              </w:rPr>
            </w:pPr>
            <w:r>
              <w:rPr>
                <w:rFonts w:ascii="Arial" w:cs="Arial" w:eastAsia="Arial" w:hAnsi="Arial"/>
                <w:sz w:val="16"/>
                <w:szCs w:val="16"/>
                <w:color w:val="auto"/>
              </w:rPr>
              <w:t>fees</w:t>
            </w:r>
          </w:p>
        </w:tc>
        <w:tc>
          <w:tcPr>
            <w:tcW w:w="28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574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840" w:type="dxa"/>
            <w:vAlign w:val="bottom"/>
          </w:tcPr>
          <w:p>
            <w:pPr>
              <w:ind w:left="240"/>
              <w:spacing w:after="0"/>
              <w:rPr>
                <w:sz w:val="20"/>
                <w:szCs w:val="20"/>
                <w:color w:val="auto"/>
              </w:rPr>
            </w:pPr>
            <w:r>
              <w:rPr>
                <w:rFonts w:ascii="Arial" w:cs="Arial" w:eastAsia="Arial" w:hAnsi="Arial"/>
                <w:sz w:val="16"/>
                <w:szCs w:val="16"/>
                <w:color w:val="auto"/>
              </w:rPr>
              <w:t>Aircraft rent</w:t>
            </w:r>
          </w:p>
        </w:tc>
        <w:tc>
          <w:tcPr>
            <w:tcW w:w="280" w:type="dxa"/>
            <w:vAlign w:val="bottom"/>
          </w:tcPr>
          <w:p>
            <w:pPr>
              <w:spacing w:after="0"/>
              <w:rPr>
                <w:sz w:val="23"/>
                <w:szCs w:val="23"/>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840" w:type="dxa"/>
            <w:vAlign w:val="bottom"/>
          </w:tcPr>
          <w:p>
            <w:pPr>
              <w:ind w:left="240"/>
              <w:spacing w:after="0"/>
              <w:rPr>
                <w:sz w:val="20"/>
                <w:szCs w:val="20"/>
                <w:color w:val="auto"/>
              </w:rPr>
            </w:pPr>
            <w:r>
              <w:rPr>
                <w:rFonts w:ascii="Arial" w:cs="Arial" w:eastAsia="Arial" w:hAnsi="Arial"/>
                <w:sz w:val="16"/>
                <w:szCs w:val="16"/>
                <w:color w:val="auto"/>
              </w:rPr>
              <w:t>Selling expenses</w:t>
            </w:r>
          </w:p>
        </w:tc>
        <w:tc>
          <w:tcPr>
            <w:tcW w:w="280" w:type="dxa"/>
            <w:vAlign w:val="bottom"/>
          </w:tcPr>
          <w:p>
            <w:pPr>
              <w:spacing w:after="0"/>
              <w:rPr>
                <w:sz w:val="23"/>
                <w:szCs w:val="23"/>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566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1840" w:type="dxa"/>
            <w:vAlign w:val="bottom"/>
          </w:tcPr>
          <w:p>
            <w:pPr>
              <w:ind w:left="240"/>
              <w:spacing w:after="0"/>
              <w:rPr>
                <w:sz w:val="20"/>
                <w:szCs w:val="20"/>
                <w:color w:val="auto"/>
              </w:rPr>
            </w:pPr>
            <w:r>
              <w:rPr>
                <w:rFonts w:ascii="Arial" w:cs="Arial" w:eastAsia="Arial" w:hAnsi="Arial"/>
                <w:sz w:val="16"/>
                <w:szCs w:val="16"/>
                <w:color w:val="auto"/>
              </w:rPr>
              <w:t>Depreciation and</w:t>
            </w: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240"/>
              <w:spacing w:after="0"/>
              <w:rPr>
                <w:sz w:val="20"/>
                <w:szCs w:val="20"/>
                <w:color w:val="auto"/>
              </w:rPr>
            </w:pPr>
            <w:r>
              <w:rPr>
                <w:rFonts w:ascii="Arial" w:cs="Arial" w:eastAsia="Arial" w:hAnsi="Arial"/>
                <w:sz w:val="16"/>
                <w:szCs w:val="16"/>
                <w:color w:val="auto"/>
              </w:rPr>
              <w:t>amortization</w:t>
            </w:r>
          </w:p>
        </w:tc>
        <w:tc>
          <w:tcPr>
            <w:tcW w:w="28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840" w:type="dxa"/>
            <w:vAlign w:val="bottom"/>
          </w:tcPr>
          <w:p>
            <w:pPr>
              <w:ind w:left="240"/>
              <w:spacing w:after="0"/>
              <w:rPr>
                <w:sz w:val="20"/>
                <w:szCs w:val="20"/>
                <w:color w:val="auto"/>
              </w:rPr>
            </w:pPr>
            <w:r>
              <w:rPr>
                <w:rFonts w:ascii="Arial" w:cs="Arial" w:eastAsia="Arial" w:hAnsi="Arial"/>
                <w:sz w:val="16"/>
                <w:szCs w:val="16"/>
                <w:color w:val="auto"/>
              </w:rPr>
              <w:t>Special items, net</w:t>
            </w:r>
          </w:p>
        </w:tc>
        <w:tc>
          <w:tcPr>
            <w:tcW w:w="280" w:type="dxa"/>
            <w:vAlign w:val="bottom"/>
          </w:tcPr>
          <w:p>
            <w:pPr>
              <w:spacing w:after="0"/>
              <w:rPr>
                <w:sz w:val="23"/>
                <w:szCs w:val="23"/>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1840" w:type="dxa"/>
            <w:vAlign w:val="bottom"/>
          </w:tcPr>
          <w:p>
            <w:pPr>
              <w:ind w:left="24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23"/>
                <w:szCs w:val="23"/>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1,512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840" w:type="dxa"/>
            <w:vAlign w:val="bottom"/>
            <w:vMerge w:val="restart"/>
          </w:tcPr>
          <w:p>
            <w:pPr>
              <w:ind w:left="240"/>
              <w:spacing w:after="0"/>
              <w:rPr>
                <w:sz w:val="20"/>
                <w:szCs w:val="20"/>
                <w:color w:val="auto"/>
              </w:rPr>
            </w:pPr>
            <w:r>
              <w:rPr>
                <w:rFonts w:ascii="Arial" w:cs="Arial" w:eastAsia="Arial" w:hAnsi="Arial"/>
                <w:sz w:val="16"/>
                <w:szCs w:val="16"/>
                <w:color w:val="auto"/>
              </w:rPr>
              <w:t>Total operating</w:t>
            </w: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8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240"/>
              <w:spacing w:after="0"/>
              <w:rPr>
                <w:sz w:val="20"/>
                <w:szCs w:val="20"/>
                <w:color w:val="auto"/>
              </w:rPr>
            </w:pPr>
            <w:r>
              <w:rPr>
                <w:rFonts w:ascii="Arial" w:cs="Arial" w:eastAsia="Arial" w:hAnsi="Arial"/>
                <w:sz w:val="16"/>
                <w:szCs w:val="16"/>
                <w:color w:val="auto"/>
              </w:rPr>
              <w:t>expenses</w:t>
            </w:r>
          </w:p>
        </w:tc>
        <w:tc>
          <w:tcPr>
            <w:tcW w:w="280" w:type="dxa"/>
            <w:vAlign w:val="bottom"/>
          </w:tcPr>
          <w:p>
            <w:pPr>
              <w:spacing w:after="0"/>
              <w:rPr>
                <w:sz w:val="17"/>
                <w:szCs w:val="17"/>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12,326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840" w:type="dxa"/>
            <w:vAlign w:val="bottom"/>
            <w:vMerge w:val="restart"/>
          </w:tcPr>
          <w:p>
            <w:pPr>
              <w:spacing w:after="0"/>
              <w:rPr>
                <w:sz w:val="20"/>
                <w:szCs w:val="20"/>
                <w:color w:val="auto"/>
              </w:rPr>
            </w:pPr>
            <w:r>
              <w:rPr>
                <w:rFonts w:ascii="Arial" w:cs="Arial" w:eastAsia="Arial" w:hAnsi="Arial"/>
                <w:sz w:val="16"/>
                <w:szCs w:val="16"/>
                <w:b w:val="1"/>
                <w:bCs w:val="1"/>
                <w:color w:val="auto"/>
                <w:w w:val="99"/>
              </w:rPr>
              <w:t>Operating income (loss)</w:t>
            </w: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8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9"/>
        </w:trPr>
        <w:tc>
          <w:tcPr>
            <w:tcW w:w="1840" w:type="dxa"/>
            <w:vAlign w:val="bottom"/>
          </w:tcPr>
          <w:p>
            <w:pPr>
              <w:spacing w:after="0"/>
              <w:rPr>
                <w:sz w:val="20"/>
                <w:szCs w:val="20"/>
                <w:color w:val="auto"/>
              </w:rPr>
            </w:pPr>
            <w:r>
              <w:rPr>
                <w:rFonts w:ascii="Arial" w:cs="Arial" w:eastAsia="Arial" w:hAnsi="Arial"/>
                <w:sz w:val="16"/>
                <w:szCs w:val="16"/>
                <w:b w:val="1"/>
                <w:bCs w:val="1"/>
                <w:color w:val="auto"/>
              </w:rPr>
              <w:t>Nonoperating income</w:t>
            </w: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840" w:type="dxa"/>
            <w:vAlign w:val="bottom"/>
          </w:tcPr>
          <w:p>
            <w:pPr>
              <w:spacing w:after="0"/>
              <w:rPr>
                <w:sz w:val="20"/>
                <w:szCs w:val="20"/>
                <w:color w:val="auto"/>
              </w:rPr>
            </w:pPr>
            <w:r>
              <w:rPr>
                <w:rFonts w:ascii="Arial" w:cs="Arial" w:eastAsia="Arial" w:hAnsi="Arial"/>
                <w:sz w:val="16"/>
                <w:szCs w:val="16"/>
                <w:b w:val="1"/>
                <w:bCs w:val="1"/>
                <w:color w:val="auto"/>
              </w:rPr>
              <w:t>(expense)</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840" w:type="dxa"/>
            <w:vAlign w:val="bottom"/>
          </w:tcPr>
          <w:p>
            <w:pPr>
              <w:ind w:left="240"/>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23"/>
                <w:szCs w:val="23"/>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1840" w:type="dxa"/>
            <w:vAlign w:val="bottom"/>
          </w:tcPr>
          <w:p>
            <w:pPr>
              <w:ind w:left="240"/>
              <w:spacing w:after="0"/>
              <w:rPr>
                <w:sz w:val="20"/>
                <w:szCs w:val="20"/>
                <w:color w:val="auto"/>
              </w:rPr>
            </w:pPr>
            <w:r>
              <w:rPr>
                <w:rFonts w:ascii="Arial" w:cs="Arial" w:eastAsia="Arial" w:hAnsi="Arial"/>
                <w:sz w:val="16"/>
                <w:szCs w:val="16"/>
                <w:color w:val="auto"/>
              </w:rPr>
              <w:t>Interest expense, net</w:t>
            </w:r>
          </w:p>
        </w:tc>
        <w:tc>
          <w:tcPr>
            <w:tcW w:w="280" w:type="dxa"/>
            <w:vAlign w:val="bottom"/>
          </w:tcPr>
          <w:p>
            <w:pPr>
              <w:spacing w:after="0"/>
              <w:rPr>
                <w:sz w:val="23"/>
                <w:szCs w:val="23"/>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53"/>
        </w:trPr>
        <w:tc>
          <w:tcPr>
            <w:tcW w:w="1840" w:type="dxa"/>
            <w:vAlign w:val="bottom"/>
          </w:tcPr>
          <w:p>
            <w:pPr>
              <w:ind w:left="240"/>
              <w:spacing w:after="0"/>
              <w:rPr>
                <w:sz w:val="20"/>
                <w:szCs w:val="20"/>
                <w:color w:val="auto"/>
              </w:rPr>
            </w:pPr>
            <w:r>
              <w:rPr>
                <w:rFonts w:ascii="Arial" w:cs="Arial" w:eastAsia="Arial" w:hAnsi="Arial"/>
                <w:sz w:val="16"/>
                <w:szCs w:val="16"/>
                <w:color w:val="auto"/>
              </w:rPr>
              <w:t>Equity in earnings of</w:t>
            </w: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240"/>
              <w:spacing w:after="0"/>
              <w:rPr>
                <w:sz w:val="20"/>
                <w:szCs w:val="20"/>
                <w:color w:val="auto"/>
              </w:rPr>
            </w:pPr>
            <w:r>
              <w:rPr>
                <w:rFonts w:ascii="Arial" w:cs="Arial" w:eastAsia="Arial" w:hAnsi="Arial"/>
                <w:sz w:val="16"/>
                <w:szCs w:val="16"/>
                <w:color w:val="auto"/>
              </w:rPr>
              <w:t>subsidiaries</w:t>
            </w:r>
          </w:p>
        </w:tc>
        <w:tc>
          <w:tcPr>
            <w:tcW w:w="280" w:type="dxa"/>
            <w:vAlign w:val="bottom"/>
          </w:tcPr>
          <w:p>
            <w:pPr>
              <w:spacing w:after="0"/>
              <w:rPr>
                <w:sz w:val="17"/>
                <w:szCs w:val="17"/>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1,314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r>
        <w:trPr>
          <w:trHeight w:val="270"/>
        </w:trPr>
        <w:tc>
          <w:tcPr>
            <w:tcW w:w="1840" w:type="dxa"/>
            <w:vAlign w:val="bottom"/>
          </w:tcPr>
          <w:p>
            <w:pPr>
              <w:ind w:left="240"/>
              <w:spacing w:after="0"/>
              <w:rPr>
                <w:sz w:val="20"/>
                <w:szCs w:val="20"/>
                <w:color w:val="auto"/>
              </w:rPr>
            </w:pPr>
            <w:r>
              <w:rPr>
                <w:rFonts w:ascii="Arial" w:cs="Arial" w:eastAsia="Arial" w:hAnsi="Arial"/>
                <w:sz w:val="16"/>
                <w:szCs w:val="16"/>
                <w:color w:val="auto"/>
              </w:rPr>
              <w:t>Other, net</w:t>
            </w:r>
          </w:p>
        </w:tc>
        <w:tc>
          <w:tcPr>
            <w:tcW w:w="280" w:type="dxa"/>
            <w:vAlign w:val="bottom"/>
          </w:tcPr>
          <w:p>
            <w:pPr>
              <w:spacing w:after="0"/>
              <w:rPr>
                <w:sz w:val="23"/>
                <w:szCs w:val="23"/>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3"/>
        </w:trPr>
        <w:tc>
          <w:tcPr>
            <w:tcW w:w="1840" w:type="dxa"/>
            <w:vAlign w:val="bottom"/>
            <w:vMerge w:val="restart"/>
          </w:tcPr>
          <w:p>
            <w:pPr>
              <w:ind w:left="240"/>
              <w:spacing w:after="0"/>
              <w:rPr>
                <w:sz w:val="20"/>
                <w:szCs w:val="20"/>
                <w:color w:val="auto"/>
              </w:rPr>
            </w:pPr>
            <w:r>
              <w:rPr>
                <w:rFonts w:ascii="Arial" w:cs="Arial" w:eastAsia="Arial" w:hAnsi="Arial"/>
                <w:sz w:val="16"/>
                <w:szCs w:val="16"/>
                <w:color w:val="auto"/>
              </w:rPr>
              <w:t>Total nonoperating</w:t>
            </w: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8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240"/>
              <w:spacing w:after="0"/>
              <w:rPr>
                <w:sz w:val="20"/>
                <w:szCs w:val="20"/>
                <w:color w:val="auto"/>
              </w:rPr>
            </w:pPr>
            <w:r>
              <w:rPr>
                <w:rFonts w:ascii="Arial" w:cs="Arial" w:eastAsia="Arial" w:hAnsi="Arial"/>
                <w:sz w:val="16"/>
                <w:szCs w:val="16"/>
                <w:color w:val="auto"/>
                <w:w w:val="99"/>
              </w:rPr>
              <w:t>income (expense), net</w:t>
            </w:r>
          </w:p>
        </w:tc>
        <w:tc>
          <w:tcPr>
            <w:tcW w:w="280" w:type="dxa"/>
            <w:vAlign w:val="bottom"/>
          </w:tcPr>
          <w:p>
            <w:pPr>
              <w:spacing w:after="0"/>
              <w:rPr>
                <w:sz w:val="17"/>
                <w:szCs w:val="17"/>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1,314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33"/>
        </w:trPr>
        <w:tc>
          <w:tcPr>
            <w:tcW w:w="1840" w:type="dxa"/>
            <w:vAlign w:val="bottom"/>
            <w:vMerge w:val="restart"/>
          </w:tcPr>
          <w:p>
            <w:pPr>
              <w:spacing w:after="0"/>
              <w:rPr>
                <w:sz w:val="20"/>
                <w:szCs w:val="20"/>
                <w:color w:val="auto"/>
              </w:rPr>
            </w:pPr>
            <w:r>
              <w:rPr>
                <w:rFonts w:ascii="Arial" w:cs="Arial" w:eastAsia="Arial" w:hAnsi="Arial"/>
                <w:sz w:val="16"/>
                <w:szCs w:val="16"/>
                <w:b w:val="1"/>
                <w:bCs w:val="1"/>
                <w:color w:val="auto"/>
              </w:rPr>
              <w:t>Income (loss) before</w:t>
            </w: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8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40" w:type="dxa"/>
            <w:vAlign w:val="bottom"/>
          </w:tcPr>
          <w:p>
            <w:pPr>
              <w:spacing w:after="0"/>
              <w:rPr>
                <w:sz w:val="20"/>
                <w:szCs w:val="20"/>
                <w:color w:val="auto"/>
              </w:rPr>
            </w:pPr>
            <w:r>
              <w:rPr>
                <w:rFonts w:ascii="Arial" w:cs="Arial" w:eastAsia="Arial" w:hAnsi="Arial"/>
                <w:sz w:val="16"/>
                <w:szCs w:val="16"/>
                <w:b w:val="1"/>
                <w:bCs w:val="1"/>
                <w:color w:val="auto"/>
              </w:rPr>
              <w:t>income taxes</w:t>
            </w:r>
          </w:p>
        </w:tc>
        <w:tc>
          <w:tcPr>
            <w:tcW w:w="28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1,288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1,013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253"/>
        </w:trPr>
        <w:tc>
          <w:tcPr>
            <w:tcW w:w="1840" w:type="dxa"/>
            <w:vAlign w:val="bottom"/>
          </w:tcPr>
          <w:p>
            <w:pPr>
              <w:ind w:left="240"/>
              <w:spacing w:after="0"/>
              <w:rPr>
                <w:sz w:val="20"/>
                <w:szCs w:val="20"/>
                <w:color w:val="auto"/>
              </w:rPr>
            </w:pPr>
            <w:r>
              <w:rPr>
                <w:rFonts w:ascii="Arial" w:cs="Arial" w:eastAsia="Arial" w:hAnsi="Arial"/>
                <w:sz w:val="16"/>
                <w:szCs w:val="16"/>
                <w:color w:val="auto"/>
              </w:rPr>
              <w:t>Income tax provision</w:t>
            </w: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840" w:type="dxa"/>
            <w:vAlign w:val="bottom"/>
          </w:tcPr>
          <w:p>
            <w:pPr>
              <w:ind w:left="240"/>
              <w:spacing w:after="0"/>
              <w:rPr>
                <w:sz w:val="20"/>
                <w:szCs w:val="20"/>
                <w:color w:val="auto"/>
              </w:rPr>
            </w:pPr>
            <w:r>
              <w:rPr>
                <w:rFonts w:ascii="Arial" w:cs="Arial" w:eastAsia="Arial" w:hAnsi="Arial"/>
                <w:sz w:val="16"/>
                <w:szCs w:val="16"/>
                <w:color w:val="auto"/>
              </w:rPr>
              <w:t>(benefit)</w:t>
            </w:r>
          </w:p>
        </w:tc>
        <w:tc>
          <w:tcPr>
            <w:tcW w:w="280" w:type="dxa"/>
            <w:vAlign w:val="bottom"/>
          </w:tcPr>
          <w:p>
            <w:pPr>
              <w:spacing w:after="0"/>
              <w:rPr>
                <w:sz w:val="17"/>
                <w:szCs w:val="17"/>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840" w:type="dxa"/>
            <w:vAlign w:val="bottom"/>
            <w:vMerge w:val="restart"/>
          </w:tcPr>
          <w:p>
            <w:pPr>
              <w:spacing w:after="0"/>
              <w:rPr>
                <w:sz w:val="20"/>
                <w:szCs w:val="20"/>
                <w:color w:val="auto"/>
              </w:rPr>
            </w:pPr>
            <w:r>
              <w:rPr>
                <w:rFonts w:ascii="Arial" w:cs="Arial" w:eastAsia="Arial" w:hAnsi="Arial"/>
                <w:sz w:val="16"/>
                <w:szCs w:val="16"/>
                <w:b w:val="1"/>
                <w:bCs w:val="1"/>
                <w:color w:val="auto"/>
              </w:rPr>
              <w:t>Net income (loss)</w:t>
            </w: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840" w:type="dxa"/>
            <w:vAlign w:val="bottom"/>
            <w:vMerge w:val="continue"/>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1,290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666</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-5925185</wp:posOffset>
            </wp:positionV>
            <wp:extent cx="578040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804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-5582285</wp:posOffset>
            </wp:positionV>
            <wp:extent cx="578040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804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-5119370</wp:posOffset>
            </wp:positionV>
            <wp:extent cx="578040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804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-4655820</wp:posOffset>
            </wp:positionV>
            <wp:extent cx="5780405" cy="291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80405"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-4192905</wp:posOffset>
            </wp:positionV>
            <wp:extent cx="5780405" cy="291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80405"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-3609975</wp:posOffset>
            </wp:positionV>
            <wp:extent cx="578040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804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-3266440</wp:posOffset>
            </wp:positionV>
            <wp:extent cx="5780405" cy="291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80405"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-2803525</wp:posOffset>
            </wp:positionV>
            <wp:extent cx="578040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804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-2340610</wp:posOffset>
            </wp:positionV>
            <wp:extent cx="578040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804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-1877695</wp:posOffset>
            </wp:positionV>
            <wp:extent cx="578040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8040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-1534160</wp:posOffset>
            </wp:positionV>
            <wp:extent cx="5780405" cy="291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80405"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-1071245</wp:posOffset>
            </wp:positionV>
            <wp:extent cx="5780405" cy="291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80405"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5780405" cy="2914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80405"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5,213</w:t>
            </w:r>
          </w:p>
        </w:tc>
        <w:tc>
          <w:tcPr>
            <w:tcW w:w="12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15,471</w:t>
            </w:r>
          </w:p>
        </w:tc>
      </w:tr>
      <w:tr>
        <w:trPr>
          <w:trHeight w:val="270"/>
        </w:trPr>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1,659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3,114</w:t>
            </w:r>
          </w:p>
        </w:tc>
      </w:tr>
      <w:tr>
        <w:trPr>
          <w:trHeight w:val="270"/>
        </w:trPr>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428</w:t>
            </w:r>
          </w:p>
        </w:tc>
      </w:tr>
      <w:tr>
        <w:trPr>
          <w:trHeight w:val="270"/>
        </w:trPr>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826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1,488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(1,539)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2,338</w:t>
            </w:r>
          </w:p>
        </w:tc>
      </w:tr>
      <w:tr>
        <w:trPr>
          <w:trHeight w:val="33"/>
        </w:trPr>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406"/>
        </w:trPr>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7,780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1,488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(1,539)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21,351</w:t>
            </w:r>
          </w:p>
        </w:tc>
      </w:tr>
      <w:tr>
        <w:trPr>
          <w:trHeight w:val="729"/>
        </w:trPr>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1,773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5,541</w:t>
            </w:r>
          </w:p>
        </w:tc>
      </w:tr>
      <w:tr>
        <w:trPr>
          <w:trHeight w:val="459"/>
        </w:trPr>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1,439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4,282</w:t>
            </w:r>
          </w:p>
        </w:tc>
      </w:tr>
      <w:tr>
        <w:trPr>
          <w:trHeight w:val="270"/>
        </w:trPr>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1,696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3,251</w:t>
            </w:r>
          </w:p>
        </w:tc>
      </w:tr>
      <w:tr>
        <w:trPr>
          <w:trHeight w:val="459"/>
        </w:trPr>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999</w:t>
            </w:r>
          </w:p>
        </w:tc>
      </w:tr>
      <w:tr>
        <w:trPr>
          <w:trHeight w:val="459"/>
        </w:trPr>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866</w:t>
            </w:r>
          </w:p>
        </w:tc>
      </w:tr>
      <w:tr>
        <w:trPr>
          <w:trHeight w:val="270"/>
        </w:trPr>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631</w:t>
            </w:r>
          </w:p>
        </w:tc>
      </w:tr>
      <w:tr>
        <w:trPr>
          <w:trHeight w:val="270"/>
        </w:trPr>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804</w:t>
            </w:r>
          </w:p>
        </w:tc>
      </w:tr>
      <w:tr>
        <w:trPr>
          <w:trHeight w:val="459"/>
        </w:trPr>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626</w:t>
            </w:r>
          </w:p>
        </w:tc>
      </w:tr>
      <w:tr>
        <w:trPr>
          <w:trHeight w:val="270"/>
        </w:trPr>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114</w:t>
            </w:r>
          </w:p>
        </w:tc>
      </w:tr>
      <w:tr>
        <w:trPr>
          <w:trHeight w:val="270"/>
        </w:trPr>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626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857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(891)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2,108</w:t>
            </w:r>
          </w:p>
        </w:tc>
      </w:tr>
      <w:tr>
        <w:trPr>
          <w:trHeight w:val="33"/>
        </w:trPr>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406"/>
        </w:trPr>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6,914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1,495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(1,539)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19,222</w:t>
            </w:r>
          </w:p>
        </w:tc>
      </w:tr>
      <w:tr>
        <w:trPr>
          <w:trHeight w:val="33"/>
        </w:trPr>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7"/>
        </w:trPr>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2,129</w:t>
            </w:r>
          </w:p>
        </w:tc>
      </w:tr>
      <w:tr>
        <w:trPr>
          <w:trHeight w:val="729"/>
        </w:trPr>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270"/>
        </w:trPr>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(457)</w:t>
            </w:r>
          </w:p>
        </w:tc>
      </w:tr>
      <w:tr>
        <w:trPr>
          <w:trHeight w:val="459"/>
        </w:trPr>
        <w:tc>
          <w:tcPr>
            <w:tcW w:w="200" w:type="dxa"/>
            <w:vAlign w:val="bottom"/>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(2,026)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33"/>
        </w:trPr>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406"/>
        </w:trPr>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(1,973)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(433)</w:t>
            </w:r>
          </w:p>
        </w:tc>
      </w:tr>
      <w:tr>
        <w:trPr>
          <w:trHeight w:val="33"/>
        </w:trPr>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406"/>
        </w:trPr>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733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(1,973)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1,696</w:t>
            </w:r>
          </w:p>
        </w:tc>
      </w:tr>
      <w:tr>
        <w:trPr>
          <w:trHeight w:val="459"/>
        </w:trPr>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353</w:t>
            </w:r>
          </w:p>
        </w:tc>
      </w:tr>
      <w:tr>
        <w:trPr>
          <w:trHeight w:val="33"/>
        </w:trPr>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7"/>
        </w:trPr>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731</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(1,973)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1,343</w:t>
            </w:r>
          </w:p>
        </w:tc>
      </w:tr>
      <w:tr>
        <w:trPr>
          <w:trHeight w:val="33"/>
        </w:trPr>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800" w:space="120"/>
            <w:col w:w="5299"/>
          </w:cols>
          <w:pgMar w:left="240" w:top="125" w:right="1440"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0219"/>
          </w:cols>
          <w:pgMar w:left="240" w:top="125" w:right="1440"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millions)(Unaudited)</w:t>
      </w:r>
    </w:p>
    <w:p>
      <w:pPr>
        <w:spacing w:after="0" w:line="175"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Three Months Ended June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34925</wp:posOffset>
            </wp:positionV>
            <wp:extent cx="46393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639310" cy="8890"/>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center"/>
              <w:ind w:right="40"/>
              <w:spacing w:after="0"/>
              <w:rPr>
                <w:sz w:val="20"/>
                <w:szCs w:val="20"/>
                <w:color w:val="auto"/>
              </w:rPr>
            </w:pPr>
            <w:r>
              <w:rPr>
                <w:rFonts w:ascii="Arial" w:cs="Arial" w:eastAsia="Arial" w:hAnsi="Arial"/>
                <w:sz w:val="15"/>
                <w:szCs w:val="15"/>
                <w:color w:val="auto"/>
                <w:w w:val="97"/>
              </w:rPr>
              <w:t>American</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center"/>
              <w:ind w:right="201"/>
              <w:spacing w:after="0"/>
              <w:rPr>
                <w:sz w:val="20"/>
                <w:szCs w:val="20"/>
                <w:color w:val="auto"/>
              </w:rPr>
            </w:pPr>
            <w:r>
              <w:rPr>
                <w:rFonts w:ascii="Arial" w:cs="Arial" w:eastAsia="Arial" w:hAnsi="Arial"/>
                <w:sz w:val="15"/>
                <w:szCs w:val="15"/>
                <w:color w:val="auto"/>
                <w:w w:val="95"/>
              </w:rPr>
              <w:t>US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center"/>
              <w:ind w:right="40"/>
              <w:spacing w:after="0" w:line="162" w:lineRule="exact"/>
              <w:rPr>
                <w:sz w:val="20"/>
                <w:szCs w:val="20"/>
                <w:color w:val="auto"/>
              </w:rPr>
            </w:pPr>
            <w:r>
              <w:rPr>
                <w:rFonts w:ascii="Arial" w:cs="Arial" w:eastAsia="Arial" w:hAnsi="Arial"/>
                <w:sz w:val="15"/>
                <w:szCs w:val="15"/>
                <w:color w:val="auto"/>
              </w:rPr>
              <w:t>Airlines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4"/>
          </w:tcPr>
          <w:p>
            <w:pPr>
              <w:jc w:val="center"/>
              <w:spacing w:after="0" w:line="162" w:lineRule="exact"/>
              <w:rPr>
                <w:sz w:val="20"/>
                <w:szCs w:val="20"/>
                <w:color w:val="auto"/>
              </w:rPr>
            </w:pPr>
            <w:r>
              <w:rPr>
                <w:rFonts w:ascii="Arial" w:cs="Arial" w:eastAsia="Arial" w:hAnsi="Arial"/>
                <w:sz w:val="15"/>
                <w:szCs w:val="15"/>
                <w:color w:val="auto"/>
                <w:w w:val="98"/>
              </w:rPr>
              <w:t>Airways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center"/>
              <w:ind w:right="40"/>
              <w:spacing w:after="0" w:line="162" w:lineRule="exact"/>
              <w:rPr>
                <w:sz w:val="20"/>
                <w:szCs w:val="20"/>
                <w:color w:val="auto"/>
              </w:rPr>
            </w:pPr>
            <w:r>
              <w:rPr>
                <w:rFonts w:ascii="Arial" w:cs="Arial" w:eastAsia="Arial" w:hAnsi="Arial"/>
                <w:sz w:val="15"/>
                <w:szCs w:val="15"/>
                <w:color w:val="auto"/>
                <w:w w:val="91"/>
              </w:rPr>
              <w:t>Group</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2"/>
          </w:tcPr>
          <w:p>
            <w:pPr>
              <w:jc w:val="center"/>
              <w:ind w:right="101"/>
              <w:spacing w:after="0" w:line="162" w:lineRule="exact"/>
              <w:rPr>
                <w:sz w:val="20"/>
                <w:szCs w:val="20"/>
                <w:color w:val="auto"/>
              </w:rPr>
            </w:pPr>
            <w:r>
              <w:rPr>
                <w:rFonts w:ascii="Arial" w:cs="Arial" w:eastAsia="Arial" w:hAnsi="Arial"/>
                <w:sz w:val="15"/>
                <w:szCs w:val="15"/>
                <w:color w:val="auto"/>
                <w:w w:val="91"/>
              </w:rPr>
              <w:t>Group</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60"/>
              <w:spacing w:after="0" w:line="162" w:lineRule="exact"/>
              <w:rPr>
                <w:sz w:val="20"/>
                <w:szCs w:val="20"/>
                <w:color w:val="auto"/>
              </w:rPr>
            </w:pPr>
            <w:r>
              <w:rPr>
                <w:rFonts w:ascii="Arial" w:cs="Arial" w:eastAsia="Arial" w:hAnsi="Arial"/>
                <w:sz w:val="15"/>
                <w:szCs w:val="15"/>
                <w:color w:val="auto"/>
                <w:w w:val="94"/>
              </w:rPr>
              <w:t>American</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center"/>
              <w:ind w:right="40"/>
              <w:spacing w:after="0" w:line="162" w:lineRule="exact"/>
              <w:rPr>
                <w:sz w:val="20"/>
                <w:szCs w:val="20"/>
                <w:color w:val="auto"/>
              </w:rPr>
            </w:pPr>
            <w:r>
              <w:rPr>
                <w:rFonts w:ascii="Arial" w:cs="Arial" w:eastAsia="Arial" w:hAnsi="Arial"/>
                <w:sz w:val="15"/>
                <w:szCs w:val="15"/>
                <w:color w:val="auto"/>
                <w:w w:val="93"/>
              </w:rPr>
              <w:t>(Parent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3"/>
          </w:tcPr>
          <w:p>
            <w:pPr>
              <w:jc w:val="center"/>
              <w:ind w:right="61"/>
              <w:spacing w:after="0" w:line="162" w:lineRule="exact"/>
              <w:rPr>
                <w:sz w:val="20"/>
                <w:szCs w:val="20"/>
                <w:color w:val="auto"/>
              </w:rPr>
            </w:pPr>
            <w:r>
              <w:rPr>
                <w:rFonts w:ascii="Arial" w:cs="Arial" w:eastAsia="Arial" w:hAnsi="Arial"/>
                <w:sz w:val="15"/>
                <w:szCs w:val="15"/>
                <w:color w:val="auto"/>
                <w:w w:val="89"/>
              </w:rPr>
              <w:t>(Parent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center"/>
              <w:ind w:right="480"/>
              <w:spacing w:after="0" w:line="162" w:lineRule="exact"/>
              <w:rPr>
                <w:sz w:val="20"/>
                <w:szCs w:val="20"/>
                <w:color w:val="auto"/>
              </w:rPr>
            </w:pPr>
            <w:r>
              <w:rPr>
                <w:rFonts w:ascii="Arial" w:cs="Arial" w:eastAsia="Arial" w:hAnsi="Arial"/>
                <w:sz w:val="15"/>
                <w:szCs w:val="15"/>
                <w:color w:val="auto"/>
                <w:w w:val="98"/>
              </w:rPr>
              <w:t>Non-</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40"/>
              <w:spacing w:after="0" w:line="162" w:lineRule="exact"/>
              <w:rPr>
                <w:sz w:val="20"/>
                <w:szCs w:val="20"/>
                <w:color w:val="auto"/>
              </w:rPr>
            </w:pPr>
            <w:r>
              <w:rPr>
                <w:rFonts w:ascii="Arial" w:cs="Arial" w:eastAsia="Arial" w:hAnsi="Arial"/>
                <w:sz w:val="15"/>
                <w:szCs w:val="15"/>
                <w:color w:val="auto"/>
              </w:rPr>
              <w:t>Airlines</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center"/>
              <w:ind w:right="40"/>
              <w:spacing w:after="0" w:line="162" w:lineRule="exact"/>
              <w:rPr>
                <w:sz w:val="20"/>
                <w:szCs w:val="20"/>
                <w:color w:val="auto"/>
              </w:rPr>
            </w:pPr>
            <w:r>
              <w:rPr>
                <w:rFonts w:ascii="Arial" w:cs="Arial" w:eastAsia="Arial" w:hAnsi="Arial"/>
                <w:sz w:val="15"/>
                <w:szCs w:val="15"/>
                <w:color w:val="auto"/>
                <w:w w:val="90"/>
              </w:rPr>
              <w:t>Company</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4"/>
          </w:tcPr>
          <w:p>
            <w:pPr>
              <w:jc w:val="center"/>
              <w:spacing w:after="0" w:line="162" w:lineRule="exact"/>
              <w:rPr>
                <w:sz w:val="20"/>
                <w:szCs w:val="20"/>
                <w:color w:val="auto"/>
              </w:rPr>
            </w:pPr>
            <w:r>
              <w:rPr>
                <w:rFonts w:ascii="Arial" w:cs="Arial" w:eastAsia="Arial" w:hAnsi="Arial"/>
                <w:sz w:val="15"/>
                <w:szCs w:val="15"/>
                <w:color w:val="auto"/>
                <w:w w:val="93"/>
              </w:rPr>
              <w:t>Company</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4"/>
          </w:tcPr>
          <w:p>
            <w:pPr>
              <w:ind w:left="20"/>
              <w:spacing w:after="0" w:line="162" w:lineRule="exact"/>
              <w:rPr>
                <w:sz w:val="20"/>
                <w:szCs w:val="20"/>
                <w:color w:val="auto"/>
              </w:rPr>
            </w:pPr>
            <w:r>
              <w:rPr>
                <w:rFonts w:ascii="Arial" w:cs="Arial" w:eastAsia="Arial" w:hAnsi="Arial"/>
                <w:sz w:val="15"/>
                <w:szCs w:val="15"/>
                <w:color w:val="auto"/>
              </w:rPr>
              <w:t>US</w:t>
            </w:r>
          </w:p>
        </w:tc>
        <w:tc>
          <w:tcPr>
            <w:tcW w:w="20" w:type="dxa"/>
            <w:vAlign w:val="bottom"/>
          </w:tcPr>
          <w:p>
            <w:pPr>
              <w:spacing w:after="0"/>
              <w:rPr>
                <w:sz w:val="14"/>
                <w:szCs w:val="14"/>
                <w:color w:val="auto"/>
              </w:rPr>
            </w:pPr>
          </w:p>
        </w:tc>
        <w:tc>
          <w:tcPr>
            <w:tcW w:w="1040" w:type="dxa"/>
            <w:vAlign w:val="bottom"/>
            <w:gridSpan w:val="5"/>
          </w:tcPr>
          <w:p>
            <w:pPr>
              <w:jc w:val="center"/>
              <w:ind w:right="220"/>
              <w:spacing w:after="0" w:line="162" w:lineRule="exact"/>
              <w:rPr>
                <w:sz w:val="20"/>
                <w:szCs w:val="20"/>
                <w:color w:val="auto"/>
              </w:rPr>
            </w:pPr>
            <w:r>
              <w:rPr>
                <w:rFonts w:ascii="Arial" w:cs="Arial" w:eastAsia="Arial" w:hAnsi="Arial"/>
                <w:sz w:val="15"/>
                <w:szCs w:val="15"/>
                <w:color w:val="auto"/>
                <w:w w:val="91"/>
              </w:rPr>
              <w:t>Guarantor</w:t>
            </w:r>
          </w:p>
        </w:tc>
        <w:tc>
          <w:tcPr>
            <w:tcW w:w="80" w:type="dxa"/>
            <w:vAlign w:val="bottom"/>
          </w:tcPr>
          <w:p>
            <w:pPr>
              <w:spacing w:after="0"/>
              <w:rPr>
                <w:sz w:val="14"/>
                <w:szCs w:val="14"/>
                <w:color w:val="auto"/>
              </w:rPr>
            </w:pPr>
          </w:p>
        </w:tc>
        <w:tc>
          <w:tcPr>
            <w:tcW w:w="1360" w:type="dxa"/>
            <w:vAlign w:val="bottom"/>
            <w:gridSpan w:val="4"/>
          </w:tcPr>
          <w:p>
            <w:pPr>
              <w:ind w:left="20"/>
              <w:spacing w:after="0" w:line="162" w:lineRule="exact"/>
              <w:rPr>
                <w:sz w:val="20"/>
                <w:szCs w:val="20"/>
                <w:color w:val="auto"/>
              </w:rPr>
            </w:pPr>
            <w:r>
              <w:rPr>
                <w:rFonts w:ascii="Arial" w:cs="Arial" w:eastAsia="Arial" w:hAnsi="Arial"/>
                <w:sz w:val="15"/>
                <w:szCs w:val="15"/>
                <w:color w:val="auto"/>
              </w:rPr>
              <w:t>Eliminations and</w:t>
            </w:r>
          </w:p>
        </w:tc>
        <w:tc>
          <w:tcPr>
            <w:tcW w:w="120" w:type="dxa"/>
            <w:vAlign w:val="bottom"/>
          </w:tcPr>
          <w:p>
            <w:pPr>
              <w:spacing w:after="0"/>
              <w:rPr>
                <w:sz w:val="14"/>
                <w:szCs w:val="14"/>
                <w:color w:val="auto"/>
              </w:rPr>
            </w:pPr>
          </w:p>
        </w:tc>
        <w:tc>
          <w:tcPr>
            <w:tcW w:w="860" w:type="dxa"/>
            <w:vAlign w:val="bottom"/>
          </w:tcPr>
          <w:p>
            <w:pPr>
              <w:jc w:val="center"/>
              <w:ind w:right="40"/>
              <w:spacing w:after="0" w:line="162" w:lineRule="exact"/>
              <w:rPr>
                <w:sz w:val="20"/>
                <w:szCs w:val="20"/>
                <w:color w:val="auto"/>
              </w:rPr>
            </w:pPr>
            <w:r>
              <w:rPr>
                <w:rFonts w:ascii="Arial" w:cs="Arial" w:eastAsia="Arial" w:hAnsi="Arial"/>
                <w:sz w:val="15"/>
                <w:szCs w:val="15"/>
                <w:color w:val="auto"/>
                <w:w w:val="94"/>
              </w:rPr>
              <w:t>Group Inc.</w:t>
            </w:r>
          </w:p>
        </w:tc>
        <w:tc>
          <w:tcPr>
            <w:tcW w:w="0" w:type="dxa"/>
            <w:vAlign w:val="bottom"/>
          </w:tcPr>
          <w:p>
            <w:pPr>
              <w:spacing w:after="0"/>
              <w:rPr>
                <w:sz w:val="1"/>
                <w:szCs w:val="1"/>
                <w:color w:val="auto"/>
              </w:rPr>
            </w:pPr>
          </w:p>
        </w:tc>
      </w:tr>
      <w:tr>
        <w:trPr>
          <w:trHeight w:val="198"/>
        </w:trPr>
        <w:tc>
          <w:tcPr>
            <w:tcW w:w="18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5"/>
                <w:szCs w:val="15"/>
                <w:color w:val="auto"/>
                <w:w w:val="94"/>
              </w:rPr>
              <w:t>Only)</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American</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center"/>
              <w:ind w:right="81"/>
              <w:spacing w:after="0"/>
              <w:rPr>
                <w:sz w:val="20"/>
                <w:szCs w:val="20"/>
                <w:color w:val="auto"/>
              </w:rPr>
            </w:pPr>
            <w:r>
              <w:rPr>
                <w:rFonts w:ascii="Arial" w:cs="Arial" w:eastAsia="Arial" w:hAnsi="Arial"/>
                <w:sz w:val="15"/>
                <w:szCs w:val="15"/>
                <w:color w:val="auto"/>
              </w:rPr>
              <w:t>Only)</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5"/>
                <w:szCs w:val="15"/>
                <w:color w:val="auto"/>
                <w:w w:val="95"/>
              </w:rPr>
              <w:t>Airways</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color w:val="auto"/>
                <w:w w:val="90"/>
              </w:rPr>
              <w:t>Subsidiaries</w:t>
            </w:r>
          </w:p>
        </w:tc>
        <w:tc>
          <w:tcPr>
            <w:tcW w:w="180" w:type="dxa"/>
            <w:vAlign w:val="bottom"/>
            <w:tcBorders>
              <w:bottom w:val="single" w:sz="8" w:color="CCEEFF"/>
            </w:tcBorders>
            <w:gridSpan w:val="2"/>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color w:val="auto"/>
              </w:rPr>
              <w:t>Reclassifications</w:t>
            </w:r>
          </w:p>
        </w:tc>
        <w:tc>
          <w:tcPr>
            <w:tcW w:w="200" w:type="dxa"/>
            <w:vAlign w:val="bottom"/>
            <w:tcBorders>
              <w:bottom w:val="single" w:sz="8" w:color="CCEEFF"/>
            </w:tcBorders>
            <w:gridSpan w:val="2"/>
          </w:tcPr>
          <w:p>
            <w:pPr>
              <w:spacing w:after="0"/>
              <w:rPr>
                <w:sz w:val="17"/>
                <w:szCs w:val="17"/>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color w:val="auto"/>
                <w:w w:val="91"/>
              </w:rPr>
              <w:t>Consolidated</w:t>
            </w:r>
          </w:p>
        </w:tc>
        <w:tc>
          <w:tcPr>
            <w:tcW w:w="0" w:type="dxa"/>
            <w:vAlign w:val="bottom"/>
          </w:tcPr>
          <w:p>
            <w:pPr>
              <w:spacing w:after="0"/>
              <w:rPr>
                <w:sz w:val="1"/>
                <w:szCs w:val="1"/>
                <w:color w:val="auto"/>
              </w:rPr>
            </w:pPr>
          </w:p>
        </w:tc>
      </w:tr>
      <w:tr>
        <w:trPr>
          <w:trHeight w:val="234"/>
        </w:trPr>
        <w:tc>
          <w:tcPr>
            <w:tcW w:w="1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868</w:t>
            </w:r>
          </w:p>
        </w:tc>
        <w:tc>
          <w:tcPr>
            <w:tcW w:w="360" w:type="dxa"/>
            <w:vAlign w:val="bottom"/>
            <w:tcBorders>
              <w:bottom w:val="single" w:sz="8" w:color="CCEEFF"/>
            </w:tcBorders>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283"/>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864</w:t>
            </w:r>
          </w:p>
        </w:tc>
        <w:tc>
          <w:tcPr>
            <w:tcW w:w="0" w:type="dxa"/>
            <w:vAlign w:val="bottom"/>
          </w:tcPr>
          <w:p>
            <w:pPr>
              <w:spacing w:after="0"/>
              <w:rPr>
                <w:sz w:val="1"/>
                <w:szCs w:val="1"/>
                <w:color w:val="auto"/>
              </w:rPr>
            </w:pPr>
          </w:p>
        </w:tc>
      </w:tr>
      <w:tr>
        <w:trPr>
          <w:trHeight w:val="216"/>
        </w:trPr>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comprehensive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rPr>
              <w:t>loss before tax:</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Defined benefit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pension plans and</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retiree medical</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20"/>
        </w:trPr>
        <w:tc>
          <w:tcPr>
            <w:tcW w:w="1820" w:type="dxa"/>
            <w:vAlign w:val="bottom"/>
            <w:gridSpan w:val="2"/>
          </w:tcPr>
          <w:p>
            <w:pPr>
              <w:ind w:left="280"/>
              <w:spacing w:after="0"/>
              <w:rPr>
                <w:sz w:val="20"/>
                <w:szCs w:val="20"/>
                <w:color w:val="auto"/>
              </w:rPr>
            </w:pPr>
            <w:r>
              <w:rPr>
                <w:rFonts w:ascii="Arial" w:cs="Arial" w:eastAsia="Arial" w:hAnsi="Arial"/>
                <w:sz w:val="16"/>
                <w:szCs w:val="16"/>
                <w:color w:val="auto"/>
              </w:rPr>
              <w:t>Derivative financial</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20" w:type="dxa"/>
            <w:vAlign w:val="bottom"/>
            <w:gridSpan w:val="2"/>
          </w:tcPr>
          <w:p>
            <w:pPr>
              <w:ind w:left="280"/>
              <w:spacing w:after="0"/>
              <w:rPr>
                <w:sz w:val="20"/>
                <w:szCs w:val="20"/>
                <w:color w:val="auto"/>
              </w:rPr>
            </w:pPr>
            <w:r>
              <w:rPr>
                <w:rFonts w:ascii="Arial" w:cs="Arial" w:eastAsia="Arial" w:hAnsi="Arial"/>
                <w:sz w:val="16"/>
                <w:szCs w:val="16"/>
                <w:color w:val="auto"/>
              </w:rPr>
              <w:t>instruments: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Change in fair</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8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value</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0"/>
        </w:trPr>
        <w:tc>
          <w:tcPr>
            <w:tcW w:w="1820" w:type="dxa"/>
            <w:vAlign w:val="bottom"/>
            <w:gridSpan w:val="2"/>
          </w:tcPr>
          <w:p>
            <w:pPr>
              <w:ind w:left="500"/>
              <w:spacing w:after="0"/>
              <w:rPr>
                <w:sz w:val="20"/>
                <w:szCs w:val="20"/>
                <w:color w:val="auto"/>
              </w:rPr>
            </w:pPr>
            <w:r>
              <w:rPr>
                <w:rFonts w:ascii="Arial" w:cs="Arial" w:eastAsia="Arial" w:hAnsi="Arial"/>
                <w:sz w:val="16"/>
                <w:szCs w:val="16"/>
                <w:color w:val="auto"/>
              </w:rPr>
              <w:t>Reclassification</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20" w:type="dxa"/>
            <w:vAlign w:val="bottom"/>
            <w:gridSpan w:val="2"/>
          </w:tcPr>
          <w:p>
            <w:pPr>
              <w:ind w:left="500"/>
              <w:spacing w:after="0"/>
              <w:rPr>
                <w:sz w:val="20"/>
                <w:szCs w:val="20"/>
                <w:color w:val="auto"/>
              </w:rPr>
            </w:pPr>
            <w:r>
              <w:rPr>
                <w:rFonts w:ascii="Arial" w:cs="Arial" w:eastAsia="Arial" w:hAnsi="Arial"/>
                <w:sz w:val="16"/>
                <w:szCs w:val="16"/>
                <w:color w:val="auto"/>
              </w:rPr>
              <w:t>into earnings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Net unrealized gain</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(loss) on</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investments:</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820" w:type="dxa"/>
            <w:vAlign w:val="bottom"/>
            <w:gridSpan w:val="2"/>
          </w:tcPr>
          <w:p>
            <w:pPr>
              <w:ind w:left="500"/>
              <w:spacing w:after="0"/>
              <w:rPr>
                <w:sz w:val="20"/>
                <w:szCs w:val="20"/>
                <w:color w:val="auto"/>
              </w:rPr>
            </w:pPr>
            <w:r>
              <w:rPr>
                <w:rFonts w:ascii="Arial" w:cs="Arial" w:eastAsia="Arial" w:hAnsi="Arial"/>
                <w:sz w:val="16"/>
                <w:szCs w:val="16"/>
                <w:color w:val="auto"/>
              </w:rPr>
              <w:t>Net change in</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20" w:type="dxa"/>
            <w:vAlign w:val="bottom"/>
            <w:gridSpan w:val="2"/>
          </w:tcPr>
          <w:p>
            <w:pPr>
              <w:ind w:left="500"/>
              <w:spacing w:after="0"/>
              <w:rPr>
                <w:sz w:val="20"/>
                <w:szCs w:val="20"/>
                <w:color w:val="auto"/>
              </w:rPr>
            </w:pPr>
            <w:r>
              <w:rPr>
                <w:rFonts w:ascii="Arial" w:cs="Arial" w:eastAsia="Arial" w:hAnsi="Arial"/>
                <w:sz w:val="16"/>
                <w:szCs w:val="16"/>
                <w:color w:val="auto"/>
              </w:rPr>
              <w:t>value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8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8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loss before tax</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20"/>
        </w:trPr>
        <w:tc>
          <w:tcPr>
            <w:tcW w:w="1820" w:type="dxa"/>
            <w:vAlign w:val="bottom"/>
            <w:gridSpan w:val="2"/>
          </w:tcPr>
          <w:p>
            <w:pPr>
              <w:ind w:left="260"/>
              <w:spacing w:after="0"/>
              <w:rPr>
                <w:sz w:val="20"/>
                <w:szCs w:val="20"/>
                <w:color w:val="auto"/>
              </w:rPr>
            </w:pPr>
            <w:r>
              <w:rPr>
                <w:rFonts w:ascii="Arial" w:cs="Arial" w:eastAsia="Arial" w:hAnsi="Arial"/>
                <w:sz w:val="16"/>
                <w:szCs w:val="16"/>
                <w:color w:val="auto"/>
              </w:rPr>
              <w:t>Reversal of non-cash</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20" w:type="dxa"/>
            <w:vAlign w:val="bottom"/>
            <w:gridSpan w:val="2"/>
          </w:tcPr>
          <w:p>
            <w:pPr>
              <w:ind w:left="180"/>
              <w:spacing w:after="0"/>
              <w:rPr>
                <w:sz w:val="20"/>
                <w:szCs w:val="20"/>
                <w:color w:val="auto"/>
              </w:rPr>
            </w:pPr>
            <w:r>
              <w:rPr>
                <w:rFonts w:ascii="Arial" w:cs="Arial" w:eastAsia="Arial" w:hAnsi="Arial"/>
                <w:sz w:val="16"/>
                <w:szCs w:val="16"/>
                <w:color w:val="auto"/>
              </w:rPr>
              <w:t>tax provision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328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33"/>
        </w:trPr>
        <w:tc>
          <w:tcPr>
            <w:tcW w:w="18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8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6"/>
              </w:rPr>
              <w:t>Comprehensive income</w:t>
            </w:r>
          </w:p>
        </w:tc>
        <w:tc>
          <w:tcPr>
            <w:tcW w:w="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870</w:t>
            </w:r>
          </w:p>
        </w:tc>
        <w:tc>
          <w:tcPr>
            <w:tcW w:w="360" w:type="dxa"/>
            <w:vAlign w:val="bottom"/>
            <w:gridSpan w:val="2"/>
            <w:vMerge w:val="restart"/>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36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gridSpan w:val="2"/>
            <w:vMerge w:val="restart"/>
            <w:shd w:val="clear" w:color="auto" w:fill="CCEEFF"/>
          </w:tcPr>
          <w:p>
            <w:pPr>
              <w:jc w:val="right"/>
              <w:ind w:right="283"/>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(1,461)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1,153</w:t>
            </w:r>
          </w:p>
        </w:tc>
        <w:tc>
          <w:tcPr>
            <w:tcW w:w="0" w:type="dxa"/>
            <w:vAlign w:val="bottom"/>
          </w:tcPr>
          <w:p>
            <w:pPr>
              <w:spacing w:after="0"/>
              <w:rPr>
                <w:sz w:val="1"/>
                <w:szCs w:val="1"/>
                <w:color w:val="auto"/>
              </w:rPr>
            </w:pPr>
          </w:p>
        </w:tc>
      </w:tr>
      <w:tr>
        <w:trPr>
          <w:trHeight w:val="223"/>
        </w:trPr>
        <w:tc>
          <w:tcPr>
            <w:tcW w:w="182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(loss)</w:t>
            </w:r>
          </w:p>
        </w:tc>
        <w:tc>
          <w:tcPr>
            <w:tcW w:w="1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360" w:type="dxa"/>
            <w:vAlign w:val="bottom"/>
            <w:gridSpan w:val="3"/>
            <w:vMerge w:val="continue"/>
            <w:shd w:val="clear" w:color="auto" w:fill="CCEEFF"/>
          </w:tcPr>
          <w:p>
            <w:pPr>
              <w:spacing w:after="0"/>
              <w:rPr>
                <w:sz w:val="19"/>
                <w:szCs w:val="19"/>
                <w:color w:val="auto"/>
              </w:rPr>
            </w:pPr>
          </w:p>
        </w:tc>
        <w:tc>
          <w:tcPr>
            <w:tcW w:w="620" w:type="dxa"/>
            <w:vAlign w:val="bottom"/>
            <w:gridSpan w:val="3"/>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20" w:type="dxa"/>
            <w:vAlign w:val="bottom"/>
            <w:gridSpan w:val="14"/>
          </w:tcPr>
          <w:p>
            <w:pPr>
              <w:ind w:left="40"/>
              <w:spacing w:after="0"/>
              <w:rPr>
                <w:sz w:val="20"/>
                <w:szCs w:val="20"/>
                <w:color w:val="auto"/>
              </w:rPr>
            </w:pPr>
            <w:r>
              <w:rPr>
                <w:rFonts w:ascii="Arial" w:cs="Arial" w:eastAsia="Arial" w:hAnsi="Arial"/>
                <w:sz w:val="16"/>
                <w:szCs w:val="16"/>
                <w:color w:val="auto"/>
                <w:w w:val="91"/>
              </w:rPr>
              <w:t>Six Months Ended June 30, 2014</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4"/>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4"/>
          </w:tcPr>
          <w:p>
            <w:pPr>
              <w:jc w:val="center"/>
              <w:ind w:right="240"/>
              <w:spacing w:after="0" w:line="169" w:lineRule="exact"/>
              <w:rPr>
                <w:sz w:val="20"/>
                <w:szCs w:val="20"/>
                <w:color w:val="auto"/>
              </w:rPr>
            </w:pPr>
            <w:r>
              <w:rPr>
                <w:rFonts w:ascii="Arial" w:cs="Arial" w:eastAsia="Arial" w:hAnsi="Arial"/>
                <w:sz w:val="15"/>
                <w:szCs w:val="15"/>
                <w:color w:val="auto"/>
                <w:w w:val="94"/>
              </w:rPr>
              <w:t>American</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center"/>
              <w:spacing w:after="0" w:line="169" w:lineRule="exact"/>
              <w:rPr>
                <w:sz w:val="20"/>
                <w:szCs w:val="20"/>
                <w:color w:val="auto"/>
              </w:rPr>
            </w:pPr>
            <w:r>
              <w:rPr>
                <w:rFonts w:ascii="Arial" w:cs="Arial" w:eastAsia="Arial" w:hAnsi="Arial"/>
                <w:sz w:val="15"/>
                <w:szCs w:val="15"/>
                <w:color w:val="auto"/>
                <w:w w:val="97"/>
              </w:rPr>
              <w:t>US Airways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4"/>
          </w:tcPr>
          <w:p>
            <w:pPr>
              <w:jc w:val="center"/>
              <w:ind w:right="240"/>
              <w:spacing w:after="0" w:line="162" w:lineRule="exact"/>
              <w:rPr>
                <w:sz w:val="20"/>
                <w:szCs w:val="20"/>
                <w:color w:val="auto"/>
              </w:rPr>
            </w:pPr>
            <w:r>
              <w:rPr>
                <w:rFonts w:ascii="Arial" w:cs="Arial" w:eastAsia="Arial" w:hAnsi="Arial"/>
                <w:sz w:val="15"/>
                <w:szCs w:val="15"/>
                <w:color w:val="auto"/>
                <w:w w:val="97"/>
              </w:rPr>
              <w:t>Airlines</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center"/>
              <w:spacing w:after="0" w:line="162" w:lineRule="exact"/>
              <w:rPr>
                <w:sz w:val="20"/>
                <w:szCs w:val="20"/>
                <w:color w:val="auto"/>
              </w:rPr>
            </w:pPr>
            <w:r>
              <w:rPr>
                <w:rFonts w:ascii="Arial" w:cs="Arial" w:eastAsia="Arial" w:hAnsi="Arial"/>
                <w:sz w:val="15"/>
                <w:szCs w:val="15"/>
                <w:color w:val="auto"/>
                <w:w w:val="95"/>
              </w:rPr>
              <w:t>Group</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60"/>
              <w:spacing w:after="0" w:line="162" w:lineRule="exact"/>
              <w:rPr>
                <w:sz w:val="20"/>
                <w:szCs w:val="20"/>
                <w:color w:val="auto"/>
              </w:rPr>
            </w:pPr>
            <w:r>
              <w:rPr>
                <w:rFonts w:ascii="Arial" w:cs="Arial" w:eastAsia="Arial" w:hAnsi="Arial"/>
                <w:sz w:val="15"/>
                <w:szCs w:val="15"/>
                <w:color w:val="auto"/>
                <w:w w:val="94"/>
              </w:rPr>
              <w:t>American</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5"/>
          </w:tcPr>
          <w:p>
            <w:pPr>
              <w:jc w:val="center"/>
              <w:ind w:right="100"/>
              <w:spacing w:after="0" w:line="162" w:lineRule="exact"/>
              <w:rPr>
                <w:sz w:val="20"/>
                <w:szCs w:val="20"/>
                <w:color w:val="auto"/>
              </w:rPr>
            </w:pPr>
            <w:r>
              <w:rPr>
                <w:rFonts w:ascii="Arial" w:cs="Arial" w:eastAsia="Arial" w:hAnsi="Arial"/>
                <w:sz w:val="15"/>
                <w:szCs w:val="15"/>
                <w:color w:val="auto"/>
                <w:w w:val="92"/>
              </w:rPr>
              <w:t>Group (Parent</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center"/>
              <w:spacing w:after="0" w:line="162" w:lineRule="exact"/>
              <w:rPr>
                <w:sz w:val="20"/>
                <w:szCs w:val="20"/>
                <w:color w:val="auto"/>
              </w:rPr>
            </w:pPr>
            <w:r>
              <w:rPr>
                <w:rFonts w:ascii="Arial" w:cs="Arial" w:eastAsia="Arial" w:hAnsi="Arial"/>
                <w:sz w:val="15"/>
                <w:szCs w:val="15"/>
                <w:color w:val="auto"/>
                <w:w w:val="89"/>
              </w:rPr>
              <w:t>(Parent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center"/>
              <w:ind w:right="140"/>
              <w:spacing w:after="0" w:line="162" w:lineRule="exact"/>
              <w:rPr>
                <w:sz w:val="20"/>
                <w:szCs w:val="20"/>
                <w:color w:val="auto"/>
              </w:rPr>
            </w:pPr>
            <w:r>
              <w:rPr>
                <w:rFonts w:ascii="Arial" w:cs="Arial" w:eastAsia="Arial" w:hAnsi="Arial"/>
                <w:sz w:val="15"/>
                <w:szCs w:val="15"/>
                <w:color w:val="auto"/>
                <w:w w:val="92"/>
              </w:rPr>
              <w:t>Non-</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40"/>
              <w:spacing w:after="0" w:line="162" w:lineRule="exact"/>
              <w:rPr>
                <w:sz w:val="20"/>
                <w:szCs w:val="20"/>
                <w:color w:val="auto"/>
              </w:rPr>
            </w:pPr>
            <w:r>
              <w:rPr>
                <w:rFonts w:ascii="Arial" w:cs="Arial" w:eastAsia="Arial" w:hAnsi="Arial"/>
                <w:sz w:val="15"/>
                <w:szCs w:val="15"/>
                <w:color w:val="auto"/>
              </w:rPr>
              <w:t>Airlines</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4"/>
          </w:tcPr>
          <w:p>
            <w:pPr>
              <w:jc w:val="center"/>
              <w:ind w:right="240"/>
              <w:spacing w:after="0" w:line="162" w:lineRule="exact"/>
              <w:rPr>
                <w:sz w:val="20"/>
                <w:szCs w:val="20"/>
                <w:color w:val="auto"/>
              </w:rPr>
            </w:pPr>
            <w:r>
              <w:rPr>
                <w:rFonts w:ascii="Arial" w:cs="Arial" w:eastAsia="Arial" w:hAnsi="Arial"/>
                <w:sz w:val="15"/>
                <w:szCs w:val="15"/>
                <w:color w:val="auto"/>
                <w:w w:val="93"/>
              </w:rPr>
              <w:t>Company</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center"/>
              <w:spacing w:after="0" w:line="162" w:lineRule="exact"/>
              <w:rPr>
                <w:sz w:val="20"/>
                <w:szCs w:val="20"/>
                <w:color w:val="auto"/>
              </w:rPr>
            </w:pPr>
            <w:r>
              <w:rPr>
                <w:rFonts w:ascii="Arial" w:cs="Arial" w:eastAsia="Arial" w:hAnsi="Arial"/>
                <w:sz w:val="15"/>
                <w:szCs w:val="15"/>
                <w:color w:val="auto"/>
                <w:w w:val="93"/>
              </w:rPr>
              <w:t>Company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tcPr>
          <w:p>
            <w:pPr>
              <w:jc w:val="right"/>
              <w:ind w:right="260"/>
              <w:spacing w:after="0" w:line="162" w:lineRule="exact"/>
              <w:rPr>
                <w:sz w:val="20"/>
                <w:szCs w:val="20"/>
                <w:color w:val="auto"/>
              </w:rPr>
            </w:pPr>
            <w:r>
              <w:rPr>
                <w:rFonts w:ascii="Arial" w:cs="Arial" w:eastAsia="Arial" w:hAnsi="Arial"/>
                <w:sz w:val="15"/>
                <w:szCs w:val="15"/>
                <w:color w:val="auto"/>
              </w:rPr>
              <w:t>US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center"/>
              <w:ind w:right="140"/>
              <w:spacing w:after="0" w:line="162" w:lineRule="exact"/>
              <w:rPr>
                <w:sz w:val="20"/>
                <w:szCs w:val="20"/>
                <w:color w:val="auto"/>
              </w:rPr>
            </w:pPr>
            <w:r>
              <w:rPr>
                <w:rFonts w:ascii="Arial" w:cs="Arial" w:eastAsia="Arial" w:hAnsi="Arial"/>
                <w:sz w:val="15"/>
                <w:szCs w:val="15"/>
                <w:color w:val="auto"/>
                <w:w w:val="91"/>
              </w:rPr>
              <w:t>Guarantor</w:t>
            </w:r>
          </w:p>
        </w:tc>
        <w:tc>
          <w:tcPr>
            <w:tcW w:w="80" w:type="dxa"/>
            <w:vAlign w:val="bottom"/>
          </w:tcPr>
          <w:p>
            <w:pPr>
              <w:spacing w:after="0"/>
              <w:rPr>
                <w:sz w:val="14"/>
                <w:szCs w:val="14"/>
                <w:color w:val="auto"/>
              </w:rPr>
            </w:pPr>
          </w:p>
        </w:tc>
        <w:tc>
          <w:tcPr>
            <w:tcW w:w="1360" w:type="dxa"/>
            <w:vAlign w:val="bottom"/>
            <w:gridSpan w:val="4"/>
          </w:tcPr>
          <w:p>
            <w:pPr>
              <w:ind w:left="100"/>
              <w:spacing w:after="0" w:line="162" w:lineRule="exact"/>
              <w:rPr>
                <w:sz w:val="20"/>
                <w:szCs w:val="20"/>
                <w:color w:val="auto"/>
              </w:rPr>
            </w:pPr>
            <w:r>
              <w:rPr>
                <w:rFonts w:ascii="Arial" w:cs="Arial" w:eastAsia="Arial" w:hAnsi="Arial"/>
                <w:sz w:val="15"/>
                <w:szCs w:val="15"/>
                <w:color w:val="auto"/>
              </w:rPr>
              <w:t>Eliminations and</w:t>
            </w:r>
          </w:p>
        </w:tc>
        <w:tc>
          <w:tcPr>
            <w:tcW w:w="120" w:type="dxa"/>
            <w:vAlign w:val="bottom"/>
          </w:tcPr>
          <w:p>
            <w:pPr>
              <w:spacing w:after="0"/>
              <w:rPr>
                <w:sz w:val="14"/>
                <w:szCs w:val="14"/>
                <w:color w:val="auto"/>
              </w:rPr>
            </w:pPr>
          </w:p>
        </w:tc>
        <w:tc>
          <w:tcPr>
            <w:tcW w:w="860" w:type="dxa"/>
            <w:vAlign w:val="bottom"/>
          </w:tcPr>
          <w:p>
            <w:pPr>
              <w:jc w:val="center"/>
              <w:ind w:right="40"/>
              <w:spacing w:after="0" w:line="162" w:lineRule="exact"/>
              <w:rPr>
                <w:sz w:val="20"/>
                <w:szCs w:val="20"/>
                <w:color w:val="auto"/>
              </w:rPr>
            </w:pPr>
            <w:r>
              <w:rPr>
                <w:rFonts w:ascii="Arial" w:cs="Arial" w:eastAsia="Arial" w:hAnsi="Arial"/>
                <w:sz w:val="15"/>
                <w:szCs w:val="15"/>
                <w:color w:val="auto"/>
                <w:w w:val="94"/>
              </w:rPr>
              <w:t>Group Inc.</w:t>
            </w:r>
          </w:p>
        </w:tc>
        <w:tc>
          <w:tcPr>
            <w:tcW w:w="0" w:type="dxa"/>
            <w:vAlign w:val="bottom"/>
          </w:tcPr>
          <w:p>
            <w:pPr>
              <w:spacing w:after="0"/>
              <w:rPr>
                <w:sz w:val="1"/>
                <w:szCs w:val="1"/>
                <w:color w:val="auto"/>
              </w:rPr>
            </w:pPr>
          </w:p>
        </w:tc>
      </w:tr>
      <w:tr>
        <w:trPr>
          <w:trHeight w:val="198"/>
        </w:trPr>
        <w:tc>
          <w:tcPr>
            <w:tcW w:w="18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jc w:val="center"/>
              <w:ind w:right="63"/>
              <w:spacing w:after="0"/>
              <w:rPr>
                <w:sz w:val="20"/>
                <w:szCs w:val="20"/>
                <w:color w:val="auto"/>
              </w:rPr>
            </w:pPr>
            <w:r>
              <w:rPr>
                <w:rFonts w:ascii="Arial" w:cs="Arial" w:eastAsia="Arial" w:hAnsi="Arial"/>
                <w:sz w:val="15"/>
                <w:szCs w:val="15"/>
                <w:color w:val="auto"/>
              </w:rPr>
              <w:t>Only)</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color w:val="auto"/>
              </w:rPr>
              <w:t>American</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color w:val="auto"/>
              </w:rPr>
              <w:t>Only)</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5"/>
                <w:szCs w:val="15"/>
                <w:color w:val="auto"/>
                <w:w w:val="95"/>
              </w:rPr>
              <w:t>Airways</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5"/>
                <w:szCs w:val="15"/>
                <w:color w:val="auto"/>
                <w:w w:val="90"/>
              </w:rPr>
              <w:t>Subsidiaries</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3"/>
          </w:tcPr>
          <w:p>
            <w:pPr>
              <w:ind w:left="120"/>
              <w:spacing w:after="0"/>
              <w:rPr>
                <w:sz w:val="20"/>
                <w:szCs w:val="20"/>
                <w:color w:val="auto"/>
              </w:rPr>
            </w:pPr>
            <w:r>
              <w:rPr>
                <w:rFonts w:ascii="Arial" w:cs="Arial" w:eastAsia="Arial" w:hAnsi="Arial"/>
                <w:sz w:val="15"/>
                <w:szCs w:val="15"/>
                <w:color w:val="auto"/>
              </w:rPr>
              <w:t>Reclassifications</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color w:val="auto"/>
                <w:w w:val="91"/>
              </w:rPr>
              <w:t>Consolidated</w:t>
            </w:r>
          </w:p>
        </w:tc>
        <w:tc>
          <w:tcPr>
            <w:tcW w:w="0" w:type="dxa"/>
            <w:vAlign w:val="bottom"/>
          </w:tcPr>
          <w:p>
            <w:pPr>
              <w:spacing w:after="0"/>
              <w:rPr>
                <w:sz w:val="1"/>
                <w:szCs w:val="1"/>
                <w:color w:val="auto"/>
              </w:rPr>
            </w:pPr>
          </w:p>
        </w:tc>
      </w:tr>
      <w:tr>
        <w:trPr>
          <w:trHeight w:val="234"/>
        </w:trPr>
        <w:tc>
          <w:tcPr>
            <w:tcW w:w="1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3"/>
            <w:shd w:val="clear" w:color="auto" w:fill="CCEEFF"/>
          </w:tcPr>
          <w:p>
            <w:pPr>
              <w:jc w:val="right"/>
              <w:ind w:right="83"/>
              <w:spacing w:after="0"/>
              <w:rPr>
                <w:sz w:val="20"/>
                <w:szCs w:val="20"/>
                <w:color w:val="auto"/>
              </w:rPr>
            </w:pPr>
            <w:r>
              <w:rPr>
                <w:rFonts w:ascii="Arial" w:cs="Arial" w:eastAsia="Arial" w:hAnsi="Arial"/>
                <w:sz w:val="16"/>
                <w:szCs w:val="16"/>
                <w:color w:val="auto"/>
              </w:rPr>
              <w:t>1,290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620" w:type="dxa"/>
            <w:vAlign w:val="bottom"/>
            <w:tcBorders>
              <w:bottom w:val="single" w:sz="8" w:color="CCEEFF"/>
            </w:tcBorders>
            <w:gridSpan w:val="3"/>
            <w:shd w:val="clear" w:color="auto" w:fill="CCEEFF"/>
          </w:tcPr>
          <w:p>
            <w:pPr>
              <w:jc w:val="right"/>
              <w:ind w:right="30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640</w:t>
            </w:r>
          </w:p>
        </w:tc>
        <w:tc>
          <w:tcPr>
            <w:tcW w:w="2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731</w:t>
            </w: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(1,973)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1,343</w:t>
            </w:r>
          </w:p>
        </w:tc>
        <w:tc>
          <w:tcPr>
            <w:tcW w:w="0" w:type="dxa"/>
            <w:vAlign w:val="bottom"/>
          </w:tcPr>
          <w:p>
            <w:pPr>
              <w:spacing w:after="0"/>
              <w:rPr>
                <w:sz w:val="1"/>
                <w:szCs w:val="1"/>
                <w:color w:val="auto"/>
              </w:rPr>
            </w:pPr>
          </w:p>
        </w:tc>
      </w:tr>
      <w:tr>
        <w:trPr>
          <w:trHeight w:val="216"/>
        </w:trPr>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w w:val="87"/>
              </w:rPr>
              <w:t>Other comprehensive loss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rPr>
              <w:t>before tax:</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92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9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w w:val="96"/>
              </w:rPr>
              <w:t>Defined benefit pension</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w w:val="90"/>
              </w:rPr>
              <w:t>plans and retiree medical</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w w:val="90"/>
              </w:rPr>
              <w:t>(102)</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20"/>
        </w:trPr>
        <w:tc>
          <w:tcPr>
            <w:tcW w:w="1820" w:type="dxa"/>
            <w:vAlign w:val="bottom"/>
            <w:gridSpan w:val="2"/>
          </w:tcPr>
          <w:p>
            <w:pPr>
              <w:ind w:left="280"/>
              <w:spacing w:after="0"/>
              <w:rPr>
                <w:sz w:val="20"/>
                <w:szCs w:val="20"/>
                <w:color w:val="auto"/>
              </w:rPr>
            </w:pPr>
            <w:r>
              <w:rPr>
                <w:rFonts w:ascii="Arial" w:cs="Arial" w:eastAsia="Arial" w:hAnsi="Arial"/>
                <w:sz w:val="16"/>
                <w:szCs w:val="16"/>
                <w:color w:val="auto"/>
              </w:rPr>
              <w:t>Derivative financial</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20" w:type="dxa"/>
            <w:vAlign w:val="bottom"/>
            <w:gridSpan w:val="2"/>
          </w:tcPr>
          <w:p>
            <w:pPr>
              <w:ind w:left="280"/>
              <w:spacing w:after="0"/>
              <w:rPr>
                <w:sz w:val="20"/>
                <w:szCs w:val="20"/>
                <w:color w:val="auto"/>
              </w:rPr>
            </w:pPr>
            <w:r>
              <w:rPr>
                <w:rFonts w:ascii="Arial" w:cs="Arial" w:eastAsia="Arial" w:hAnsi="Arial"/>
                <w:sz w:val="16"/>
                <w:szCs w:val="16"/>
                <w:color w:val="auto"/>
              </w:rPr>
              <w:t>instruments: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1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w w:val="91"/>
              </w:rPr>
              <w:t>Change in fair value</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3"/>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20"/>
        </w:trPr>
        <w:tc>
          <w:tcPr>
            <w:tcW w:w="1820" w:type="dxa"/>
            <w:vAlign w:val="bottom"/>
            <w:gridSpan w:val="2"/>
          </w:tcPr>
          <w:p>
            <w:pPr>
              <w:ind w:left="500"/>
              <w:spacing w:after="0"/>
              <w:rPr>
                <w:sz w:val="20"/>
                <w:szCs w:val="20"/>
                <w:color w:val="auto"/>
              </w:rPr>
            </w:pPr>
            <w:r>
              <w:rPr>
                <w:rFonts w:ascii="Arial" w:cs="Arial" w:eastAsia="Arial" w:hAnsi="Arial"/>
                <w:sz w:val="16"/>
                <w:szCs w:val="16"/>
                <w:color w:val="auto"/>
                <w:w w:val="91"/>
              </w:rPr>
              <w:t>Reclassification into</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20" w:type="dxa"/>
            <w:vAlign w:val="bottom"/>
            <w:gridSpan w:val="2"/>
          </w:tcPr>
          <w:p>
            <w:pPr>
              <w:ind w:left="500"/>
              <w:spacing w:after="0"/>
              <w:rPr>
                <w:sz w:val="20"/>
                <w:szCs w:val="20"/>
                <w:color w:val="auto"/>
              </w:rPr>
            </w:pPr>
            <w:r>
              <w:rPr>
                <w:rFonts w:ascii="Arial" w:cs="Arial" w:eastAsia="Arial" w:hAnsi="Arial"/>
                <w:sz w:val="16"/>
                <w:szCs w:val="16"/>
                <w:color w:val="auto"/>
              </w:rPr>
              <w:t>earnings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360" w:type="dxa"/>
            <w:vAlign w:val="bottom"/>
            <w:gridSpan w:val="3"/>
          </w:tcPr>
          <w:p>
            <w:pPr>
              <w:jc w:val="right"/>
              <w:spacing w:after="0"/>
              <w:rPr>
                <w:sz w:val="20"/>
                <w:szCs w:val="20"/>
                <w:color w:val="auto"/>
              </w:rPr>
            </w:pPr>
            <w:r>
              <w:rPr>
                <w:rFonts w:ascii="Arial" w:cs="Arial" w:eastAsia="Arial" w:hAnsi="Arial"/>
                <w:sz w:val="16"/>
                <w:szCs w:val="16"/>
                <w:color w:val="auto"/>
              </w:rPr>
              <w:t>12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1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5"/>
              </w:rPr>
              <w:t>Net unrealized loss on</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investments:</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820" w:type="dxa"/>
            <w:vAlign w:val="bottom"/>
            <w:gridSpan w:val="2"/>
          </w:tcPr>
          <w:p>
            <w:pPr>
              <w:ind w:left="500"/>
              <w:spacing w:after="0"/>
              <w:rPr>
                <w:sz w:val="20"/>
                <w:szCs w:val="20"/>
                <w:color w:val="auto"/>
              </w:rPr>
            </w:pPr>
            <w:r>
              <w:rPr>
                <w:rFonts w:ascii="Arial" w:cs="Arial" w:eastAsia="Arial" w:hAnsi="Arial"/>
                <w:sz w:val="16"/>
                <w:szCs w:val="16"/>
                <w:color w:val="auto"/>
                <w:w w:val="91"/>
              </w:rPr>
              <w:t>Net change in 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gridSpan w:val="2"/>
          </w:tcPr>
          <w:p>
            <w:pPr>
              <w:jc w:val="right"/>
              <w:ind w:right="83"/>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182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82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87"/>
              </w:rPr>
              <w:t>Other comprehensive loss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before tax</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w w:val="90"/>
              </w:rPr>
              <w:t>(142)</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20"/>
        </w:trPr>
        <w:tc>
          <w:tcPr>
            <w:tcW w:w="1920" w:type="dxa"/>
            <w:vAlign w:val="bottom"/>
            <w:gridSpan w:val="3"/>
          </w:tcPr>
          <w:p>
            <w:pPr>
              <w:ind w:left="260"/>
              <w:spacing w:after="0"/>
              <w:rPr>
                <w:sz w:val="20"/>
                <w:szCs w:val="20"/>
                <w:color w:val="auto"/>
              </w:rPr>
            </w:pPr>
            <w:r>
              <w:rPr>
                <w:rFonts w:ascii="Arial" w:cs="Arial" w:eastAsia="Arial" w:hAnsi="Arial"/>
                <w:sz w:val="16"/>
                <w:szCs w:val="16"/>
                <w:color w:val="auto"/>
                <w:w w:val="92"/>
              </w:rPr>
              <w:t>Reversal of non-cash tax</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20" w:type="dxa"/>
            <w:vAlign w:val="bottom"/>
            <w:gridSpan w:val="2"/>
          </w:tcPr>
          <w:p>
            <w:pPr>
              <w:ind w:left="180"/>
              <w:spacing w:after="0"/>
              <w:rPr>
                <w:sz w:val="20"/>
                <w:szCs w:val="20"/>
                <w:color w:val="auto"/>
              </w:rPr>
            </w:pPr>
            <w:r>
              <w:rPr>
                <w:rFonts w:ascii="Arial" w:cs="Arial" w:eastAsia="Arial" w:hAnsi="Arial"/>
                <w:sz w:val="16"/>
                <w:szCs w:val="16"/>
                <w:color w:val="auto"/>
              </w:rPr>
              <w:t>provision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gridSpan w:val="2"/>
          </w:tcPr>
          <w:p>
            <w:pPr>
              <w:jc w:val="right"/>
              <w:ind w:right="83"/>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gridSpan w:val="3"/>
          </w:tcPr>
          <w:p>
            <w:pPr>
              <w:jc w:val="right"/>
              <w:spacing w:after="0"/>
              <w:rPr>
                <w:sz w:val="20"/>
                <w:szCs w:val="20"/>
                <w:color w:val="auto"/>
              </w:rPr>
            </w:pPr>
            <w:r>
              <w:rPr>
                <w:rFonts w:ascii="Arial" w:cs="Arial" w:eastAsia="Arial" w:hAnsi="Arial"/>
                <w:sz w:val="16"/>
                <w:szCs w:val="16"/>
                <w:color w:val="auto"/>
              </w:rPr>
              <w:t>328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33"/>
        </w:trPr>
        <w:tc>
          <w:tcPr>
            <w:tcW w:w="182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82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7"/>
              </w:rPr>
              <w:t>Comprehensive income</w:t>
            </w:r>
          </w:p>
        </w:tc>
        <w:tc>
          <w:tcPr>
            <w:tcW w:w="100" w:type="dxa"/>
            <w:vAlign w:val="bottom"/>
            <w:shd w:val="clear" w:color="auto" w:fill="CCEEFF"/>
          </w:tcPr>
          <w:p>
            <w:pPr>
              <w:spacing w:after="0"/>
              <w:rPr>
                <w:sz w:val="17"/>
                <w:szCs w:val="17"/>
                <w:color w:val="auto"/>
              </w:rPr>
            </w:pP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3"/>
            <w:vMerge w:val="restart"/>
            <w:shd w:val="clear" w:color="auto" w:fill="CCEEFF"/>
          </w:tcPr>
          <w:p>
            <w:pPr>
              <w:jc w:val="right"/>
              <w:ind w:right="83"/>
              <w:spacing w:after="0"/>
              <w:rPr>
                <w:sz w:val="20"/>
                <w:szCs w:val="20"/>
                <w:color w:val="auto"/>
              </w:rPr>
            </w:pPr>
            <w:r>
              <w:rPr>
                <w:rFonts w:ascii="Arial" w:cs="Arial" w:eastAsia="Arial" w:hAnsi="Arial"/>
                <w:sz w:val="16"/>
                <w:szCs w:val="16"/>
                <w:color w:val="auto"/>
              </w:rPr>
              <w:t>1,292</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620" w:type="dxa"/>
            <w:vAlign w:val="bottom"/>
            <w:gridSpan w:val="3"/>
            <w:vMerge w:val="restart"/>
            <w:shd w:val="clear" w:color="auto" w:fill="CCEEFF"/>
          </w:tcPr>
          <w:p>
            <w:pPr>
              <w:jc w:val="right"/>
              <w:ind w:right="301"/>
              <w:spacing w:after="0"/>
              <w:rPr>
                <w:sz w:val="20"/>
                <w:szCs w:val="20"/>
                <w:color w:val="auto"/>
              </w:rPr>
            </w:pPr>
            <w:r>
              <w:rPr>
                <w:rFonts w:ascii="Arial" w:cs="Arial" w:eastAsia="Arial" w:hAnsi="Arial"/>
                <w:sz w:val="16"/>
                <w:szCs w:val="16"/>
                <w:color w:val="auto"/>
              </w:rPr>
              <w:t>$</w:t>
            </w:r>
          </w:p>
        </w:tc>
        <w:tc>
          <w:tcPr>
            <w:tcW w:w="3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w w:val="89"/>
              </w:rPr>
              <w:t>640</w:t>
            </w:r>
          </w:p>
        </w:tc>
        <w:tc>
          <w:tcPr>
            <w:tcW w:w="240" w:type="dxa"/>
            <w:vAlign w:val="bottom"/>
            <w:gridSpan w:val="3"/>
            <w:vMerge w:val="restart"/>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6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729</w:t>
            </w:r>
          </w:p>
        </w:tc>
        <w:tc>
          <w:tcPr>
            <w:tcW w:w="20" w:type="dxa"/>
            <w:vAlign w:val="bottom"/>
            <w:shd w:val="clear" w:color="auto" w:fill="CCEEFF"/>
          </w:tcPr>
          <w:p>
            <w:pPr>
              <w:spacing w:after="0"/>
              <w:rPr>
                <w:sz w:val="17"/>
                <w:szCs w:val="17"/>
                <w:color w:val="auto"/>
              </w:rPr>
            </w:pPr>
          </w:p>
        </w:tc>
        <w:tc>
          <w:tcPr>
            <w:tcW w:w="26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20" w:type="dxa"/>
            <w:vAlign w:val="bottom"/>
            <w:shd w:val="clear" w:color="auto" w:fill="CCEEFF"/>
          </w:tcPr>
          <w:p>
            <w:pPr>
              <w:spacing w:after="0"/>
              <w:rPr>
                <w:sz w:val="17"/>
                <w:szCs w:val="17"/>
                <w:color w:val="auto"/>
              </w:rPr>
            </w:pPr>
          </w:p>
        </w:tc>
        <w:tc>
          <w:tcPr>
            <w:tcW w:w="48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(1,973)</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1,529</w:t>
            </w:r>
          </w:p>
        </w:tc>
        <w:tc>
          <w:tcPr>
            <w:tcW w:w="0" w:type="dxa"/>
            <w:vAlign w:val="bottom"/>
          </w:tcPr>
          <w:p>
            <w:pPr>
              <w:spacing w:after="0"/>
              <w:rPr>
                <w:sz w:val="1"/>
                <w:szCs w:val="1"/>
                <w:color w:val="auto"/>
              </w:rPr>
            </w:pPr>
          </w:p>
        </w:tc>
      </w:tr>
      <w:tr>
        <w:trPr>
          <w:trHeight w:val="223"/>
        </w:trPr>
        <w:tc>
          <w:tcPr>
            <w:tcW w:w="182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(loss)</w:t>
            </w:r>
          </w:p>
        </w:tc>
        <w:tc>
          <w:tcPr>
            <w:tcW w:w="100" w:type="dxa"/>
            <w:vAlign w:val="bottom"/>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82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360" w:type="dxa"/>
            <w:vAlign w:val="bottom"/>
            <w:gridSpan w:val="3"/>
            <w:vMerge w:val="continue"/>
            <w:shd w:val="clear" w:color="auto" w:fill="CCEEFF"/>
          </w:tcPr>
          <w:p>
            <w:pPr>
              <w:spacing w:after="0"/>
              <w:rPr>
                <w:sz w:val="19"/>
                <w:szCs w:val="19"/>
                <w:color w:val="auto"/>
              </w:rPr>
            </w:pPr>
          </w:p>
        </w:tc>
        <w:tc>
          <w:tcPr>
            <w:tcW w:w="620" w:type="dxa"/>
            <w:vAlign w:val="bottom"/>
            <w:gridSpan w:val="3"/>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240" w:type="dxa"/>
            <w:vAlign w:val="bottom"/>
            <w:gridSpan w:val="3"/>
            <w:vMerge w:val="continue"/>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gridSpan w:val="3"/>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25" w:right="1440" w:bottom="1440" w:gutter="0" w:footer="0" w:header="0"/>
        </w:sectPr>
      </w:pPr>
    </w:p>
    <w:p>
      <w:pPr>
        <w:spacing w:after="0" w:line="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0219"/>
          </w:cols>
          <w:pgMar w:left="240" w:top="125" w:right="1440"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gridSpan w:val="5"/>
          </w:tcPr>
          <w:p>
            <w:pPr>
              <w:jc w:val="right"/>
              <w:spacing w:after="0"/>
              <w:rPr>
                <w:sz w:val="20"/>
                <w:szCs w:val="20"/>
                <w:color w:val="auto"/>
              </w:rPr>
            </w:pPr>
            <w:r>
              <w:rPr>
                <w:rFonts w:ascii="Arial" w:cs="Arial" w:eastAsia="Arial" w:hAnsi="Arial"/>
                <w:sz w:val="16"/>
                <w:szCs w:val="16"/>
                <w:color w:val="auto"/>
                <w:w w:val="88"/>
              </w:rPr>
              <w:t>June 30, 2014</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7"/>
              <w:spacing w:after="0" w:line="141" w:lineRule="exact"/>
              <w:rPr>
                <w:sz w:val="20"/>
                <w:szCs w:val="20"/>
                <w:color w:val="auto"/>
              </w:rPr>
            </w:pPr>
            <w:r>
              <w:rPr>
                <w:rFonts w:ascii="Arial" w:cs="Arial" w:eastAsia="Arial" w:hAnsi="Arial"/>
                <w:sz w:val="13"/>
                <w:szCs w:val="13"/>
                <w:color w:val="auto"/>
                <w:w w:val="90"/>
              </w:rPr>
              <w:t>American</w:t>
            </w: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1200" w:type="dxa"/>
            <w:vAlign w:val="bottom"/>
            <w:gridSpan w:val="3"/>
          </w:tcPr>
          <w:p>
            <w:pPr>
              <w:jc w:val="center"/>
              <w:ind w:right="100"/>
              <w:spacing w:after="0" w:line="135" w:lineRule="exact"/>
              <w:rPr>
                <w:sz w:val="20"/>
                <w:szCs w:val="20"/>
                <w:color w:val="auto"/>
              </w:rPr>
            </w:pPr>
            <w:r>
              <w:rPr>
                <w:rFonts w:ascii="Arial" w:cs="Arial" w:eastAsia="Arial" w:hAnsi="Arial"/>
                <w:sz w:val="13"/>
                <w:szCs w:val="13"/>
                <w:color w:val="auto"/>
                <w:w w:val="92"/>
              </w:rPr>
              <w:t>American Airlines</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color w:val="auto"/>
                <w:w w:val="92"/>
              </w:rPr>
              <w:t>US Airways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92"/>
              </w:rPr>
              <w:t>Non-</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92"/>
              </w:rPr>
              <w:t>Airlines Group</w:t>
            </w: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87"/>
              </w:rPr>
              <w:t>Group (Parent</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w w:val="97"/>
              </w:rPr>
              <w:t>Group (Parent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88"/>
              </w:rPr>
              <w:t>US</w:t>
            </w: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88"/>
              </w:rPr>
              <w:t>Guarantor</w:t>
            </w:r>
          </w:p>
        </w:tc>
        <w:tc>
          <w:tcPr>
            <w:tcW w:w="10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3"/>
                <w:szCs w:val="13"/>
                <w:color w:val="auto"/>
              </w:rPr>
              <w:t>Eliminations and</w:t>
            </w:r>
          </w:p>
        </w:tc>
        <w:tc>
          <w:tcPr>
            <w:tcW w:w="100" w:type="dxa"/>
            <w:vAlign w:val="bottom"/>
          </w:tcPr>
          <w:p>
            <w:pPr>
              <w:spacing w:after="0"/>
              <w:rPr>
                <w:sz w:val="11"/>
                <w:szCs w:val="11"/>
                <w:color w:val="auto"/>
              </w:rPr>
            </w:pPr>
          </w:p>
        </w:tc>
        <w:tc>
          <w:tcPr>
            <w:tcW w:w="76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85"/>
              </w:rPr>
              <w:t>Inc.</w:t>
            </w:r>
          </w:p>
        </w:tc>
        <w:tc>
          <w:tcPr>
            <w:tcW w:w="0" w:type="dxa"/>
            <w:vAlign w:val="bottom"/>
          </w:tcPr>
          <w:p>
            <w:pPr>
              <w:spacing w:after="0"/>
              <w:rPr>
                <w:sz w:val="1"/>
                <w:szCs w:val="1"/>
                <w:color w:val="auto"/>
              </w:rPr>
            </w:pPr>
          </w:p>
        </w:tc>
      </w:tr>
      <w:tr>
        <w:trPr>
          <w:trHeight w:val="170"/>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color w:val="auto"/>
                <w:w w:val="90"/>
              </w:rPr>
              <w:t>Company Only)</w:t>
            </w:r>
          </w:p>
        </w:tc>
        <w:tc>
          <w:tcPr>
            <w:tcW w:w="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3"/>
                <w:szCs w:val="13"/>
                <w:color w:val="auto"/>
              </w:rPr>
              <w:t>American</w:t>
            </w:r>
          </w:p>
        </w:tc>
        <w:tc>
          <w:tcPr>
            <w:tcW w:w="900" w:type="dxa"/>
            <w:vAlign w:val="bottom"/>
            <w:gridSpan w:val="2"/>
          </w:tcPr>
          <w:p>
            <w:pPr>
              <w:ind w:left="40"/>
              <w:spacing w:after="0"/>
              <w:rPr>
                <w:sz w:val="20"/>
                <w:szCs w:val="20"/>
                <w:color w:val="auto"/>
              </w:rPr>
            </w:pPr>
            <w:r>
              <w:rPr>
                <w:rFonts w:ascii="Arial" w:cs="Arial" w:eastAsia="Arial" w:hAnsi="Arial"/>
                <w:sz w:val="13"/>
                <w:szCs w:val="13"/>
                <w:color w:val="auto"/>
                <w:w w:val="92"/>
              </w:rPr>
              <w:t>Company Only)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3"/>
                <w:szCs w:val="13"/>
                <w:color w:val="auto"/>
                <w:w w:val="92"/>
              </w:rPr>
              <w:t>Airways</w:t>
            </w:r>
          </w:p>
        </w:tc>
        <w:tc>
          <w:tcPr>
            <w:tcW w:w="880" w:type="dxa"/>
            <w:vAlign w:val="bottom"/>
            <w:gridSpan w:val="3"/>
          </w:tcPr>
          <w:p>
            <w:pPr>
              <w:jc w:val="center"/>
              <w:ind w:right="100"/>
              <w:spacing w:after="0"/>
              <w:rPr>
                <w:sz w:val="20"/>
                <w:szCs w:val="20"/>
                <w:color w:val="auto"/>
              </w:rPr>
            </w:pPr>
            <w:r>
              <w:rPr>
                <w:rFonts w:ascii="Arial" w:cs="Arial" w:eastAsia="Arial" w:hAnsi="Arial"/>
                <w:sz w:val="13"/>
                <w:szCs w:val="13"/>
                <w:color w:val="auto"/>
                <w:w w:val="87"/>
              </w:rPr>
              <w:t>Subsidiaries</w:t>
            </w:r>
          </w:p>
        </w:tc>
        <w:tc>
          <w:tcPr>
            <w:tcW w:w="10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3"/>
                <w:szCs w:val="13"/>
                <w:color w:val="auto"/>
              </w:rPr>
              <w:t>Reclassifications</w:t>
            </w:r>
          </w:p>
        </w:tc>
        <w:tc>
          <w:tcPr>
            <w:tcW w:w="100" w:type="dxa"/>
            <w:vAlign w:val="bottom"/>
          </w:tcPr>
          <w:p>
            <w:pPr>
              <w:spacing w:after="0"/>
              <w:rPr>
                <w:sz w:val="14"/>
                <w:szCs w:val="14"/>
                <w:color w:val="auto"/>
              </w:rPr>
            </w:pPr>
          </w:p>
        </w:tc>
        <w:tc>
          <w:tcPr>
            <w:tcW w:w="760" w:type="dxa"/>
            <w:vAlign w:val="bottom"/>
          </w:tcPr>
          <w:p>
            <w:pPr>
              <w:jc w:val="center"/>
              <w:ind w:right="37"/>
              <w:spacing w:after="0"/>
              <w:rPr>
                <w:sz w:val="20"/>
                <w:szCs w:val="20"/>
                <w:color w:val="auto"/>
              </w:rPr>
            </w:pPr>
            <w:r>
              <w:rPr>
                <w:rFonts w:ascii="Arial" w:cs="Arial" w:eastAsia="Arial" w:hAnsi="Arial"/>
                <w:sz w:val="13"/>
                <w:szCs w:val="13"/>
                <w:color w:val="auto"/>
                <w:w w:val="86"/>
              </w:rPr>
              <w:t>Consolidated</w:t>
            </w:r>
          </w:p>
        </w:tc>
        <w:tc>
          <w:tcPr>
            <w:tcW w:w="0" w:type="dxa"/>
            <w:vAlign w:val="bottom"/>
          </w:tcPr>
          <w:p>
            <w:pPr>
              <w:spacing w:after="0"/>
              <w:rPr>
                <w:sz w:val="1"/>
                <w:szCs w:val="1"/>
                <w:color w:val="auto"/>
              </w:rPr>
            </w:pPr>
          </w:p>
        </w:tc>
      </w:tr>
      <w:tr>
        <w:trPr>
          <w:trHeight w:val="160"/>
        </w:trPr>
        <w:tc>
          <w:tcPr>
            <w:tcW w:w="2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ASSETS</w:t>
            </w: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340" w:type="dxa"/>
            <w:vAlign w:val="bottom"/>
          </w:tcPr>
          <w:p>
            <w:pPr>
              <w:ind w:left="40"/>
              <w:spacing w:after="0"/>
              <w:rPr>
                <w:sz w:val="20"/>
                <w:szCs w:val="20"/>
                <w:color w:val="auto"/>
              </w:rPr>
            </w:pPr>
            <w:r>
              <w:rPr>
                <w:rFonts w:ascii="Arial" w:cs="Arial" w:eastAsia="Arial" w:hAnsi="Arial"/>
                <w:sz w:val="13"/>
                <w:szCs w:val="13"/>
                <w:b w:val="1"/>
                <w:bCs w:val="1"/>
                <w:color w:val="auto"/>
              </w:rPr>
              <w:t>Current assets</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981</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222</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1,210</w:t>
            </w:r>
          </w:p>
        </w:tc>
        <w:tc>
          <w:tcPr>
            <w:tcW w:w="0" w:type="dxa"/>
            <w:vAlign w:val="bottom"/>
          </w:tcPr>
          <w:p>
            <w:pPr>
              <w:spacing w:after="0"/>
              <w:rPr>
                <w:sz w:val="1"/>
                <w:szCs w:val="1"/>
                <w:color w:val="auto"/>
              </w:rPr>
            </w:pPr>
          </w:p>
        </w:tc>
      </w:tr>
      <w:tr>
        <w:trPr>
          <w:trHeight w:val="97"/>
        </w:trPr>
        <w:tc>
          <w:tcPr>
            <w:tcW w:w="234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200" w:type="dxa"/>
            <w:vAlign w:val="bottom"/>
            <w:gridSpan w:val="2"/>
            <w:vMerge w:val="continue"/>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340" w:type="dxa"/>
            <w:vAlign w:val="bottom"/>
          </w:tcPr>
          <w:p>
            <w:pPr>
              <w:ind w:left="180"/>
              <w:spacing w:after="0"/>
              <w:rPr>
                <w:sz w:val="20"/>
                <w:szCs w:val="20"/>
                <w:color w:val="auto"/>
              </w:rPr>
            </w:pPr>
            <w:r>
              <w:rPr>
                <w:rFonts w:ascii="Arial" w:cs="Arial" w:eastAsia="Arial" w:hAnsi="Arial"/>
                <w:sz w:val="13"/>
                <w:szCs w:val="13"/>
                <w:color w:val="auto"/>
              </w:rPr>
              <w:t>Short-term investments</w:t>
            </w:r>
          </w:p>
        </w:tc>
        <w:tc>
          <w:tcPr>
            <w:tcW w:w="120" w:type="dxa"/>
            <w:vAlign w:val="bottom"/>
          </w:tcPr>
          <w:p>
            <w:pPr>
              <w:spacing w:after="0"/>
              <w:rPr>
                <w:sz w:val="15"/>
                <w:szCs w:val="15"/>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00" w:type="dxa"/>
            <w:vAlign w:val="bottom"/>
            <w:vMerge w:val="restart"/>
          </w:tcPr>
          <w:p>
            <w:pPr>
              <w:jc w:val="right"/>
              <w:ind w:right="17"/>
              <w:spacing w:after="0"/>
              <w:rPr>
                <w:sz w:val="20"/>
                <w:szCs w:val="20"/>
                <w:color w:val="auto"/>
              </w:rPr>
            </w:pPr>
            <w:r>
              <w:rPr>
                <w:rFonts w:ascii="Arial" w:cs="Arial" w:eastAsia="Arial" w:hAnsi="Arial"/>
                <w:sz w:val="13"/>
                <w:szCs w:val="13"/>
                <w:color w:val="auto"/>
              </w:rPr>
              <w:t>4,822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3,425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vMerge w:val="restart"/>
          </w:tcPr>
          <w:p>
            <w:pPr>
              <w:jc w:val="right"/>
              <w:ind w:right="17"/>
              <w:spacing w:after="0"/>
              <w:rPr>
                <w:sz w:val="20"/>
                <w:szCs w:val="20"/>
                <w:color w:val="auto"/>
              </w:rPr>
            </w:pPr>
            <w:r>
              <w:rPr>
                <w:rFonts w:ascii="Arial" w:cs="Arial" w:eastAsia="Arial" w:hAnsi="Arial"/>
                <w:sz w:val="13"/>
                <w:szCs w:val="13"/>
                <w:color w:val="auto"/>
              </w:rPr>
              <w:t>8,249</w:t>
            </w:r>
          </w:p>
        </w:tc>
        <w:tc>
          <w:tcPr>
            <w:tcW w:w="0" w:type="dxa"/>
            <w:vAlign w:val="bottom"/>
          </w:tcPr>
          <w:p>
            <w:pPr>
              <w:spacing w:after="0"/>
              <w:rPr>
                <w:sz w:val="1"/>
                <w:szCs w:val="1"/>
                <w:color w:val="auto"/>
              </w:rPr>
            </w:pPr>
          </w:p>
        </w:tc>
      </w:tr>
      <w:tr>
        <w:trPr>
          <w:trHeight w:val="89"/>
        </w:trPr>
        <w:tc>
          <w:tcPr>
            <w:tcW w:w="2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Restricted cash and short-term</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investments</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882</w:t>
            </w:r>
          </w:p>
        </w:tc>
        <w:tc>
          <w:tcPr>
            <w:tcW w:w="0" w:type="dxa"/>
            <w:vAlign w:val="bottom"/>
          </w:tcPr>
          <w:p>
            <w:pPr>
              <w:spacing w:after="0"/>
              <w:rPr>
                <w:sz w:val="1"/>
                <w:szCs w:val="1"/>
                <w:color w:val="auto"/>
              </w:rPr>
            </w:pPr>
          </w:p>
        </w:tc>
      </w:tr>
      <w:tr>
        <w:trPr>
          <w:trHeight w:val="173"/>
        </w:trPr>
        <w:tc>
          <w:tcPr>
            <w:tcW w:w="2340" w:type="dxa"/>
            <w:vAlign w:val="bottom"/>
          </w:tcPr>
          <w:p>
            <w:pPr>
              <w:ind w:left="180"/>
              <w:spacing w:after="0"/>
              <w:rPr>
                <w:sz w:val="20"/>
                <w:szCs w:val="20"/>
                <w:color w:val="auto"/>
              </w:rPr>
            </w:pPr>
            <w:r>
              <w:rPr>
                <w:rFonts w:ascii="Arial" w:cs="Arial" w:eastAsia="Arial" w:hAnsi="Arial"/>
                <w:sz w:val="13"/>
                <w:szCs w:val="13"/>
                <w:color w:val="auto"/>
              </w:rPr>
              <w:t>Accounts receivable, net</w:t>
            </w:r>
          </w:p>
        </w:tc>
        <w:tc>
          <w:tcPr>
            <w:tcW w:w="120" w:type="dxa"/>
            <w:vAlign w:val="bottom"/>
          </w:tcPr>
          <w:p>
            <w:pPr>
              <w:spacing w:after="0"/>
              <w:rPr>
                <w:sz w:val="15"/>
                <w:szCs w:val="15"/>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00" w:type="dxa"/>
            <w:vAlign w:val="bottom"/>
            <w:vMerge w:val="restart"/>
          </w:tcPr>
          <w:p>
            <w:pPr>
              <w:jc w:val="right"/>
              <w:ind w:right="17"/>
              <w:spacing w:after="0"/>
              <w:rPr>
                <w:sz w:val="20"/>
                <w:szCs w:val="20"/>
                <w:color w:val="auto"/>
              </w:rPr>
            </w:pPr>
            <w:r>
              <w:rPr>
                <w:rFonts w:ascii="Arial" w:cs="Arial" w:eastAsia="Arial" w:hAnsi="Arial"/>
                <w:sz w:val="13"/>
                <w:szCs w:val="13"/>
                <w:color w:val="auto"/>
              </w:rPr>
              <w:t>1,502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471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restart"/>
          </w:tcPr>
          <w:p>
            <w:pPr>
              <w:jc w:val="right"/>
              <w:ind w:right="17"/>
              <w:spacing w:after="0"/>
              <w:rPr>
                <w:sz w:val="20"/>
                <w:szCs w:val="20"/>
                <w:color w:val="auto"/>
              </w:rPr>
            </w:pPr>
            <w:r>
              <w:rPr>
                <w:rFonts w:ascii="Arial" w:cs="Arial" w:eastAsia="Arial" w:hAnsi="Arial"/>
                <w:sz w:val="13"/>
                <w:szCs w:val="13"/>
                <w:color w:val="auto"/>
              </w:rPr>
              <w:t>1,981</w:t>
            </w:r>
          </w:p>
        </w:tc>
        <w:tc>
          <w:tcPr>
            <w:tcW w:w="0" w:type="dxa"/>
            <w:vAlign w:val="bottom"/>
          </w:tcPr>
          <w:p>
            <w:pPr>
              <w:spacing w:after="0"/>
              <w:rPr>
                <w:sz w:val="1"/>
                <w:szCs w:val="1"/>
                <w:color w:val="auto"/>
              </w:rPr>
            </w:pPr>
          </w:p>
        </w:tc>
      </w:tr>
      <w:tr>
        <w:trPr>
          <w:trHeight w:val="89"/>
        </w:trPr>
        <w:tc>
          <w:tcPr>
            <w:tcW w:w="2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Receivables from related parties,net</w:t>
            </w:r>
          </w:p>
        </w:tc>
        <w:tc>
          <w:tcPr>
            <w:tcW w:w="1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2,282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645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521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(3,737)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2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340" w:type="dxa"/>
            <w:vAlign w:val="bottom"/>
          </w:tcPr>
          <w:p>
            <w:pPr>
              <w:ind w:left="180"/>
              <w:spacing w:after="0" w:line="148" w:lineRule="exact"/>
              <w:rPr>
                <w:sz w:val="20"/>
                <w:szCs w:val="20"/>
                <w:color w:val="auto"/>
              </w:rPr>
            </w:pPr>
            <w:r>
              <w:rPr>
                <w:rFonts w:ascii="Arial" w:cs="Arial" w:eastAsia="Arial" w:hAnsi="Arial"/>
                <w:sz w:val="13"/>
                <w:szCs w:val="13"/>
                <w:color w:val="auto"/>
                <w:w w:val="98"/>
              </w:rPr>
              <w:t>Aircraft fuel, spare parts and supplies,</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340" w:type="dxa"/>
            <w:vAlign w:val="bottom"/>
          </w:tcPr>
          <w:p>
            <w:pPr>
              <w:ind w:left="180"/>
              <w:spacing w:after="0"/>
              <w:rPr>
                <w:sz w:val="20"/>
                <w:szCs w:val="20"/>
                <w:color w:val="auto"/>
              </w:rPr>
            </w:pPr>
            <w:r>
              <w:rPr>
                <w:rFonts w:ascii="Arial" w:cs="Arial" w:eastAsia="Arial" w:hAnsi="Arial"/>
                <w:sz w:val="13"/>
                <w:szCs w:val="13"/>
                <w:color w:val="auto"/>
              </w:rPr>
              <w:t>net</w:t>
            </w:r>
          </w:p>
        </w:tc>
        <w:tc>
          <w:tcPr>
            <w:tcW w:w="1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633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396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1,093</w:t>
            </w:r>
          </w:p>
        </w:tc>
        <w:tc>
          <w:tcPr>
            <w:tcW w:w="0" w:type="dxa"/>
            <w:vAlign w:val="bottom"/>
          </w:tcPr>
          <w:p>
            <w:pPr>
              <w:spacing w:after="0"/>
              <w:rPr>
                <w:sz w:val="1"/>
                <w:szCs w:val="1"/>
                <w:color w:val="auto"/>
              </w:rPr>
            </w:pPr>
          </w:p>
        </w:tc>
      </w:tr>
      <w:tr>
        <w:trPr>
          <w:trHeight w:val="181"/>
        </w:trPr>
        <w:tc>
          <w:tcPr>
            <w:tcW w:w="2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Prepaid expenses and other</w:t>
            </w:r>
          </w:p>
        </w:tc>
        <w:tc>
          <w:tcPr>
            <w:tcW w:w="12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581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989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1,551</w:t>
            </w:r>
          </w:p>
        </w:tc>
        <w:tc>
          <w:tcPr>
            <w:tcW w:w="0" w:type="dxa"/>
            <w:vAlign w:val="bottom"/>
          </w:tcPr>
          <w:p>
            <w:pPr>
              <w:spacing w:after="0"/>
              <w:rPr>
                <w:sz w:val="1"/>
                <w:szCs w:val="1"/>
                <w:color w:val="auto"/>
              </w:rPr>
            </w:pPr>
          </w:p>
        </w:tc>
      </w:tr>
      <w:tr>
        <w:trPr>
          <w:trHeight w:val="97"/>
        </w:trPr>
        <w:tc>
          <w:tcPr>
            <w:tcW w:w="2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340" w:type="dxa"/>
            <w:vAlign w:val="bottom"/>
          </w:tcPr>
          <w:p>
            <w:pPr>
              <w:ind w:left="280"/>
              <w:spacing w:after="0"/>
              <w:rPr>
                <w:sz w:val="20"/>
                <w:szCs w:val="20"/>
                <w:color w:val="auto"/>
              </w:rPr>
            </w:pPr>
            <w:r>
              <w:rPr>
                <w:rFonts w:ascii="Arial" w:cs="Arial" w:eastAsia="Arial" w:hAnsi="Arial"/>
                <w:sz w:val="13"/>
                <w:szCs w:val="13"/>
                <w:color w:val="auto"/>
              </w:rPr>
              <w:t>Total current assets</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2,283</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9,285</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174</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6,380</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628</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(3,784)</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14,966</w:t>
            </w:r>
          </w:p>
        </w:tc>
        <w:tc>
          <w:tcPr>
            <w:tcW w:w="0" w:type="dxa"/>
            <w:vAlign w:val="bottom"/>
          </w:tcPr>
          <w:p>
            <w:pPr>
              <w:spacing w:after="0"/>
              <w:rPr>
                <w:sz w:val="1"/>
                <w:szCs w:val="1"/>
                <w:color w:val="auto"/>
              </w:rPr>
            </w:pPr>
          </w:p>
        </w:tc>
      </w:tr>
      <w:tr>
        <w:trPr>
          <w:trHeight w:val="89"/>
        </w:trPr>
        <w:tc>
          <w:tcPr>
            <w:tcW w:w="2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3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Operating property and equipment</w:t>
            </w:r>
          </w:p>
        </w:tc>
        <w:tc>
          <w:tcPr>
            <w:tcW w:w="12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14,789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6,167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21,236</w:t>
            </w:r>
          </w:p>
        </w:tc>
        <w:tc>
          <w:tcPr>
            <w:tcW w:w="0" w:type="dxa"/>
            <w:vAlign w:val="bottom"/>
          </w:tcPr>
          <w:p>
            <w:pPr>
              <w:spacing w:after="0"/>
              <w:rPr>
                <w:sz w:val="1"/>
                <w:szCs w:val="1"/>
                <w:color w:val="auto"/>
              </w:rPr>
            </w:pPr>
          </w:p>
        </w:tc>
      </w:tr>
      <w:tr>
        <w:trPr>
          <w:trHeight w:val="97"/>
        </w:trPr>
        <w:tc>
          <w:tcPr>
            <w:tcW w:w="2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340" w:type="dxa"/>
            <w:vAlign w:val="bottom"/>
          </w:tcPr>
          <w:p>
            <w:pPr>
              <w:ind w:left="40"/>
              <w:spacing w:after="0"/>
              <w:rPr>
                <w:sz w:val="20"/>
                <w:szCs w:val="20"/>
                <w:color w:val="auto"/>
              </w:rPr>
            </w:pPr>
            <w:r>
              <w:rPr>
                <w:rFonts w:ascii="Arial" w:cs="Arial" w:eastAsia="Arial" w:hAnsi="Arial"/>
                <w:sz w:val="13"/>
                <w:szCs w:val="13"/>
                <w:b w:val="1"/>
                <w:bCs w:val="1"/>
                <w:color w:val="auto"/>
              </w:rPr>
              <w:t>Other assets</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Investment in subsidiaries</w:t>
            </w:r>
          </w:p>
        </w:tc>
        <w:tc>
          <w:tcPr>
            <w:tcW w:w="1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1,768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6,078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(7,846)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2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340" w:type="dxa"/>
            <w:vAlign w:val="bottom"/>
          </w:tcPr>
          <w:p>
            <w:pPr>
              <w:ind w:left="180"/>
              <w:spacing w:after="0"/>
              <w:rPr>
                <w:sz w:val="20"/>
                <w:szCs w:val="20"/>
                <w:color w:val="auto"/>
              </w:rPr>
            </w:pPr>
            <w:r>
              <w:rPr>
                <w:rFonts w:ascii="Arial" w:cs="Arial" w:eastAsia="Arial" w:hAnsi="Arial"/>
                <w:sz w:val="13"/>
                <w:szCs w:val="13"/>
                <w:color w:val="auto"/>
              </w:rPr>
              <w:t>Goodwill</w:t>
            </w:r>
          </w:p>
        </w:tc>
        <w:tc>
          <w:tcPr>
            <w:tcW w:w="120" w:type="dxa"/>
            <w:vAlign w:val="bottom"/>
          </w:tcPr>
          <w:p>
            <w:pPr>
              <w:spacing w:after="0"/>
              <w:rPr>
                <w:sz w:val="15"/>
                <w:szCs w:val="15"/>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4,089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vMerge w:val="restart"/>
          </w:tcPr>
          <w:p>
            <w:pPr>
              <w:jc w:val="right"/>
              <w:ind w:right="17"/>
              <w:spacing w:after="0"/>
              <w:rPr>
                <w:sz w:val="20"/>
                <w:szCs w:val="20"/>
                <w:color w:val="auto"/>
              </w:rPr>
            </w:pPr>
            <w:r>
              <w:rPr>
                <w:rFonts w:ascii="Arial" w:cs="Arial" w:eastAsia="Arial" w:hAnsi="Arial"/>
                <w:sz w:val="13"/>
                <w:szCs w:val="13"/>
                <w:color w:val="auto"/>
              </w:rPr>
              <w:t>4,089</w:t>
            </w:r>
          </w:p>
        </w:tc>
        <w:tc>
          <w:tcPr>
            <w:tcW w:w="0" w:type="dxa"/>
            <w:vAlign w:val="bottom"/>
          </w:tcPr>
          <w:p>
            <w:pPr>
              <w:spacing w:after="0"/>
              <w:rPr>
                <w:sz w:val="1"/>
                <w:szCs w:val="1"/>
                <w:color w:val="auto"/>
              </w:rPr>
            </w:pPr>
          </w:p>
        </w:tc>
      </w:tr>
      <w:tr>
        <w:trPr>
          <w:trHeight w:val="89"/>
        </w:trPr>
        <w:tc>
          <w:tcPr>
            <w:tcW w:w="2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Intangibles, net of accumulated</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amortization</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872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2,330</w:t>
            </w:r>
          </w:p>
        </w:tc>
        <w:tc>
          <w:tcPr>
            <w:tcW w:w="0" w:type="dxa"/>
            <w:vAlign w:val="bottom"/>
          </w:tcPr>
          <w:p>
            <w:pPr>
              <w:spacing w:after="0"/>
              <w:rPr>
                <w:sz w:val="1"/>
                <w:szCs w:val="1"/>
                <w:color w:val="auto"/>
              </w:rPr>
            </w:pPr>
          </w:p>
        </w:tc>
      </w:tr>
      <w:tr>
        <w:trPr>
          <w:trHeight w:val="173"/>
        </w:trPr>
        <w:tc>
          <w:tcPr>
            <w:tcW w:w="2340" w:type="dxa"/>
            <w:vAlign w:val="bottom"/>
          </w:tcPr>
          <w:p>
            <w:pPr>
              <w:ind w:left="180"/>
              <w:spacing w:after="0"/>
              <w:rPr>
                <w:sz w:val="20"/>
                <w:szCs w:val="20"/>
                <w:color w:val="auto"/>
              </w:rPr>
            </w:pPr>
            <w:r>
              <w:rPr>
                <w:rFonts w:ascii="Arial" w:cs="Arial" w:eastAsia="Arial" w:hAnsi="Arial"/>
                <w:sz w:val="13"/>
                <w:szCs w:val="13"/>
                <w:color w:val="auto"/>
              </w:rPr>
              <w:t>Other assets</w:t>
            </w:r>
          </w:p>
        </w:tc>
        <w:tc>
          <w:tcPr>
            <w:tcW w:w="120" w:type="dxa"/>
            <w:vAlign w:val="bottom"/>
          </w:tcPr>
          <w:p>
            <w:pPr>
              <w:spacing w:after="0"/>
              <w:rPr>
                <w:sz w:val="15"/>
                <w:szCs w:val="15"/>
                <w:color w:val="auto"/>
              </w:rPr>
            </w:pPr>
          </w:p>
        </w:tc>
        <w:tc>
          <w:tcPr>
            <w:tcW w:w="960" w:type="dxa"/>
            <w:vAlign w:val="bottom"/>
            <w:vMerge w:val="restart"/>
          </w:tcPr>
          <w:p>
            <w:pPr>
              <w:jc w:val="right"/>
              <w:ind w:right="37"/>
              <w:spacing w:after="0"/>
              <w:rPr>
                <w:sz w:val="20"/>
                <w:szCs w:val="20"/>
                <w:color w:val="auto"/>
              </w:rPr>
            </w:pPr>
            <w:r>
              <w:rPr>
                <w:rFonts w:ascii="Arial" w:cs="Arial" w:eastAsia="Arial" w:hAnsi="Arial"/>
                <w:sz w:val="13"/>
                <w:szCs w:val="13"/>
                <w:color w:val="auto"/>
              </w:rPr>
              <w:t>43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restart"/>
          </w:tcPr>
          <w:p>
            <w:pPr>
              <w:jc w:val="right"/>
              <w:ind w:right="17"/>
              <w:spacing w:after="0"/>
              <w:rPr>
                <w:sz w:val="20"/>
                <w:szCs w:val="20"/>
                <w:color w:val="auto"/>
              </w:rPr>
            </w:pPr>
            <w:r>
              <w:rPr>
                <w:rFonts w:ascii="Arial" w:cs="Arial" w:eastAsia="Arial" w:hAnsi="Arial"/>
                <w:sz w:val="13"/>
                <w:szCs w:val="13"/>
                <w:color w:val="auto"/>
              </w:rPr>
              <w:t>2,002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145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restart"/>
          </w:tcPr>
          <w:p>
            <w:pPr>
              <w:jc w:val="right"/>
              <w:ind w:right="17"/>
              <w:spacing w:after="0"/>
              <w:rPr>
                <w:sz w:val="20"/>
                <w:szCs w:val="20"/>
                <w:color w:val="auto"/>
              </w:rPr>
            </w:pPr>
            <w:r>
              <w:rPr>
                <w:rFonts w:ascii="Arial" w:cs="Arial" w:eastAsia="Arial" w:hAnsi="Arial"/>
                <w:sz w:val="13"/>
                <w:szCs w:val="13"/>
                <w:color w:val="auto"/>
              </w:rPr>
              <w:t>2,190</w:t>
            </w:r>
          </w:p>
        </w:tc>
        <w:tc>
          <w:tcPr>
            <w:tcW w:w="0" w:type="dxa"/>
            <w:vAlign w:val="bottom"/>
          </w:tcPr>
          <w:p>
            <w:pPr>
              <w:spacing w:after="0"/>
              <w:rPr>
                <w:sz w:val="1"/>
                <w:szCs w:val="1"/>
                <w:color w:val="auto"/>
              </w:rPr>
            </w:pPr>
          </w:p>
        </w:tc>
      </w:tr>
      <w:tr>
        <w:trPr>
          <w:trHeight w:val="91"/>
        </w:trPr>
        <w:tc>
          <w:tcPr>
            <w:tcW w:w="234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other assets</w:t>
            </w:r>
          </w:p>
        </w:tc>
        <w:tc>
          <w:tcPr>
            <w:tcW w:w="1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1,811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2,874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6,078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5,692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(7,881)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8,609</w:t>
            </w:r>
          </w:p>
        </w:tc>
        <w:tc>
          <w:tcPr>
            <w:tcW w:w="0" w:type="dxa"/>
            <w:vAlign w:val="bottom"/>
          </w:tcPr>
          <w:p>
            <w:pPr>
              <w:spacing w:after="0"/>
              <w:rPr>
                <w:sz w:val="1"/>
                <w:szCs w:val="1"/>
                <w:color w:val="auto"/>
              </w:rPr>
            </w:pPr>
          </w:p>
        </w:tc>
      </w:tr>
      <w:tr>
        <w:trPr>
          <w:trHeight w:val="97"/>
        </w:trPr>
        <w:tc>
          <w:tcPr>
            <w:tcW w:w="234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96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78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98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76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340" w:type="dxa"/>
            <w:vAlign w:val="bottom"/>
          </w:tcPr>
          <w:p>
            <w:pPr>
              <w:ind w:left="380"/>
              <w:spacing w:after="0"/>
              <w:rPr>
                <w:sz w:val="20"/>
                <w:szCs w:val="20"/>
                <w:color w:val="auto"/>
              </w:rPr>
            </w:pPr>
            <w:r>
              <w:rPr>
                <w:rFonts w:ascii="Arial" w:cs="Arial" w:eastAsia="Arial" w:hAnsi="Arial"/>
                <w:sz w:val="13"/>
                <w:szCs w:val="13"/>
                <w:b w:val="1"/>
                <w:bCs w:val="1"/>
                <w:color w:val="auto"/>
              </w:rPr>
              <w:t>Total assets</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ind w:right="37"/>
              <w:spacing w:after="0"/>
              <w:rPr>
                <w:sz w:val="20"/>
                <w:szCs w:val="20"/>
                <w:color w:val="auto"/>
              </w:rPr>
            </w:pPr>
            <w:r>
              <w:rPr>
                <w:rFonts w:ascii="Arial" w:cs="Arial" w:eastAsia="Arial" w:hAnsi="Arial"/>
                <w:sz w:val="13"/>
                <w:szCs w:val="13"/>
                <w:color w:val="auto"/>
              </w:rPr>
              <w:t>4,094</w:t>
            </w:r>
          </w:p>
        </w:tc>
        <w:tc>
          <w:tcPr>
            <w:tcW w:w="120" w:type="dxa"/>
            <w:vAlign w:val="bottom"/>
          </w:tcPr>
          <w:p>
            <w:pPr>
              <w:spacing w:after="0"/>
              <w:rPr>
                <w:sz w:val="13"/>
                <w:szCs w:val="13"/>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vMerge w:val="restart"/>
          </w:tcPr>
          <w:p>
            <w:pPr>
              <w:jc w:val="right"/>
              <w:ind w:right="17"/>
              <w:spacing w:after="0"/>
              <w:rPr>
                <w:sz w:val="20"/>
                <w:szCs w:val="20"/>
                <w:color w:val="auto"/>
              </w:rPr>
            </w:pPr>
            <w:r>
              <w:rPr>
                <w:rFonts w:ascii="Arial" w:cs="Arial" w:eastAsia="Arial" w:hAnsi="Arial"/>
                <w:sz w:val="13"/>
                <w:szCs w:val="13"/>
                <w:color w:val="auto"/>
              </w:rPr>
              <w:t>26,948</w:t>
            </w:r>
          </w:p>
        </w:tc>
        <w:tc>
          <w:tcPr>
            <w:tcW w:w="100" w:type="dxa"/>
            <w:vAlign w:val="bottom"/>
          </w:tcPr>
          <w:p>
            <w:pPr>
              <w:spacing w:after="0"/>
              <w:rPr>
                <w:sz w:val="13"/>
                <w:szCs w:val="13"/>
                <w:color w:val="auto"/>
              </w:rPr>
            </w:pPr>
          </w:p>
        </w:tc>
        <w:tc>
          <w:tcPr>
            <w:tcW w:w="120" w:type="dxa"/>
            <w:vAlign w:val="bottom"/>
            <w:vMerge w:val="restart"/>
          </w:tcPr>
          <w:p>
            <w:pPr>
              <w:ind w:left="40"/>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6,252</w:t>
            </w:r>
          </w:p>
        </w:tc>
        <w:tc>
          <w:tcPr>
            <w:tcW w:w="100" w:type="dxa"/>
            <w:vAlign w:val="bottom"/>
            <w:vMerge w:val="restart"/>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18,239</w:t>
            </w:r>
          </w:p>
        </w:tc>
        <w:tc>
          <w:tcPr>
            <w:tcW w:w="1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943</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(11,665)</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ind w:right="17"/>
              <w:spacing w:after="0"/>
              <w:rPr>
                <w:sz w:val="20"/>
                <w:szCs w:val="20"/>
                <w:color w:val="auto"/>
              </w:rPr>
            </w:pPr>
            <w:r>
              <w:rPr>
                <w:rFonts w:ascii="Arial" w:cs="Arial" w:eastAsia="Arial" w:hAnsi="Arial"/>
                <w:sz w:val="13"/>
                <w:szCs w:val="13"/>
                <w:color w:val="auto"/>
              </w:rPr>
              <w:t>44,811</w:t>
            </w:r>
          </w:p>
        </w:tc>
        <w:tc>
          <w:tcPr>
            <w:tcW w:w="0" w:type="dxa"/>
            <w:vAlign w:val="bottom"/>
          </w:tcPr>
          <w:p>
            <w:pPr>
              <w:spacing w:after="0"/>
              <w:rPr>
                <w:sz w:val="1"/>
                <w:szCs w:val="1"/>
                <w:color w:val="auto"/>
              </w:rPr>
            </w:pPr>
          </w:p>
        </w:tc>
      </w:tr>
      <w:tr>
        <w:trPr>
          <w:trHeight w:val="117"/>
        </w:trPr>
        <w:tc>
          <w:tcPr>
            <w:tcW w:w="23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vMerge w:val="continue"/>
          </w:tcPr>
          <w:p>
            <w:pPr>
              <w:spacing w:after="0"/>
              <w:rPr>
                <w:sz w:val="10"/>
                <w:szCs w:val="10"/>
                <w:color w:val="auto"/>
              </w:rPr>
            </w:pPr>
          </w:p>
        </w:tc>
        <w:tc>
          <w:tcPr>
            <w:tcW w:w="96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vMerge w:val="continue"/>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vMerge w:val="continue"/>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7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3540" w:type="dxa"/>
            <w:vAlign w:val="bottom"/>
            <w:gridSpan w:val="4"/>
          </w:tcPr>
          <w:p>
            <w:pPr>
              <w:ind w:left="40"/>
              <w:spacing w:after="0"/>
              <w:rPr>
                <w:sz w:val="20"/>
                <w:szCs w:val="20"/>
                <w:color w:val="auto"/>
              </w:rPr>
            </w:pPr>
            <w:r>
              <w:rPr>
                <w:rFonts w:ascii="Arial" w:cs="Arial" w:eastAsia="Arial" w:hAnsi="Arial"/>
                <w:sz w:val="13"/>
                <w:szCs w:val="13"/>
                <w:b w:val="1"/>
                <w:bCs w:val="1"/>
                <w:color w:val="auto"/>
              </w:rPr>
              <w:t>LIABILITIES &amp; STOCKHOLDERS’ EQUITY (DEFICIT)</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3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Current liabilities</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340" w:type="dxa"/>
            <w:vAlign w:val="bottom"/>
          </w:tcPr>
          <w:p>
            <w:pPr>
              <w:ind w:left="180"/>
              <w:spacing w:after="0" w:line="148" w:lineRule="exact"/>
              <w:rPr>
                <w:sz w:val="20"/>
                <w:szCs w:val="20"/>
                <w:color w:val="auto"/>
              </w:rPr>
            </w:pPr>
            <w:r>
              <w:rPr>
                <w:rFonts w:ascii="Arial" w:cs="Arial" w:eastAsia="Arial" w:hAnsi="Arial"/>
                <w:sz w:val="13"/>
                <w:szCs w:val="13"/>
                <w:color w:val="auto"/>
              </w:rPr>
              <w:t>Current maturities of long-term debt</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340" w:type="dxa"/>
            <w:vAlign w:val="bottom"/>
          </w:tcPr>
          <w:p>
            <w:pPr>
              <w:ind w:left="180"/>
              <w:spacing w:after="0"/>
              <w:rPr>
                <w:sz w:val="20"/>
                <w:szCs w:val="20"/>
                <w:color w:val="auto"/>
              </w:rPr>
            </w:pPr>
            <w:r>
              <w:rPr>
                <w:rFonts w:ascii="Arial" w:cs="Arial" w:eastAsia="Arial" w:hAnsi="Arial"/>
                <w:sz w:val="13"/>
                <w:szCs w:val="13"/>
                <w:color w:val="auto"/>
              </w:rPr>
              <w:t>and capital leases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1,003</w:t>
            </w:r>
          </w:p>
        </w:tc>
        <w:tc>
          <w:tcPr>
            <w:tcW w:w="10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520</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1,523</w:t>
            </w:r>
          </w:p>
        </w:tc>
        <w:tc>
          <w:tcPr>
            <w:tcW w:w="0" w:type="dxa"/>
            <w:vAlign w:val="bottom"/>
          </w:tcPr>
          <w:p>
            <w:pPr>
              <w:spacing w:after="0"/>
              <w:rPr>
                <w:sz w:val="1"/>
                <w:szCs w:val="1"/>
                <w:color w:val="auto"/>
              </w:rPr>
            </w:pPr>
          </w:p>
        </w:tc>
      </w:tr>
      <w:tr>
        <w:trPr>
          <w:trHeight w:val="181"/>
        </w:trPr>
        <w:tc>
          <w:tcPr>
            <w:tcW w:w="2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Accounts payable</w:t>
            </w:r>
          </w:p>
        </w:tc>
        <w:tc>
          <w:tcPr>
            <w:tcW w:w="12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1,258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351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1,653</w:t>
            </w:r>
          </w:p>
        </w:tc>
        <w:tc>
          <w:tcPr>
            <w:tcW w:w="0" w:type="dxa"/>
            <w:vAlign w:val="bottom"/>
          </w:tcPr>
          <w:p>
            <w:pPr>
              <w:spacing w:after="0"/>
              <w:rPr>
                <w:sz w:val="1"/>
                <w:szCs w:val="1"/>
                <w:color w:val="auto"/>
              </w:rPr>
            </w:pPr>
          </w:p>
        </w:tc>
      </w:tr>
      <w:tr>
        <w:trPr>
          <w:trHeight w:val="97"/>
        </w:trPr>
        <w:tc>
          <w:tcPr>
            <w:tcW w:w="2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340" w:type="dxa"/>
            <w:vAlign w:val="bottom"/>
          </w:tcPr>
          <w:p>
            <w:pPr>
              <w:ind w:left="180"/>
              <w:spacing w:after="0"/>
              <w:rPr>
                <w:sz w:val="20"/>
                <w:szCs w:val="20"/>
                <w:color w:val="auto"/>
              </w:rPr>
            </w:pPr>
            <w:r>
              <w:rPr>
                <w:rFonts w:ascii="Arial" w:cs="Arial" w:eastAsia="Arial" w:hAnsi="Arial"/>
                <w:sz w:val="13"/>
                <w:szCs w:val="13"/>
                <w:color w:val="auto"/>
              </w:rPr>
              <w:t>Payables to related parties, net</w:t>
            </w:r>
          </w:p>
        </w:tc>
        <w:tc>
          <w:tcPr>
            <w:tcW w:w="120" w:type="dxa"/>
            <w:vAlign w:val="bottom"/>
          </w:tcPr>
          <w:p>
            <w:pPr>
              <w:spacing w:after="0"/>
              <w:rPr>
                <w:sz w:val="15"/>
                <w:szCs w:val="15"/>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00" w:type="dxa"/>
            <w:vAlign w:val="bottom"/>
            <w:vMerge w:val="restart"/>
          </w:tcPr>
          <w:p>
            <w:pPr>
              <w:jc w:val="right"/>
              <w:ind w:right="17"/>
              <w:spacing w:after="0"/>
              <w:rPr>
                <w:sz w:val="20"/>
                <w:szCs w:val="20"/>
                <w:color w:val="auto"/>
              </w:rPr>
            </w:pPr>
            <w:r>
              <w:rPr>
                <w:rFonts w:ascii="Arial" w:cs="Arial" w:eastAsia="Arial" w:hAnsi="Arial"/>
                <w:sz w:val="13"/>
                <w:szCs w:val="13"/>
                <w:color w:val="auto"/>
              </w:rPr>
              <w:t>2,643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633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221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240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(3,737)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9"/>
        </w:trPr>
        <w:tc>
          <w:tcPr>
            <w:tcW w:w="2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Air traffic liability</w:t>
            </w:r>
          </w:p>
        </w:tc>
        <w:tc>
          <w:tcPr>
            <w:tcW w:w="12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3,902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1,781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5,683</w:t>
            </w:r>
          </w:p>
        </w:tc>
        <w:tc>
          <w:tcPr>
            <w:tcW w:w="0" w:type="dxa"/>
            <w:vAlign w:val="bottom"/>
          </w:tcPr>
          <w:p>
            <w:pPr>
              <w:spacing w:after="0"/>
              <w:rPr>
                <w:sz w:val="1"/>
                <w:szCs w:val="1"/>
                <w:color w:val="auto"/>
              </w:rPr>
            </w:pPr>
          </w:p>
        </w:tc>
      </w:tr>
      <w:tr>
        <w:trPr>
          <w:trHeight w:val="97"/>
        </w:trPr>
        <w:tc>
          <w:tcPr>
            <w:tcW w:w="2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340" w:type="dxa"/>
            <w:vAlign w:val="bottom"/>
          </w:tcPr>
          <w:p>
            <w:pPr>
              <w:ind w:left="180"/>
              <w:spacing w:after="0"/>
              <w:rPr>
                <w:sz w:val="20"/>
                <w:szCs w:val="20"/>
                <w:color w:val="auto"/>
              </w:rPr>
            </w:pPr>
            <w:r>
              <w:rPr>
                <w:rFonts w:ascii="Arial" w:cs="Arial" w:eastAsia="Arial" w:hAnsi="Arial"/>
                <w:sz w:val="13"/>
                <w:szCs w:val="13"/>
                <w:color w:val="auto"/>
              </w:rPr>
              <w:t>Frequent flyer liability</w:t>
            </w:r>
          </w:p>
        </w:tc>
        <w:tc>
          <w:tcPr>
            <w:tcW w:w="120" w:type="dxa"/>
            <w:vAlign w:val="bottom"/>
          </w:tcPr>
          <w:p>
            <w:pPr>
              <w:spacing w:after="0"/>
              <w:rPr>
                <w:sz w:val="15"/>
                <w:szCs w:val="15"/>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00" w:type="dxa"/>
            <w:vAlign w:val="bottom"/>
            <w:vMerge w:val="restart"/>
          </w:tcPr>
          <w:p>
            <w:pPr>
              <w:jc w:val="right"/>
              <w:ind w:right="17"/>
              <w:spacing w:after="0"/>
              <w:rPr>
                <w:sz w:val="20"/>
                <w:szCs w:val="20"/>
                <w:color w:val="auto"/>
              </w:rPr>
            </w:pPr>
            <w:r>
              <w:rPr>
                <w:rFonts w:ascii="Arial" w:cs="Arial" w:eastAsia="Arial" w:hAnsi="Arial"/>
                <w:sz w:val="13"/>
                <w:szCs w:val="13"/>
                <w:color w:val="auto"/>
              </w:rPr>
              <w:t>1,741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1,138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vMerge w:val="restart"/>
          </w:tcPr>
          <w:p>
            <w:pPr>
              <w:jc w:val="right"/>
              <w:ind w:right="17"/>
              <w:spacing w:after="0"/>
              <w:rPr>
                <w:sz w:val="20"/>
                <w:szCs w:val="20"/>
                <w:color w:val="auto"/>
              </w:rPr>
            </w:pPr>
            <w:r>
              <w:rPr>
                <w:rFonts w:ascii="Arial" w:cs="Arial" w:eastAsia="Arial" w:hAnsi="Arial"/>
                <w:sz w:val="13"/>
                <w:szCs w:val="13"/>
                <w:color w:val="auto"/>
              </w:rPr>
              <w:t>2,879</w:t>
            </w:r>
          </w:p>
        </w:tc>
        <w:tc>
          <w:tcPr>
            <w:tcW w:w="0" w:type="dxa"/>
            <w:vAlign w:val="bottom"/>
          </w:tcPr>
          <w:p>
            <w:pPr>
              <w:spacing w:after="0"/>
              <w:rPr>
                <w:sz w:val="1"/>
                <w:szCs w:val="1"/>
                <w:color w:val="auto"/>
              </w:rPr>
            </w:pPr>
          </w:p>
        </w:tc>
      </w:tr>
      <w:tr>
        <w:trPr>
          <w:trHeight w:val="89"/>
        </w:trPr>
        <w:tc>
          <w:tcPr>
            <w:tcW w:w="2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accrued liabilities</w:t>
            </w:r>
          </w:p>
        </w:tc>
        <w:tc>
          <w:tcPr>
            <w:tcW w:w="1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2,066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1,147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3,350</w:t>
            </w:r>
          </w:p>
        </w:tc>
        <w:tc>
          <w:tcPr>
            <w:tcW w:w="0" w:type="dxa"/>
            <w:vAlign w:val="bottom"/>
          </w:tcPr>
          <w:p>
            <w:pPr>
              <w:spacing w:after="0"/>
              <w:rPr>
                <w:sz w:val="1"/>
                <w:szCs w:val="1"/>
                <w:color w:val="auto"/>
              </w:rPr>
            </w:pPr>
          </w:p>
        </w:tc>
      </w:tr>
      <w:tr>
        <w:trPr>
          <w:trHeight w:val="97"/>
        </w:trPr>
        <w:tc>
          <w:tcPr>
            <w:tcW w:w="234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96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78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98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76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340" w:type="dxa"/>
            <w:vAlign w:val="bottom"/>
          </w:tcPr>
          <w:p>
            <w:pPr>
              <w:ind w:left="180"/>
              <w:spacing w:after="0"/>
              <w:rPr>
                <w:sz w:val="20"/>
                <w:szCs w:val="20"/>
                <w:color w:val="auto"/>
              </w:rPr>
            </w:pPr>
            <w:r>
              <w:rPr>
                <w:rFonts w:ascii="Arial" w:cs="Arial" w:eastAsia="Arial" w:hAnsi="Arial"/>
                <w:sz w:val="13"/>
                <w:szCs w:val="13"/>
                <w:color w:val="auto"/>
              </w:rPr>
              <w:t>Total current liabilities</w:t>
            </w:r>
          </w:p>
        </w:tc>
        <w:tc>
          <w:tcPr>
            <w:tcW w:w="120" w:type="dxa"/>
            <w:vAlign w:val="bottom"/>
          </w:tcPr>
          <w:p>
            <w:pPr>
              <w:spacing w:after="0"/>
              <w:rPr>
                <w:sz w:val="13"/>
                <w:szCs w:val="13"/>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00" w:type="dxa"/>
            <w:vAlign w:val="bottom"/>
            <w:vMerge w:val="restart"/>
          </w:tcPr>
          <w:p>
            <w:pPr>
              <w:jc w:val="right"/>
              <w:ind w:right="17"/>
              <w:spacing w:after="0"/>
              <w:rPr>
                <w:sz w:val="20"/>
                <w:szCs w:val="20"/>
                <w:color w:val="auto"/>
              </w:rPr>
            </w:pPr>
            <w:r>
              <w:rPr>
                <w:rFonts w:ascii="Arial" w:cs="Arial" w:eastAsia="Arial" w:hAnsi="Arial"/>
                <w:sz w:val="13"/>
                <w:szCs w:val="13"/>
                <w:color w:val="auto"/>
              </w:rPr>
              <w:t>12,613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635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5,158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433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(3,751)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ind w:right="17"/>
              <w:spacing w:after="0"/>
              <w:rPr>
                <w:sz w:val="20"/>
                <w:szCs w:val="20"/>
                <w:color w:val="auto"/>
              </w:rPr>
            </w:pPr>
            <w:r>
              <w:rPr>
                <w:rFonts w:ascii="Arial" w:cs="Arial" w:eastAsia="Arial" w:hAnsi="Arial"/>
                <w:sz w:val="13"/>
                <w:szCs w:val="13"/>
                <w:color w:val="auto"/>
              </w:rPr>
              <w:t>15,088</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571119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11190" cy="17145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Noncurrent liabilities</w:t>
      </w:r>
    </w:p>
    <w:p>
      <w:pPr>
        <w:sectPr>
          <w:pgSz w:w="11900" w:h="16838" w:orient="portrait"/>
          <w:cols w:equalWidth="0" w:num="1">
            <w:col w:w="10219"/>
          </w:cols>
          <w:pgMar w:left="240" w:top="125" w:right="1440" w:bottom="1440" w:gutter="0" w:footer="0" w:header="0"/>
        </w:sectPr>
      </w:pPr>
    </w:p>
    <w:p>
      <w:pPr>
        <w:spacing w:after="0" w:line="125" w:lineRule="exact"/>
        <w:rPr>
          <w:sz w:val="20"/>
          <w:szCs w:val="20"/>
          <w:color w:val="auto"/>
        </w:rPr>
      </w:pPr>
    </w:p>
    <w:p>
      <w:pPr>
        <w:ind w:left="180" w:right="100"/>
        <w:spacing w:after="0" w:line="237" w:lineRule="auto"/>
        <w:rPr>
          <w:sz w:val="20"/>
          <w:szCs w:val="20"/>
          <w:color w:val="auto"/>
        </w:rPr>
      </w:pPr>
      <w:r>
        <w:rPr>
          <w:rFonts w:ascii="Arial" w:cs="Arial" w:eastAsia="Arial" w:hAnsi="Arial"/>
          <w:sz w:val="13"/>
          <w:szCs w:val="13"/>
          <w:color w:val="auto"/>
        </w:rPr>
        <w:t>Long-term debt and capital leases, net of current maturities</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2"/>
          <w:szCs w:val="12"/>
          <w:color w:val="auto"/>
        </w:rPr>
        <w:t>Pensions and postretirement benefits</w:t>
      </w:r>
    </w:p>
    <w:p>
      <w:pPr>
        <w:spacing w:after="0" w:line="132" w:lineRule="exact"/>
        <w:rPr>
          <w:sz w:val="20"/>
          <w:szCs w:val="20"/>
          <w:color w:val="auto"/>
        </w:rPr>
      </w:pPr>
    </w:p>
    <w:p>
      <w:pPr>
        <w:ind w:left="180"/>
        <w:spacing w:after="0" w:line="230" w:lineRule="auto"/>
        <w:rPr>
          <w:sz w:val="20"/>
          <w:szCs w:val="20"/>
          <w:color w:val="auto"/>
        </w:rPr>
      </w:pPr>
      <w:r>
        <w:rPr>
          <w:rFonts w:ascii="Arial" w:cs="Arial" w:eastAsia="Arial" w:hAnsi="Arial"/>
          <w:sz w:val="13"/>
          <w:szCs w:val="13"/>
          <w:color w:val="auto"/>
        </w:rPr>
        <w:t>Mandatorily convertible preferred stock and other bankruptcy settlement obligations</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liabilities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Total noncurrent liabilities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Stockholders’ equity (deficit)</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1080" w:type="dxa"/>
            <w:vAlign w:val="bottom"/>
          </w:tcPr>
          <w:p>
            <w:pPr>
              <w:jc w:val="right"/>
              <w:ind w:right="3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3"/>
                <w:szCs w:val="13"/>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9,585</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523</w:t>
            </w: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5,125</w:t>
            </w:r>
          </w:p>
        </w:tc>
        <w:tc>
          <w:tcPr>
            <w:tcW w:w="12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3"/>
                <w:szCs w:val="13"/>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15,205</w:t>
            </w:r>
          </w:p>
        </w:tc>
      </w:tr>
      <w:tr>
        <w:trPr>
          <w:trHeight w:val="270"/>
        </w:trPr>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5,568</w:t>
            </w:r>
          </w:p>
        </w:tc>
        <w:tc>
          <w:tcPr>
            <w:tcW w:w="10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108</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5,704</w:t>
            </w:r>
          </w:p>
        </w:tc>
      </w:tr>
      <w:tr>
        <w:trPr>
          <w:trHeight w:val="459"/>
        </w:trPr>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415</w:t>
            </w:r>
          </w:p>
        </w:tc>
        <w:tc>
          <w:tcPr>
            <w:tcW w:w="10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415</w:t>
            </w:r>
          </w:p>
        </w:tc>
      </w:tr>
      <w:tr>
        <w:trPr>
          <w:trHeight w:val="280"/>
        </w:trPr>
        <w:tc>
          <w:tcPr>
            <w:tcW w:w="108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2,532</w:t>
            </w:r>
          </w:p>
        </w:tc>
        <w:tc>
          <w:tcPr>
            <w:tcW w:w="10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1,805</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280</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(305)</w:t>
            </w:r>
          </w:p>
        </w:tc>
        <w:tc>
          <w:tcPr>
            <w:tcW w:w="100" w:type="dxa"/>
            <w:vAlign w:val="bottom"/>
          </w:tcPr>
          <w:p>
            <w:pPr>
              <w:spacing w:after="0"/>
              <w:rPr>
                <w:sz w:val="24"/>
                <w:szCs w:val="24"/>
                <w:color w:val="auto"/>
              </w:rPr>
            </w:pP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4,313</w:t>
            </w:r>
          </w:p>
        </w:tc>
      </w:tr>
      <w:tr>
        <w:trPr>
          <w:trHeight w:val="241"/>
        </w:trPr>
        <w:tc>
          <w:tcPr>
            <w:tcW w:w="10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0"/>
                <w:szCs w:val="20"/>
                <w:color w:val="auto"/>
              </w:rPr>
            </w:pPr>
          </w:p>
        </w:tc>
        <w:tc>
          <w:tcPr>
            <w:tcW w:w="6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18,100</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523</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7,038</w:t>
            </w:r>
          </w:p>
        </w:tc>
        <w:tc>
          <w:tcPr>
            <w:tcW w:w="120" w:type="dxa"/>
            <w:vAlign w:val="bottom"/>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308</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(340)</w:t>
            </w:r>
          </w:p>
        </w:tc>
        <w:tc>
          <w:tcPr>
            <w:tcW w:w="100" w:type="dxa"/>
            <w:vAlign w:val="bottom"/>
          </w:tcPr>
          <w:p>
            <w:pPr>
              <w:spacing w:after="0"/>
              <w:rPr>
                <w:sz w:val="20"/>
                <w:szCs w:val="20"/>
                <w:color w:val="auto"/>
              </w:rPr>
            </w:pP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25,637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-795020</wp:posOffset>
            </wp:positionV>
            <wp:extent cx="571119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11190" cy="17145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-332105</wp:posOffset>
            </wp:positionV>
            <wp:extent cx="571119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11190" cy="171450"/>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10160</wp:posOffset>
            </wp:positionV>
            <wp:extent cx="571119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11190" cy="171450"/>
                    </a:xfrm>
                    <a:prstGeom prst="rect">
                      <a:avLst/>
                    </a:prstGeom>
                    <a:noFill/>
                  </pic:spPr>
                </pic:pic>
              </a:graphicData>
            </a:graphic>
          </wp:anchor>
        </w:drawing>
      </w:r>
    </w:p>
    <w:p>
      <w:pPr>
        <w:spacing w:after="0" w:line="299" w:lineRule="exact"/>
        <w:rPr>
          <w:sz w:val="20"/>
          <w:szCs w:val="20"/>
          <w:color w:val="auto"/>
        </w:rPr>
      </w:pPr>
    </w:p>
    <w:p>
      <w:pPr>
        <w:sectPr>
          <w:pgSz w:w="11900" w:h="16838" w:orient="portrait"/>
          <w:cols w:equalWidth="0" w:num="2">
            <w:col w:w="2180" w:space="160"/>
            <w:col w:w="7879"/>
          </w:cols>
          <w:pgMar w:left="240" w:top="125" w:right="1440" w:bottom="1440" w:gutter="0" w:footer="0" w:header="0"/>
          <w:type w:val="continuous"/>
        </w:sectPr>
      </w:pPr>
    </w:p>
    <w:tbl>
      <w:tblPr>
        <w:tblLayout w:type="fixed"/>
        <w:tblInd w:w="0" w:type="dxa"/>
        <w:tblCellMar>
          <w:top w:w="0" w:type="dxa"/>
          <w:left w:w="0" w:type="dxa"/>
          <w:bottom w:w="0" w:type="dxa"/>
          <w:right w:w="0" w:type="dxa"/>
        </w:tblCellMar>
      </w:tblPr>
      <w:tr>
        <w:trPr>
          <w:trHeight w:val="160"/>
        </w:trPr>
        <w:tc>
          <w:tcPr>
            <w:tcW w:w="2340" w:type="dxa"/>
            <w:vAlign w:val="bottom"/>
          </w:tcPr>
          <w:p>
            <w:pPr>
              <w:ind w:left="180"/>
              <w:spacing w:after="0"/>
              <w:rPr>
                <w:sz w:val="20"/>
                <w:szCs w:val="20"/>
                <w:color w:val="auto"/>
              </w:rPr>
            </w:pPr>
            <w:r>
              <w:rPr>
                <w:rFonts w:ascii="Arial" w:cs="Arial" w:eastAsia="Arial" w:hAnsi="Arial"/>
                <w:sz w:val="13"/>
                <w:szCs w:val="13"/>
                <w:color w:val="auto"/>
              </w:rPr>
              <w:t>Common stock</w:t>
            </w:r>
          </w:p>
        </w:tc>
        <w:tc>
          <w:tcPr>
            <w:tcW w:w="360" w:type="dxa"/>
            <w:vAlign w:val="bottom"/>
          </w:tcPr>
          <w:p>
            <w:pPr>
              <w:spacing w:after="0"/>
              <w:rPr>
                <w:sz w:val="13"/>
                <w:szCs w:val="13"/>
                <w:color w:val="auto"/>
              </w:rPr>
            </w:pPr>
          </w:p>
        </w:tc>
        <w:tc>
          <w:tcPr>
            <w:tcW w:w="720" w:type="dxa"/>
            <w:vAlign w:val="bottom"/>
            <w:vMerge w:val="restart"/>
          </w:tcPr>
          <w:p>
            <w:pPr>
              <w:jc w:val="right"/>
              <w:ind w:right="3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3"/>
                <w:szCs w:val="13"/>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3"/>
                <w:szCs w:val="13"/>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600" w:type="dxa"/>
            <w:vAlign w:val="bottom"/>
            <w:vMerge w:val="restart"/>
          </w:tcPr>
          <w:p>
            <w:pPr>
              <w:jc w:val="right"/>
              <w:ind w:right="17"/>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89"/>
        </w:trPr>
        <w:tc>
          <w:tcPr>
            <w:tcW w:w="2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Additional paid-in capital</w:t>
            </w:r>
          </w:p>
        </w:tc>
        <w:tc>
          <w:tcPr>
            <w:tcW w:w="3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15,879</w:t>
            </w: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10,404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4,653</w:t>
            </w:r>
          </w:p>
        </w:tc>
        <w:tc>
          <w:tcPr>
            <w:tcW w:w="1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5,492</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(20,747)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15,879</w:t>
            </w:r>
          </w:p>
        </w:tc>
        <w:tc>
          <w:tcPr>
            <w:tcW w:w="0" w:type="dxa"/>
            <w:vAlign w:val="bottom"/>
          </w:tcPr>
          <w:p>
            <w:pPr>
              <w:spacing w:after="0"/>
              <w:rPr>
                <w:sz w:val="1"/>
                <w:szCs w:val="1"/>
                <w:color w:val="auto"/>
              </w:rPr>
            </w:pPr>
          </w:p>
        </w:tc>
      </w:tr>
      <w:tr>
        <w:trPr>
          <w:trHeight w:val="97"/>
        </w:trPr>
        <w:tc>
          <w:tcPr>
            <w:tcW w:w="23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340" w:type="dxa"/>
            <w:vAlign w:val="bottom"/>
          </w:tcPr>
          <w:p>
            <w:pPr>
              <w:ind w:left="180"/>
              <w:spacing w:after="0"/>
              <w:rPr>
                <w:sz w:val="20"/>
                <w:szCs w:val="20"/>
                <w:color w:val="auto"/>
              </w:rPr>
            </w:pPr>
            <w:r>
              <w:rPr>
                <w:rFonts w:ascii="Arial" w:cs="Arial" w:eastAsia="Arial" w:hAnsi="Arial"/>
                <w:sz w:val="13"/>
                <w:szCs w:val="13"/>
                <w:color w:val="auto"/>
              </w:rPr>
              <w:t>Treasury stock</w:t>
            </w:r>
          </w:p>
        </w:tc>
        <w:tc>
          <w:tcPr>
            <w:tcW w:w="3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89"/>
        </w:trPr>
        <w:tc>
          <w:tcPr>
            <w:tcW w:w="2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Accumulated other comprehensive</w:t>
            </w: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3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(loss)</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(1,846)</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1,946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(1,846)</w:t>
            </w:r>
          </w:p>
        </w:tc>
        <w:tc>
          <w:tcPr>
            <w:tcW w:w="0" w:type="dxa"/>
            <w:vAlign w:val="bottom"/>
          </w:tcPr>
          <w:p>
            <w:pPr>
              <w:spacing w:after="0"/>
              <w:rPr>
                <w:sz w:val="1"/>
                <w:szCs w:val="1"/>
                <w:color w:val="auto"/>
              </w:rPr>
            </w:pPr>
          </w:p>
        </w:tc>
      </w:tr>
      <w:tr>
        <w:trPr>
          <w:trHeight w:val="173"/>
        </w:trPr>
        <w:tc>
          <w:tcPr>
            <w:tcW w:w="2340" w:type="dxa"/>
            <w:vAlign w:val="bottom"/>
          </w:tcPr>
          <w:p>
            <w:pPr>
              <w:ind w:left="180"/>
              <w:spacing w:after="0"/>
              <w:rPr>
                <w:sz w:val="20"/>
                <w:szCs w:val="20"/>
                <w:color w:val="auto"/>
              </w:rPr>
            </w:pPr>
            <w:r>
              <w:rPr>
                <w:rFonts w:ascii="Arial" w:cs="Arial" w:eastAsia="Arial" w:hAnsi="Arial"/>
                <w:sz w:val="13"/>
                <w:szCs w:val="13"/>
                <w:color w:val="auto"/>
              </w:rPr>
              <w:t>Retained earnings (deficit)</w:t>
            </w:r>
          </w:p>
        </w:tc>
        <w:tc>
          <w:tcPr>
            <w:tcW w:w="3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(9,953)</w:t>
            </w: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(12,203)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431</w:t>
            </w:r>
          </w:p>
        </w:tc>
        <w:tc>
          <w:tcPr>
            <w:tcW w:w="1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541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vMerge w:val="restart"/>
          </w:tcPr>
          <w:p>
            <w:pPr>
              <w:jc w:val="right"/>
              <w:ind w:right="37"/>
              <w:spacing w:after="0"/>
              <w:rPr>
                <w:sz w:val="20"/>
                <w:szCs w:val="20"/>
                <w:color w:val="auto"/>
              </w:rPr>
            </w:pPr>
            <w:r>
              <w:rPr>
                <w:rFonts w:ascii="Arial" w:cs="Arial" w:eastAsia="Arial" w:hAnsi="Arial"/>
                <w:sz w:val="13"/>
                <w:szCs w:val="13"/>
                <w:color w:val="auto"/>
              </w:rPr>
              <w:t>11,227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(9,953)</w:t>
            </w:r>
          </w:p>
        </w:tc>
        <w:tc>
          <w:tcPr>
            <w:tcW w:w="0" w:type="dxa"/>
            <w:vAlign w:val="bottom"/>
          </w:tcPr>
          <w:p>
            <w:pPr>
              <w:spacing w:after="0"/>
              <w:rPr>
                <w:sz w:val="1"/>
                <w:szCs w:val="1"/>
                <w:color w:val="auto"/>
              </w:rPr>
            </w:pPr>
          </w:p>
        </w:tc>
      </w:tr>
      <w:tr>
        <w:trPr>
          <w:trHeight w:val="91"/>
        </w:trPr>
        <w:tc>
          <w:tcPr>
            <w:tcW w:w="2340" w:type="dxa"/>
            <w:vAlign w:val="bottom"/>
            <w:tcBorders>
              <w:bottom w:val="single" w:sz="8" w:color="CCEEFF"/>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6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64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stockholders’ equity (deficit)</w:t>
            </w:r>
          </w:p>
        </w:tc>
        <w:tc>
          <w:tcPr>
            <w:tcW w:w="3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4,086</w:t>
            </w: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(3,765)</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5,094</w:t>
            </w: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6,043</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(7,574)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4,086</w:t>
            </w:r>
          </w:p>
        </w:tc>
        <w:tc>
          <w:tcPr>
            <w:tcW w:w="0" w:type="dxa"/>
            <w:vAlign w:val="bottom"/>
          </w:tcPr>
          <w:p>
            <w:pPr>
              <w:spacing w:after="0"/>
              <w:rPr>
                <w:sz w:val="1"/>
                <w:szCs w:val="1"/>
                <w:color w:val="auto"/>
              </w:rPr>
            </w:pPr>
          </w:p>
        </w:tc>
      </w:tr>
      <w:tr>
        <w:trPr>
          <w:trHeight w:val="97"/>
        </w:trPr>
        <w:tc>
          <w:tcPr>
            <w:tcW w:w="2340" w:type="dxa"/>
            <w:vAlign w:val="bottom"/>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spacing w:after="0"/>
              <w:rPr>
                <w:sz w:val="8"/>
                <w:szCs w:val="8"/>
                <w:color w:val="auto"/>
              </w:rPr>
            </w:pPr>
          </w:p>
        </w:tc>
        <w:tc>
          <w:tcPr>
            <w:tcW w:w="56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spacing w:after="0"/>
              <w:rPr>
                <w:sz w:val="8"/>
                <w:szCs w:val="8"/>
                <w:color w:val="auto"/>
              </w:rPr>
            </w:pPr>
          </w:p>
        </w:tc>
        <w:tc>
          <w:tcPr>
            <w:tcW w:w="74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340" w:type="dxa"/>
            <w:vAlign w:val="bottom"/>
          </w:tcPr>
          <w:p>
            <w:pPr>
              <w:ind w:left="520"/>
              <w:spacing w:after="0" w:line="124" w:lineRule="exact"/>
              <w:rPr>
                <w:sz w:val="20"/>
                <w:szCs w:val="20"/>
                <w:color w:val="auto"/>
              </w:rPr>
            </w:pPr>
            <w:r>
              <w:rPr>
                <w:rFonts w:ascii="Arial" w:cs="Arial" w:eastAsia="Arial" w:hAnsi="Arial"/>
                <w:sz w:val="13"/>
                <w:szCs w:val="13"/>
                <w:b w:val="1"/>
                <w:bCs w:val="1"/>
                <w:color w:val="auto"/>
              </w:rPr>
              <w:t>Total liabilities and</w:t>
            </w:r>
          </w:p>
        </w:tc>
        <w:tc>
          <w:tcPr>
            <w:tcW w:w="360" w:type="dxa"/>
            <w:vAlign w:val="bottom"/>
            <w:vMerge w:val="restart"/>
          </w:tcPr>
          <w:p>
            <w:pPr>
              <w:jc w:val="right"/>
              <w:ind w:right="19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37"/>
              <w:spacing w:after="0"/>
              <w:rPr>
                <w:sz w:val="20"/>
                <w:szCs w:val="20"/>
                <w:color w:val="auto"/>
              </w:rPr>
            </w:pPr>
            <w:r>
              <w:rPr>
                <w:rFonts w:ascii="Arial" w:cs="Arial" w:eastAsia="Arial" w:hAnsi="Arial"/>
                <w:sz w:val="13"/>
                <w:szCs w:val="13"/>
                <w:color w:val="auto"/>
              </w:rPr>
              <w:t>4,094</w:t>
            </w:r>
          </w:p>
        </w:tc>
        <w:tc>
          <w:tcPr>
            <w:tcW w:w="120" w:type="dxa"/>
            <w:vAlign w:val="bottom"/>
          </w:tcPr>
          <w:p>
            <w:pPr>
              <w:spacing w:after="0"/>
              <w:rPr>
                <w:sz w:val="10"/>
                <w:szCs w:val="10"/>
                <w:color w:val="auto"/>
              </w:rPr>
            </w:pPr>
          </w:p>
        </w:tc>
        <w:tc>
          <w:tcPr>
            <w:tcW w:w="680" w:type="dxa"/>
            <w:vAlign w:val="bottom"/>
            <w:vMerge w:val="restart"/>
          </w:tcPr>
          <w:p>
            <w:pPr>
              <w:jc w:val="right"/>
              <w:ind w:right="17"/>
              <w:spacing w:after="0"/>
              <w:rPr>
                <w:sz w:val="20"/>
                <w:szCs w:val="20"/>
                <w:color w:val="auto"/>
              </w:rPr>
            </w:pPr>
            <w:r>
              <w:rPr>
                <w:rFonts w:ascii="Arial" w:cs="Arial" w:eastAsia="Arial" w:hAnsi="Arial"/>
                <w:sz w:val="13"/>
                <w:szCs w:val="13"/>
                <w:color w:val="auto"/>
              </w:rPr>
              <w:t>$   26,948</w:t>
            </w:r>
          </w:p>
        </w:tc>
        <w:tc>
          <w:tcPr>
            <w:tcW w:w="100" w:type="dxa"/>
            <w:vAlign w:val="bottom"/>
          </w:tcPr>
          <w:p>
            <w:pPr>
              <w:spacing w:after="0"/>
              <w:rPr>
                <w:sz w:val="10"/>
                <w:szCs w:val="10"/>
                <w:color w:val="auto"/>
              </w:rPr>
            </w:pPr>
          </w:p>
        </w:tc>
        <w:tc>
          <w:tcPr>
            <w:tcW w:w="340" w:type="dxa"/>
            <w:vAlign w:val="bottom"/>
            <w:vMerge w:val="restart"/>
          </w:tcPr>
          <w:p>
            <w:pPr>
              <w:jc w:val="right"/>
              <w:ind w:right="177"/>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6,252</w:t>
            </w: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   18,239</w:t>
            </w:r>
          </w:p>
        </w:tc>
        <w:tc>
          <w:tcPr>
            <w:tcW w:w="120" w:type="dxa"/>
            <w:vAlign w:val="bottom"/>
          </w:tcPr>
          <w:p>
            <w:pPr>
              <w:spacing w:after="0"/>
              <w:rPr>
                <w:sz w:val="10"/>
                <w:szCs w:val="10"/>
                <w:color w:val="auto"/>
              </w:rPr>
            </w:pPr>
          </w:p>
        </w:tc>
        <w:tc>
          <w:tcPr>
            <w:tcW w:w="300" w:type="dxa"/>
            <w:vAlign w:val="bottom"/>
            <w:vMerge w:val="restart"/>
          </w:tcPr>
          <w:p>
            <w:pPr>
              <w:jc w:val="right"/>
              <w:ind w:right="157"/>
              <w:spacing w:after="0"/>
              <w:rPr>
                <w:sz w:val="20"/>
                <w:szCs w:val="20"/>
                <w:color w:val="auto"/>
              </w:rPr>
            </w:pPr>
            <w:r>
              <w:rPr>
                <w:rFonts w:ascii="Arial" w:cs="Arial" w:eastAsia="Arial" w:hAnsi="Arial"/>
                <w:sz w:val="13"/>
                <w:szCs w:val="13"/>
                <w:color w:val="auto"/>
                <w:w w:val="82"/>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943</w:t>
            </w:r>
          </w:p>
        </w:tc>
        <w:tc>
          <w:tcPr>
            <w:tcW w:w="100" w:type="dxa"/>
            <w:vAlign w:val="bottom"/>
          </w:tcPr>
          <w:p>
            <w:pPr>
              <w:spacing w:after="0"/>
              <w:rPr>
                <w:sz w:val="10"/>
                <w:szCs w:val="10"/>
                <w:color w:val="auto"/>
              </w:rPr>
            </w:pPr>
          </w:p>
        </w:tc>
        <w:tc>
          <w:tcPr>
            <w:tcW w:w="340" w:type="dxa"/>
            <w:vAlign w:val="bottom"/>
            <w:vMerge w:val="restart"/>
          </w:tcPr>
          <w:p>
            <w:pPr>
              <w:jc w:val="right"/>
              <w:ind w:right="177"/>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(11,665)</w:t>
            </w:r>
          </w:p>
        </w:tc>
        <w:tc>
          <w:tcPr>
            <w:tcW w:w="100" w:type="dxa"/>
            <w:vAlign w:val="bottom"/>
          </w:tcPr>
          <w:p>
            <w:pPr>
              <w:spacing w:after="0"/>
              <w:rPr>
                <w:sz w:val="10"/>
                <w:szCs w:val="10"/>
                <w:color w:val="auto"/>
              </w:rPr>
            </w:pPr>
          </w:p>
        </w:tc>
        <w:tc>
          <w:tcPr>
            <w:tcW w:w="260" w:type="dxa"/>
            <w:vAlign w:val="bottom"/>
            <w:vMerge w:val="restart"/>
          </w:tcPr>
          <w:p>
            <w:pPr>
              <w:jc w:val="right"/>
              <w:ind w:right="117"/>
              <w:spacing w:after="0"/>
              <w:rPr>
                <w:sz w:val="20"/>
                <w:szCs w:val="20"/>
                <w:color w:val="auto"/>
              </w:rPr>
            </w:pPr>
            <w:r>
              <w:rPr>
                <w:rFonts w:ascii="Arial" w:cs="Arial" w:eastAsia="Arial" w:hAnsi="Arial"/>
                <w:sz w:val="13"/>
                <w:szCs w:val="13"/>
                <w:color w:val="auto"/>
                <w:w w:val="82"/>
              </w:rPr>
              <w:t>$</w:t>
            </w:r>
          </w:p>
        </w:tc>
        <w:tc>
          <w:tcPr>
            <w:tcW w:w="600" w:type="dxa"/>
            <w:vAlign w:val="bottom"/>
            <w:vMerge w:val="restart"/>
          </w:tcPr>
          <w:p>
            <w:pPr>
              <w:jc w:val="right"/>
              <w:ind w:right="17"/>
              <w:spacing w:after="0"/>
              <w:rPr>
                <w:sz w:val="20"/>
                <w:szCs w:val="20"/>
                <w:color w:val="auto"/>
              </w:rPr>
            </w:pPr>
            <w:r>
              <w:rPr>
                <w:rFonts w:ascii="Arial" w:cs="Arial" w:eastAsia="Arial" w:hAnsi="Arial"/>
                <w:sz w:val="13"/>
                <w:szCs w:val="13"/>
                <w:color w:val="auto"/>
              </w:rPr>
              <w:t>44,811</w:t>
            </w:r>
          </w:p>
        </w:tc>
        <w:tc>
          <w:tcPr>
            <w:tcW w:w="0" w:type="dxa"/>
            <w:vAlign w:val="bottom"/>
          </w:tcPr>
          <w:p>
            <w:pPr>
              <w:spacing w:after="0"/>
              <w:rPr>
                <w:sz w:val="1"/>
                <w:szCs w:val="1"/>
                <w:color w:val="auto"/>
              </w:rPr>
            </w:pPr>
          </w:p>
        </w:tc>
      </w:tr>
      <w:tr>
        <w:trPr>
          <w:trHeight w:val="171"/>
        </w:trPr>
        <w:tc>
          <w:tcPr>
            <w:tcW w:w="2340" w:type="dxa"/>
            <w:vAlign w:val="bottom"/>
          </w:tcPr>
          <w:p>
            <w:pPr>
              <w:ind w:left="280"/>
              <w:spacing w:after="0"/>
              <w:rPr>
                <w:sz w:val="20"/>
                <w:szCs w:val="20"/>
                <w:color w:val="auto"/>
              </w:rPr>
            </w:pPr>
            <w:r>
              <w:rPr>
                <w:rFonts w:ascii="Arial" w:cs="Arial" w:eastAsia="Arial" w:hAnsi="Arial"/>
                <w:sz w:val="13"/>
                <w:szCs w:val="13"/>
                <w:b w:val="1"/>
                <w:bCs w:val="1"/>
                <w:color w:val="auto"/>
              </w:rPr>
              <w:t>stockholders’ equity (deficit)</w:t>
            </w:r>
          </w:p>
        </w:tc>
        <w:tc>
          <w:tcPr>
            <w:tcW w:w="36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25" w:right="1440" w:bottom="1440" w:gutter="0" w:footer="0" w:header="0"/>
          <w:type w:val="continuous"/>
        </w:sectPr>
      </w:pPr>
    </w:p>
    <w:p>
      <w:pPr>
        <w:spacing w:after="0" w:line="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0219"/>
          </w:cols>
          <w:pgMar w:left="240" w:top="125" w:right="1440"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gridSpan w:val="8"/>
          </w:tcPr>
          <w:p>
            <w:pPr>
              <w:jc w:val="center"/>
              <w:ind w:right="120"/>
              <w:spacing w:after="0"/>
              <w:rPr>
                <w:sz w:val="20"/>
                <w:szCs w:val="20"/>
                <w:color w:val="auto"/>
              </w:rPr>
            </w:pPr>
            <w:r>
              <w:rPr>
                <w:rFonts w:ascii="Arial" w:cs="Arial" w:eastAsia="Arial" w:hAnsi="Arial"/>
                <w:sz w:val="16"/>
                <w:szCs w:val="16"/>
                <w:color w:val="auto"/>
                <w:w w:val="91"/>
              </w:rPr>
              <w:t>December 31, 2013</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57"/>
              <w:spacing w:after="0" w:line="141" w:lineRule="exact"/>
              <w:rPr>
                <w:sz w:val="20"/>
                <w:szCs w:val="20"/>
                <w:color w:val="auto"/>
              </w:rPr>
            </w:pPr>
            <w:r>
              <w:rPr>
                <w:rFonts w:ascii="Arial" w:cs="Arial" w:eastAsia="Arial" w:hAnsi="Arial"/>
                <w:sz w:val="13"/>
                <w:szCs w:val="13"/>
                <w:color w:val="auto"/>
                <w:w w:val="90"/>
              </w:rPr>
              <w:t>American</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180" w:type="dxa"/>
            <w:vAlign w:val="bottom"/>
            <w:gridSpan w:val="3"/>
          </w:tcPr>
          <w:p>
            <w:pPr>
              <w:jc w:val="center"/>
              <w:ind w:right="120"/>
              <w:spacing w:after="0" w:line="135" w:lineRule="exact"/>
              <w:rPr>
                <w:sz w:val="20"/>
                <w:szCs w:val="20"/>
                <w:color w:val="auto"/>
              </w:rPr>
            </w:pPr>
            <w:r>
              <w:rPr>
                <w:rFonts w:ascii="Arial" w:cs="Arial" w:eastAsia="Arial" w:hAnsi="Arial"/>
                <w:sz w:val="13"/>
                <w:szCs w:val="13"/>
                <w:color w:val="auto"/>
                <w:w w:val="92"/>
              </w:rPr>
              <w:t>American Airlines</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92"/>
              </w:rPr>
              <w:t>US Airways</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92"/>
              </w:rPr>
              <w:t>Non-</w:t>
            </w: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92"/>
              </w:rPr>
              <w:t>Airlines Group</w:t>
            </w:r>
          </w:p>
        </w:tc>
        <w:tc>
          <w:tcPr>
            <w:tcW w:w="0" w:type="dxa"/>
            <w:vAlign w:val="bottom"/>
          </w:tcPr>
          <w:p>
            <w:pPr>
              <w:spacing w:after="0"/>
              <w:rPr>
                <w:sz w:val="1"/>
                <w:szCs w:val="1"/>
                <w:color w:val="auto"/>
              </w:rPr>
            </w:pPr>
          </w:p>
        </w:tc>
      </w:tr>
      <w:tr>
        <w:trPr>
          <w:trHeight w:val="135"/>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84"/>
              </w:rPr>
              <w:t>Group (Parent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jc w:val="center"/>
              <w:ind w:right="80"/>
              <w:spacing w:after="0" w:line="135" w:lineRule="exact"/>
              <w:rPr>
                <w:sz w:val="20"/>
                <w:szCs w:val="20"/>
                <w:color w:val="auto"/>
              </w:rPr>
            </w:pPr>
            <w:r>
              <w:rPr>
                <w:rFonts w:ascii="Arial" w:cs="Arial" w:eastAsia="Arial" w:hAnsi="Arial"/>
                <w:sz w:val="13"/>
                <w:szCs w:val="13"/>
                <w:color w:val="auto"/>
                <w:w w:val="87"/>
              </w:rPr>
              <w:t>Group (Parent</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85"/>
              </w:rPr>
              <w:t>Guarantor</w:t>
            </w:r>
          </w:p>
        </w:tc>
        <w:tc>
          <w:tcPr>
            <w:tcW w:w="80" w:type="dxa"/>
            <w:vAlign w:val="bottom"/>
          </w:tcPr>
          <w:p>
            <w:pPr>
              <w:spacing w:after="0"/>
              <w:rPr>
                <w:sz w:val="11"/>
                <w:szCs w:val="11"/>
                <w:color w:val="auto"/>
              </w:rPr>
            </w:pPr>
          </w:p>
        </w:tc>
        <w:tc>
          <w:tcPr>
            <w:tcW w:w="1060" w:type="dxa"/>
            <w:vAlign w:val="bottom"/>
            <w:gridSpan w:val="2"/>
          </w:tcPr>
          <w:p>
            <w:pPr>
              <w:spacing w:after="0" w:line="135" w:lineRule="exact"/>
              <w:rPr>
                <w:sz w:val="20"/>
                <w:szCs w:val="20"/>
                <w:color w:val="auto"/>
              </w:rPr>
            </w:pPr>
            <w:r>
              <w:rPr>
                <w:rFonts w:ascii="Arial" w:cs="Arial" w:eastAsia="Arial" w:hAnsi="Arial"/>
                <w:sz w:val="13"/>
                <w:szCs w:val="13"/>
                <w:color w:val="auto"/>
              </w:rPr>
              <w:t>Eliminations and</w:t>
            </w:r>
          </w:p>
        </w:tc>
        <w:tc>
          <w:tcPr>
            <w:tcW w:w="100" w:type="dxa"/>
            <w:vAlign w:val="bottom"/>
          </w:tcPr>
          <w:p>
            <w:pPr>
              <w:spacing w:after="0"/>
              <w:rPr>
                <w:sz w:val="11"/>
                <w:szCs w:val="11"/>
                <w:color w:val="auto"/>
              </w:rPr>
            </w:pPr>
          </w:p>
        </w:tc>
        <w:tc>
          <w:tcPr>
            <w:tcW w:w="78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95"/>
              </w:rPr>
              <w:t>Inc.</w:t>
            </w: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color w:val="auto"/>
                <w:w w:val="90"/>
              </w:rPr>
              <w:t>Company Only)</w:t>
            </w:r>
          </w:p>
        </w:tc>
        <w:tc>
          <w:tcPr>
            <w:tcW w:w="10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color w:val="auto"/>
              </w:rPr>
              <w:t>American</w:t>
            </w:r>
          </w:p>
        </w:tc>
        <w:tc>
          <w:tcPr>
            <w:tcW w:w="1000" w:type="dxa"/>
            <w:vAlign w:val="bottom"/>
            <w:gridSpan w:val="3"/>
          </w:tcPr>
          <w:p>
            <w:pPr>
              <w:ind w:left="40"/>
              <w:spacing w:after="0"/>
              <w:rPr>
                <w:sz w:val="20"/>
                <w:szCs w:val="20"/>
                <w:color w:val="auto"/>
              </w:rPr>
            </w:pPr>
            <w:r>
              <w:rPr>
                <w:rFonts w:ascii="Arial" w:cs="Arial" w:eastAsia="Arial" w:hAnsi="Arial"/>
                <w:sz w:val="13"/>
                <w:szCs w:val="13"/>
                <w:color w:val="auto"/>
              </w:rPr>
              <w:t>Company Only)</w:t>
            </w:r>
          </w:p>
        </w:tc>
        <w:tc>
          <w:tcPr>
            <w:tcW w:w="860" w:type="dxa"/>
            <w:vAlign w:val="bottom"/>
            <w:gridSpan w:val="3"/>
          </w:tcPr>
          <w:p>
            <w:pPr>
              <w:jc w:val="center"/>
              <w:ind w:right="120"/>
              <w:spacing w:after="0"/>
              <w:rPr>
                <w:sz w:val="20"/>
                <w:szCs w:val="20"/>
                <w:color w:val="auto"/>
              </w:rPr>
            </w:pPr>
            <w:r>
              <w:rPr>
                <w:rFonts w:ascii="Arial" w:cs="Arial" w:eastAsia="Arial" w:hAnsi="Arial"/>
                <w:sz w:val="13"/>
                <w:szCs w:val="13"/>
                <w:color w:val="auto"/>
                <w:w w:val="92"/>
              </w:rPr>
              <w:t>US Airways</w:t>
            </w:r>
          </w:p>
        </w:tc>
        <w:tc>
          <w:tcPr>
            <w:tcW w:w="900" w:type="dxa"/>
            <w:vAlign w:val="bottom"/>
            <w:gridSpan w:val="3"/>
          </w:tcPr>
          <w:p>
            <w:pPr>
              <w:jc w:val="center"/>
              <w:ind w:right="120"/>
              <w:spacing w:after="0"/>
              <w:rPr>
                <w:sz w:val="20"/>
                <w:szCs w:val="20"/>
                <w:color w:val="auto"/>
              </w:rPr>
            </w:pPr>
            <w:r>
              <w:rPr>
                <w:rFonts w:ascii="Arial" w:cs="Arial" w:eastAsia="Arial" w:hAnsi="Arial"/>
                <w:sz w:val="13"/>
                <w:szCs w:val="13"/>
                <w:color w:val="auto"/>
                <w:w w:val="87"/>
              </w:rPr>
              <w:t>Subsidiaries</w:t>
            </w:r>
          </w:p>
        </w:tc>
        <w:tc>
          <w:tcPr>
            <w:tcW w:w="8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3"/>
                <w:szCs w:val="13"/>
                <w:color w:val="auto"/>
              </w:rPr>
              <w:t>Reclassifications</w:t>
            </w:r>
          </w:p>
        </w:tc>
        <w:tc>
          <w:tcPr>
            <w:tcW w:w="100" w:type="dxa"/>
            <w:vAlign w:val="bottom"/>
          </w:tcPr>
          <w:p>
            <w:pPr>
              <w:spacing w:after="0"/>
              <w:rPr>
                <w:sz w:val="14"/>
                <w:szCs w:val="14"/>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color w:val="auto"/>
                <w:w w:val="86"/>
              </w:rPr>
              <w:t>Consolidated</w:t>
            </w:r>
          </w:p>
        </w:tc>
        <w:tc>
          <w:tcPr>
            <w:tcW w:w="0" w:type="dxa"/>
            <w:vAlign w:val="bottom"/>
          </w:tcPr>
          <w:p>
            <w:pPr>
              <w:spacing w:after="0"/>
              <w:rPr>
                <w:sz w:val="1"/>
                <w:szCs w:val="1"/>
                <w:color w:val="auto"/>
              </w:rPr>
            </w:pPr>
          </w:p>
        </w:tc>
      </w:tr>
      <w:tr>
        <w:trPr>
          <w:trHeight w:val="160"/>
        </w:trPr>
        <w:tc>
          <w:tcPr>
            <w:tcW w:w="2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ASSETS</w:t>
            </w: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200" w:type="dxa"/>
            <w:vAlign w:val="bottom"/>
          </w:tcPr>
          <w:p>
            <w:pPr>
              <w:ind w:left="40"/>
              <w:spacing w:after="0"/>
              <w:rPr>
                <w:sz w:val="20"/>
                <w:szCs w:val="20"/>
                <w:color w:val="auto"/>
              </w:rPr>
            </w:pPr>
            <w:r>
              <w:rPr>
                <w:rFonts w:ascii="Arial" w:cs="Arial" w:eastAsia="Arial" w:hAnsi="Arial"/>
                <w:sz w:val="13"/>
                <w:szCs w:val="13"/>
                <w:b w:val="1"/>
                <w:bCs w:val="1"/>
                <w:color w:val="auto"/>
              </w:rPr>
              <w:t>Current assets</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Cash</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829</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78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303</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5"/>
                <w:szCs w:val="15"/>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1,140</w:t>
            </w:r>
          </w:p>
        </w:tc>
        <w:tc>
          <w:tcPr>
            <w:tcW w:w="0" w:type="dxa"/>
            <w:vAlign w:val="bottom"/>
          </w:tcPr>
          <w:p>
            <w:pPr>
              <w:spacing w:after="0"/>
              <w:rPr>
                <w:sz w:val="1"/>
                <w:szCs w:val="1"/>
                <w:color w:val="auto"/>
              </w:rPr>
            </w:pPr>
          </w:p>
        </w:tc>
      </w:tr>
      <w:tr>
        <w:trPr>
          <w:trHeight w:val="97"/>
        </w:trPr>
        <w:tc>
          <w:tcPr>
            <w:tcW w:w="2200" w:type="dxa"/>
            <w:vAlign w:val="bottom"/>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vMerge w:val="continue"/>
            <w:shd w:val="clear" w:color="auto" w:fill="CCEEFF"/>
          </w:tcPr>
          <w:p>
            <w:pPr>
              <w:spacing w:after="0"/>
              <w:rPr>
                <w:sz w:val="8"/>
                <w:szCs w:val="8"/>
                <w:color w:val="auto"/>
              </w:rPr>
            </w:pPr>
          </w:p>
        </w:tc>
        <w:tc>
          <w:tcPr>
            <w:tcW w:w="1060" w:type="dxa"/>
            <w:vAlign w:val="bottom"/>
            <w:gridSpan w:val="2"/>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200" w:type="dxa"/>
            <w:vAlign w:val="bottom"/>
          </w:tcPr>
          <w:p>
            <w:pPr>
              <w:ind w:left="280"/>
              <w:spacing w:after="0"/>
              <w:rPr>
                <w:sz w:val="20"/>
                <w:szCs w:val="20"/>
                <w:color w:val="auto"/>
              </w:rPr>
            </w:pPr>
            <w:r>
              <w:rPr>
                <w:rFonts w:ascii="Arial" w:cs="Arial" w:eastAsia="Arial" w:hAnsi="Arial"/>
                <w:sz w:val="13"/>
                <w:szCs w:val="13"/>
                <w:color w:val="auto"/>
              </w:rPr>
              <w:t>Short-term investments</w:t>
            </w:r>
          </w:p>
        </w:tc>
        <w:tc>
          <w:tcPr>
            <w:tcW w:w="100" w:type="dxa"/>
            <w:vAlign w:val="bottom"/>
          </w:tcPr>
          <w:p>
            <w:pPr>
              <w:spacing w:after="0"/>
              <w:rPr>
                <w:sz w:val="15"/>
                <w:szCs w:val="15"/>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vMerge w:val="restart"/>
          </w:tcPr>
          <w:p>
            <w:pPr>
              <w:jc w:val="right"/>
              <w:ind w:right="17"/>
              <w:spacing w:after="0"/>
              <w:rPr>
                <w:sz w:val="20"/>
                <w:szCs w:val="20"/>
                <w:color w:val="auto"/>
              </w:rPr>
            </w:pPr>
            <w:r>
              <w:rPr>
                <w:rFonts w:ascii="Arial" w:cs="Arial" w:eastAsia="Arial" w:hAnsi="Arial"/>
                <w:sz w:val="13"/>
                <w:szCs w:val="13"/>
                <w:color w:val="auto"/>
              </w:rPr>
              <w:t>5,162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540" w:type="dxa"/>
            <w:vAlign w:val="bottom"/>
            <w:vMerge w:val="restart"/>
          </w:tcPr>
          <w:p>
            <w:pPr>
              <w:jc w:val="right"/>
              <w:ind w:right="37"/>
              <w:spacing w:after="0"/>
              <w:rPr>
                <w:sz w:val="20"/>
                <w:szCs w:val="20"/>
                <w:color w:val="auto"/>
              </w:rPr>
            </w:pPr>
            <w:r>
              <w:rPr>
                <w:rFonts w:ascii="Arial" w:cs="Arial" w:eastAsia="Arial" w:hAnsi="Arial"/>
                <w:sz w:val="13"/>
                <w:szCs w:val="13"/>
                <w:color w:val="auto"/>
              </w:rPr>
              <w:t>2,947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8,111</w:t>
            </w:r>
          </w:p>
        </w:tc>
        <w:tc>
          <w:tcPr>
            <w:tcW w:w="0" w:type="dxa"/>
            <w:vAlign w:val="bottom"/>
          </w:tcPr>
          <w:p>
            <w:pPr>
              <w:spacing w:after="0"/>
              <w:rPr>
                <w:sz w:val="1"/>
                <w:szCs w:val="1"/>
                <w:color w:val="auto"/>
              </w:rPr>
            </w:pPr>
          </w:p>
        </w:tc>
      </w:tr>
      <w:tr>
        <w:trPr>
          <w:trHeight w:val="89"/>
        </w:trPr>
        <w:tc>
          <w:tcPr>
            <w:tcW w:w="2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Restricted cash and short-term</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investments</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333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1,035</w:t>
            </w:r>
          </w:p>
        </w:tc>
        <w:tc>
          <w:tcPr>
            <w:tcW w:w="0" w:type="dxa"/>
            <w:vAlign w:val="bottom"/>
          </w:tcPr>
          <w:p>
            <w:pPr>
              <w:spacing w:after="0"/>
              <w:rPr>
                <w:sz w:val="1"/>
                <w:szCs w:val="1"/>
                <w:color w:val="auto"/>
              </w:rPr>
            </w:pPr>
          </w:p>
        </w:tc>
      </w:tr>
      <w:tr>
        <w:trPr>
          <w:trHeight w:val="173"/>
        </w:trPr>
        <w:tc>
          <w:tcPr>
            <w:tcW w:w="2200" w:type="dxa"/>
            <w:vAlign w:val="bottom"/>
          </w:tcPr>
          <w:p>
            <w:pPr>
              <w:ind w:left="280"/>
              <w:spacing w:after="0"/>
              <w:rPr>
                <w:sz w:val="20"/>
                <w:szCs w:val="20"/>
                <w:color w:val="auto"/>
              </w:rPr>
            </w:pPr>
            <w:r>
              <w:rPr>
                <w:rFonts w:ascii="Arial" w:cs="Arial" w:eastAsia="Arial" w:hAnsi="Arial"/>
                <w:sz w:val="13"/>
                <w:szCs w:val="13"/>
                <w:color w:val="auto"/>
              </w:rPr>
              <w:t>Accounts receivable, net</w:t>
            </w:r>
          </w:p>
        </w:tc>
        <w:tc>
          <w:tcPr>
            <w:tcW w:w="100" w:type="dxa"/>
            <w:vAlign w:val="bottom"/>
          </w:tcPr>
          <w:p>
            <w:pPr>
              <w:spacing w:after="0"/>
              <w:rPr>
                <w:sz w:val="15"/>
                <w:szCs w:val="15"/>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vMerge w:val="restart"/>
          </w:tcPr>
          <w:p>
            <w:pPr>
              <w:jc w:val="right"/>
              <w:ind w:right="17"/>
              <w:spacing w:after="0"/>
              <w:rPr>
                <w:sz w:val="20"/>
                <w:szCs w:val="20"/>
                <w:color w:val="auto"/>
              </w:rPr>
            </w:pPr>
            <w:r>
              <w:rPr>
                <w:rFonts w:ascii="Arial" w:cs="Arial" w:eastAsia="Arial" w:hAnsi="Arial"/>
                <w:sz w:val="13"/>
                <w:szCs w:val="13"/>
                <w:color w:val="auto"/>
              </w:rPr>
              <w:t>1,186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540" w:type="dxa"/>
            <w:vAlign w:val="bottom"/>
            <w:vMerge w:val="restart"/>
          </w:tcPr>
          <w:p>
            <w:pPr>
              <w:jc w:val="right"/>
              <w:ind w:right="17"/>
              <w:spacing w:after="0"/>
              <w:rPr>
                <w:sz w:val="20"/>
                <w:szCs w:val="20"/>
                <w:color w:val="auto"/>
              </w:rPr>
            </w:pPr>
            <w:r>
              <w:rPr>
                <w:rFonts w:ascii="Arial" w:cs="Arial" w:eastAsia="Arial" w:hAnsi="Arial"/>
                <w:sz w:val="13"/>
                <w:szCs w:val="13"/>
                <w:color w:val="auto"/>
              </w:rPr>
              <w:t>357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1,560</w:t>
            </w:r>
          </w:p>
        </w:tc>
        <w:tc>
          <w:tcPr>
            <w:tcW w:w="0" w:type="dxa"/>
            <w:vAlign w:val="bottom"/>
          </w:tcPr>
          <w:p>
            <w:pPr>
              <w:spacing w:after="0"/>
              <w:rPr>
                <w:sz w:val="1"/>
                <w:szCs w:val="1"/>
                <w:color w:val="auto"/>
              </w:rPr>
            </w:pPr>
          </w:p>
        </w:tc>
      </w:tr>
      <w:tr>
        <w:trPr>
          <w:trHeight w:val="89"/>
        </w:trPr>
        <w:tc>
          <w:tcPr>
            <w:tcW w:w="2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200" w:type="dxa"/>
            <w:vAlign w:val="bottom"/>
            <w:shd w:val="clear" w:color="auto" w:fill="CCEEFF"/>
          </w:tcPr>
          <w:p>
            <w:pPr>
              <w:ind w:left="280"/>
              <w:spacing w:after="0"/>
              <w:rPr>
                <w:sz w:val="20"/>
                <w:szCs w:val="20"/>
                <w:color w:val="auto"/>
              </w:rPr>
            </w:pPr>
            <w:r>
              <w:rPr>
                <w:rFonts w:ascii="Arial" w:cs="Arial" w:eastAsia="Arial" w:hAnsi="Arial"/>
                <w:sz w:val="13"/>
                <w:szCs w:val="13"/>
                <w:color w:val="auto"/>
                <w:w w:val="99"/>
              </w:rPr>
              <w:t>Receivables from related parties,</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2,468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144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407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200" w:type="dxa"/>
            <w:vAlign w:val="bottom"/>
          </w:tcPr>
          <w:p>
            <w:pPr>
              <w:ind w:left="280"/>
              <w:spacing w:after="0" w:line="148" w:lineRule="exact"/>
              <w:rPr>
                <w:sz w:val="20"/>
                <w:szCs w:val="20"/>
                <w:color w:val="auto"/>
              </w:rPr>
            </w:pPr>
            <w:r>
              <w:rPr>
                <w:rFonts w:ascii="Arial" w:cs="Arial" w:eastAsia="Arial" w:hAnsi="Arial"/>
                <w:sz w:val="13"/>
                <w:szCs w:val="13"/>
                <w:color w:val="auto"/>
              </w:rPr>
              <w:t>Aircraft fuel, spare parts and</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200" w:type="dxa"/>
            <w:vAlign w:val="bottom"/>
          </w:tcPr>
          <w:p>
            <w:pPr>
              <w:ind w:left="280"/>
              <w:spacing w:after="0"/>
              <w:rPr>
                <w:sz w:val="20"/>
                <w:szCs w:val="20"/>
                <w:color w:val="auto"/>
              </w:rPr>
            </w:pPr>
            <w:r>
              <w:rPr>
                <w:rFonts w:ascii="Arial" w:cs="Arial" w:eastAsia="Arial" w:hAnsi="Arial"/>
                <w:sz w:val="13"/>
                <w:szCs w:val="13"/>
                <w:color w:val="auto"/>
              </w:rPr>
              <w:t>supplies, net</w:t>
            </w: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620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296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1,012</w:t>
            </w:r>
          </w:p>
        </w:tc>
        <w:tc>
          <w:tcPr>
            <w:tcW w:w="0" w:type="dxa"/>
            <w:vAlign w:val="bottom"/>
          </w:tcPr>
          <w:p>
            <w:pPr>
              <w:spacing w:after="0"/>
              <w:rPr>
                <w:sz w:val="1"/>
                <w:szCs w:val="1"/>
                <w:color w:val="auto"/>
              </w:rPr>
            </w:pPr>
          </w:p>
        </w:tc>
      </w:tr>
      <w:tr>
        <w:trPr>
          <w:trHeight w:val="181"/>
        </w:trPr>
        <w:tc>
          <w:tcPr>
            <w:tcW w:w="2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Prepaid expenses and other</w:t>
            </w:r>
          </w:p>
        </w:tc>
        <w:tc>
          <w:tcPr>
            <w:tcW w:w="10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702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857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1,465</w:t>
            </w:r>
          </w:p>
        </w:tc>
        <w:tc>
          <w:tcPr>
            <w:tcW w:w="0" w:type="dxa"/>
            <w:vAlign w:val="bottom"/>
          </w:tcPr>
          <w:p>
            <w:pPr>
              <w:spacing w:after="0"/>
              <w:rPr>
                <w:sz w:val="1"/>
                <w:szCs w:val="1"/>
                <w:color w:val="auto"/>
              </w:rPr>
            </w:pPr>
          </w:p>
        </w:tc>
      </w:tr>
      <w:tr>
        <w:trPr>
          <w:trHeight w:val="97"/>
        </w:trPr>
        <w:tc>
          <w:tcPr>
            <w:tcW w:w="2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200" w:type="dxa"/>
            <w:vAlign w:val="bottom"/>
          </w:tcPr>
          <w:p>
            <w:pPr>
              <w:ind w:left="500"/>
              <w:spacing w:after="0"/>
              <w:rPr>
                <w:sz w:val="20"/>
                <w:szCs w:val="20"/>
                <w:color w:val="auto"/>
              </w:rPr>
            </w:pPr>
            <w:r>
              <w:rPr>
                <w:rFonts w:ascii="Arial" w:cs="Arial" w:eastAsia="Arial" w:hAnsi="Arial"/>
                <w:sz w:val="13"/>
                <w:szCs w:val="13"/>
                <w:color w:val="auto"/>
              </w:rPr>
              <w:t>Total current assets</w:t>
            </w: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2,469</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9,201</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36"/>
              <w:spacing w:after="0"/>
              <w:rPr>
                <w:sz w:val="20"/>
                <w:szCs w:val="20"/>
                <w:color w:val="auto"/>
              </w:rPr>
            </w:pPr>
            <w:r>
              <w:rPr>
                <w:rFonts w:ascii="Arial" w:cs="Arial" w:eastAsia="Arial" w:hAnsi="Arial"/>
                <w:sz w:val="13"/>
                <w:szCs w:val="13"/>
                <w:color w:val="auto"/>
              </w:rPr>
              <w:t>145</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5,500</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600</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(3,592)</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14,323</w:t>
            </w:r>
          </w:p>
        </w:tc>
        <w:tc>
          <w:tcPr>
            <w:tcW w:w="0" w:type="dxa"/>
            <w:vAlign w:val="bottom"/>
          </w:tcPr>
          <w:p>
            <w:pPr>
              <w:spacing w:after="0"/>
              <w:rPr>
                <w:sz w:val="1"/>
                <w:szCs w:val="1"/>
                <w:color w:val="auto"/>
              </w:rPr>
            </w:pPr>
          </w:p>
        </w:tc>
      </w:tr>
      <w:tr>
        <w:trPr>
          <w:trHeight w:val="89"/>
        </w:trPr>
        <w:tc>
          <w:tcPr>
            <w:tcW w:w="2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2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Operating property and equipment</w:t>
            </w:r>
          </w:p>
        </w:tc>
        <w:tc>
          <w:tcPr>
            <w:tcW w:w="10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13,469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5,506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19,259</w:t>
            </w:r>
          </w:p>
        </w:tc>
        <w:tc>
          <w:tcPr>
            <w:tcW w:w="0" w:type="dxa"/>
            <w:vAlign w:val="bottom"/>
          </w:tcPr>
          <w:p>
            <w:pPr>
              <w:spacing w:after="0"/>
              <w:rPr>
                <w:sz w:val="1"/>
                <w:szCs w:val="1"/>
                <w:color w:val="auto"/>
              </w:rPr>
            </w:pPr>
          </w:p>
        </w:tc>
      </w:tr>
      <w:tr>
        <w:trPr>
          <w:trHeight w:val="97"/>
        </w:trPr>
        <w:tc>
          <w:tcPr>
            <w:tcW w:w="2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200" w:type="dxa"/>
            <w:vAlign w:val="bottom"/>
          </w:tcPr>
          <w:p>
            <w:pPr>
              <w:ind w:left="40"/>
              <w:spacing w:after="0"/>
              <w:rPr>
                <w:sz w:val="20"/>
                <w:szCs w:val="20"/>
                <w:color w:val="auto"/>
              </w:rPr>
            </w:pPr>
            <w:r>
              <w:rPr>
                <w:rFonts w:ascii="Arial" w:cs="Arial" w:eastAsia="Arial" w:hAnsi="Arial"/>
                <w:sz w:val="13"/>
                <w:szCs w:val="13"/>
                <w:b w:val="1"/>
                <w:bCs w:val="1"/>
                <w:color w:val="auto"/>
              </w:rPr>
              <w:t>Other assets</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Investment in subsidiaries</w:t>
            </w:r>
          </w:p>
        </w:tc>
        <w:tc>
          <w:tcPr>
            <w:tcW w:w="10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5,317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(5,317)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7"/>
        </w:trPr>
        <w:tc>
          <w:tcPr>
            <w:tcW w:w="2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200" w:type="dxa"/>
            <w:vAlign w:val="bottom"/>
          </w:tcPr>
          <w:p>
            <w:pPr>
              <w:ind w:left="280"/>
              <w:spacing w:after="0"/>
              <w:rPr>
                <w:sz w:val="20"/>
                <w:szCs w:val="20"/>
                <w:color w:val="auto"/>
              </w:rPr>
            </w:pPr>
            <w:r>
              <w:rPr>
                <w:rFonts w:ascii="Arial" w:cs="Arial" w:eastAsia="Arial" w:hAnsi="Arial"/>
                <w:sz w:val="13"/>
                <w:szCs w:val="13"/>
                <w:color w:val="auto"/>
              </w:rPr>
              <w:t>Goodwill</w:t>
            </w:r>
          </w:p>
        </w:tc>
        <w:tc>
          <w:tcPr>
            <w:tcW w:w="100" w:type="dxa"/>
            <w:vAlign w:val="bottom"/>
          </w:tcPr>
          <w:p>
            <w:pPr>
              <w:spacing w:after="0"/>
              <w:rPr>
                <w:sz w:val="15"/>
                <w:szCs w:val="15"/>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540" w:type="dxa"/>
            <w:vAlign w:val="bottom"/>
            <w:vMerge w:val="restart"/>
          </w:tcPr>
          <w:p>
            <w:pPr>
              <w:jc w:val="right"/>
              <w:ind w:right="37"/>
              <w:spacing w:after="0"/>
              <w:rPr>
                <w:sz w:val="20"/>
                <w:szCs w:val="20"/>
                <w:color w:val="auto"/>
              </w:rPr>
            </w:pPr>
            <w:r>
              <w:rPr>
                <w:rFonts w:ascii="Arial" w:cs="Arial" w:eastAsia="Arial" w:hAnsi="Arial"/>
                <w:sz w:val="13"/>
                <w:szCs w:val="13"/>
                <w:color w:val="auto"/>
              </w:rPr>
              <w:t>4,086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4,086</w:t>
            </w:r>
          </w:p>
        </w:tc>
        <w:tc>
          <w:tcPr>
            <w:tcW w:w="0" w:type="dxa"/>
            <w:vAlign w:val="bottom"/>
          </w:tcPr>
          <w:p>
            <w:pPr>
              <w:spacing w:after="0"/>
              <w:rPr>
                <w:sz w:val="1"/>
                <w:szCs w:val="1"/>
                <w:color w:val="auto"/>
              </w:rPr>
            </w:pPr>
          </w:p>
        </w:tc>
      </w:tr>
      <w:tr>
        <w:trPr>
          <w:trHeight w:val="89"/>
        </w:trPr>
        <w:tc>
          <w:tcPr>
            <w:tcW w:w="2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Intangibles, net of accumulated</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amortization</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1,496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2,311</w:t>
            </w:r>
          </w:p>
        </w:tc>
        <w:tc>
          <w:tcPr>
            <w:tcW w:w="0" w:type="dxa"/>
            <w:vAlign w:val="bottom"/>
          </w:tcPr>
          <w:p>
            <w:pPr>
              <w:spacing w:after="0"/>
              <w:rPr>
                <w:sz w:val="1"/>
                <w:szCs w:val="1"/>
                <w:color w:val="auto"/>
              </w:rPr>
            </w:pPr>
          </w:p>
        </w:tc>
      </w:tr>
      <w:tr>
        <w:trPr>
          <w:trHeight w:val="173"/>
        </w:trPr>
        <w:tc>
          <w:tcPr>
            <w:tcW w:w="2200" w:type="dxa"/>
            <w:vAlign w:val="bottom"/>
          </w:tcPr>
          <w:p>
            <w:pPr>
              <w:ind w:left="280"/>
              <w:spacing w:after="0"/>
              <w:rPr>
                <w:sz w:val="20"/>
                <w:szCs w:val="20"/>
                <w:color w:val="auto"/>
              </w:rPr>
            </w:pPr>
            <w:r>
              <w:rPr>
                <w:rFonts w:ascii="Arial" w:cs="Arial" w:eastAsia="Arial" w:hAnsi="Arial"/>
                <w:sz w:val="13"/>
                <w:szCs w:val="13"/>
                <w:color w:val="auto"/>
              </w:rPr>
              <w:t>Other assets</w:t>
            </w:r>
          </w:p>
        </w:tc>
        <w:tc>
          <w:tcPr>
            <w:tcW w:w="100" w:type="dxa"/>
            <w:vAlign w:val="bottom"/>
          </w:tcPr>
          <w:p>
            <w:pPr>
              <w:spacing w:after="0"/>
              <w:rPr>
                <w:sz w:val="15"/>
                <w:szCs w:val="15"/>
                <w:color w:val="auto"/>
              </w:rPr>
            </w:pPr>
          </w:p>
        </w:tc>
        <w:tc>
          <w:tcPr>
            <w:tcW w:w="960" w:type="dxa"/>
            <w:vAlign w:val="bottom"/>
            <w:vMerge w:val="restart"/>
          </w:tcPr>
          <w:p>
            <w:pPr>
              <w:jc w:val="right"/>
              <w:ind w:right="37"/>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ind w:right="17"/>
              <w:spacing w:after="0"/>
              <w:rPr>
                <w:sz w:val="20"/>
                <w:szCs w:val="20"/>
                <w:color w:val="auto"/>
              </w:rPr>
            </w:pPr>
            <w:r>
              <w:rPr>
                <w:rFonts w:ascii="Arial" w:cs="Arial" w:eastAsia="Arial" w:hAnsi="Arial"/>
                <w:sz w:val="13"/>
                <w:szCs w:val="13"/>
                <w:color w:val="auto"/>
              </w:rPr>
              <w:t>2,130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540" w:type="dxa"/>
            <w:vAlign w:val="bottom"/>
            <w:vMerge w:val="restart"/>
          </w:tcPr>
          <w:p>
            <w:pPr>
              <w:jc w:val="right"/>
              <w:ind w:right="17"/>
              <w:spacing w:after="0"/>
              <w:rPr>
                <w:sz w:val="20"/>
                <w:szCs w:val="20"/>
                <w:color w:val="auto"/>
              </w:rPr>
            </w:pPr>
            <w:r>
              <w:rPr>
                <w:rFonts w:ascii="Arial" w:cs="Arial" w:eastAsia="Arial" w:hAnsi="Arial"/>
                <w:sz w:val="13"/>
                <w:szCs w:val="13"/>
                <w:color w:val="auto"/>
              </w:rPr>
              <w:t>131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2,299</w:t>
            </w:r>
          </w:p>
        </w:tc>
        <w:tc>
          <w:tcPr>
            <w:tcW w:w="0" w:type="dxa"/>
            <w:vAlign w:val="bottom"/>
          </w:tcPr>
          <w:p>
            <w:pPr>
              <w:spacing w:after="0"/>
              <w:rPr>
                <w:sz w:val="1"/>
                <w:szCs w:val="1"/>
                <w:color w:val="auto"/>
              </w:rPr>
            </w:pPr>
          </w:p>
        </w:tc>
      </w:tr>
      <w:tr>
        <w:trPr>
          <w:trHeight w:val="91"/>
        </w:trPr>
        <w:tc>
          <w:tcPr>
            <w:tcW w:w="2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20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3"/>
                <w:szCs w:val="13"/>
                <w:color w:val="auto"/>
              </w:rPr>
              <w:t>Total other assets</w:t>
            </w:r>
          </w:p>
        </w:tc>
        <w:tc>
          <w:tcPr>
            <w:tcW w:w="1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42</w:t>
            </w: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2,942</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5,317</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5,713</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33</w:t>
            </w: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(5,351)</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8,696</w:t>
            </w:r>
          </w:p>
        </w:tc>
        <w:tc>
          <w:tcPr>
            <w:tcW w:w="0" w:type="dxa"/>
            <w:vAlign w:val="bottom"/>
          </w:tcPr>
          <w:p>
            <w:pPr>
              <w:spacing w:after="0"/>
              <w:rPr>
                <w:sz w:val="1"/>
                <w:szCs w:val="1"/>
                <w:color w:val="auto"/>
              </w:rPr>
            </w:pPr>
          </w:p>
        </w:tc>
      </w:tr>
      <w:tr>
        <w:trPr>
          <w:trHeight w:val="97"/>
        </w:trPr>
        <w:tc>
          <w:tcPr>
            <w:tcW w:w="22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96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78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96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78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200" w:type="dxa"/>
            <w:vAlign w:val="bottom"/>
          </w:tcPr>
          <w:p>
            <w:pPr>
              <w:ind w:left="720"/>
              <w:spacing w:after="0"/>
              <w:rPr>
                <w:sz w:val="20"/>
                <w:szCs w:val="20"/>
                <w:color w:val="auto"/>
              </w:rPr>
            </w:pPr>
            <w:r>
              <w:rPr>
                <w:rFonts w:ascii="Arial" w:cs="Arial" w:eastAsia="Arial" w:hAnsi="Arial"/>
                <w:sz w:val="13"/>
                <w:szCs w:val="13"/>
                <w:b w:val="1"/>
                <w:bCs w:val="1"/>
                <w:color w:val="auto"/>
              </w:rPr>
              <w:t>Total assets</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vMerge w:val="restart"/>
          </w:tcPr>
          <w:p>
            <w:pPr>
              <w:jc w:val="right"/>
              <w:ind w:right="37"/>
              <w:spacing w:after="0"/>
              <w:rPr>
                <w:sz w:val="20"/>
                <w:szCs w:val="20"/>
                <w:color w:val="auto"/>
              </w:rPr>
            </w:pPr>
            <w:r>
              <w:rPr>
                <w:rFonts w:ascii="Arial" w:cs="Arial" w:eastAsia="Arial" w:hAnsi="Arial"/>
                <w:sz w:val="13"/>
                <w:szCs w:val="13"/>
                <w:color w:val="auto"/>
              </w:rPr>
              <w:t>2,511</w:t>
            </w:r>
          </w:p>
        </w:tc>
        <w:tc>
          <w:tcPr>
            <w:tcW w:w="1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ind w:right="17"/>
              <w:spacing w:after="0"/>
              <w:rPr>
                <w:sz w:val="20"/>
                <w:szCs w:val="20"/>
                <w:color w:val="auto"/>
              </w:rPr>
            </w:pPr>
            <w:r>
              <w:rPr>
                <w:rFonts w:ascii="Arial" w:cs="Arial" w:eastAsia="Arial" w:hAnsi="Arial"/>
                <w:sz w:val="13"/>
                <w:szCs w:val="13"/>
                <w:color w:val="auto"/>
              </w:rPr>
              <w:t>25,612</w:t>
            </w:r>
          </w:p>
        </w:tc>
        <w:tc>
          <w:tcPr>
            <w:tcW w:w="100" w:type="dxa"/>
            <w:vAlign w:val="bottom"/>
          </w:tcPr>
          <w:p>
            <w:pPr>
              <w:spacing w:after="0"/>
              <w:rPr>
                <w:sz w:val="13"/>
                <w:szCs w:val="13"/>
                <w:color w:val="auto"/>
              </w:rPr>
            </w:pPr>
          </w:p>
        </w:tc>
        <w:tc>
          <w:tcPr>
            <w:tcW w:w="120" w:type="dxa"/>
            <w:vAlign w:val="bottom"/>
            <w:vMerge w:val="restart"/>
          </w:tcPr>
          <w:p>
            <w:pPr>
              <w:ind w:left="40"/>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ind w:right="36"/>
              <w:spacing w:after="0"/>
              <w:rPr>
                <w:sz w:val="20"/>
                <w:szCs w:val="20"/>
                <w:color w:val="auto"/>
              </w:rPr>
            </w:pPr>
            <w:r>
              <w:rPr>
                <w:rFonts w:ascii="Arial" w:cs="Arial" w:eastAsia="Arial" w:hAnsi="Arial"/>
                <w:sz w:val="13"/>
                <w:szCs w:val="13"/>
                <w:color w:val="auto"/>
              </w:rPr>
              <w:t>5,462</w:t>
            </w:r>
          </w:p>
        </w:tc>
        <w:tc>
          <w:tcPr>
            <w:tcW w:w="100" w:type="dxa"/>
            <w:vAlign w:val="bottom"/>
          </w:tcPr>
          <w:p>
            <w:pPr>
              <w:spacing w:after="0"/>
              <w:rPr>
                <w:sz w:val="13"/>
                <w:szCs w:val="13"/>
                <w:color w:val="auto"/>
              </w:rPr>
            </w:pPr>
          </w:p>
        </w:tc>
        <w:tc>
          <w:tcPr>
            <w:tcW w:w="2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ind w:right="17"/>
              <w:spacing w:after="0"/>
              <w:rPr>
                <w:sz w:val="20"/>
                <w:szCs w:val="20"/>
                <w:color w:val="auto"/>
              </w:rPr>
            </w:pPr>
            <w:r>
              <w:rPr>
                <w:rFonts w:ascii="Arial" w:cs="Arial" w:eastAsia="Arial" w:hAnsi="Arial"/>
                <w:sz w:val="13"/>
                <w:szCs w:val="13"/>
                <w:color w:val="auto"/>
              </w:rPr>
              <w:t>16,719</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917</w:t>
            </w:r>
          </w:p>
        </w:tc>
        <w:tc>
          <w:tcPr>
            <w:tcW w:w="120" w:type="dxa"/>
            <w:vAlign w:val="bottom"/>
          </w:tcPr>
          <w:p>
            <w:pPr>
              <w:spacing w:after="0"/>
              <w:rPr>
                <w:sz w:val="13"/>
                <w:szCs w:val="13"/>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(8,943)</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42,278</w:t>
            </w:r>
          </w:p>
        </w:tc>
        <w:tc>
          <w:tcPr>
            <w:tcW w:w="0" w:type="dxa"/>
            <w:vAlign w:val="bottom"/>
          </w:tcPr>
          <w:p>
            <w:pPr>
              <w:spacing w:after="0"/>
              <w:rPr>
                <w:sz w:val="1"/>
                <w:szCs w:val="1"/>
                <w:color w:val="auto"/>
              </w:rPr>
            </w:pPr>
          </w:p>
        </w:tc>
      </w:tr>
      <w:tr>
        <w:trPr>
          <w:trHeight w:val="117"/>
        </w:trPr>
        <w:tc>
          <w:tcPr>
            <w:tcW w:w="22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96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vMerge w:val="continue"/>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vMerge w:val="continue"/>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vMerge w:val="continue"/>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vMerge w:val="continue"/>
          </w:tcPr>
          <w:p>
            <w:pPr>
              <w:spacing w:after="0"/>
              <w:rPr>
                <w:sz w:val="10"/>
                <w:szCs w:val="10"/>
                <w:color w:val="auto"/>
              </w:rPr>
            </w:pPr>
          </w:p>
        </w:tc>
        <w:tc>
          <w:tcPr>
            <w:tcW w:w="96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3380" w:type="dxa"/>
            <w:vAlign w:val="bottom"/>
            <w:gridSpan w:val="4"/>
          </w:tcPr>
          <w:p>
            <w:pPr>
              <w:ind w:left="40"/>
              <w:spacing w:after="0"/>
              <w:rPr>
                <w:sz w:val="20"/>
                <w:szCs w:val="20"/>
                <w:color w:val="auto"/>
              </w:rPr>
            </w:pPr>
            <w:r>
              <w:rPr>
                <w:rFonts w:ascii="Arial" w:cs="Arial" w:eastAsia="Arial" w:hAnsi="Arial"/>
                <w:sz w:val="13"/>
                <w:szCs w:val="13"/>
                <w:b w:val="1"/>
                <w:bCs w:val="1"/>
                <w:color w:val="auto"/>
              </w:rPr>
              <w:t>LIABILITIES &amp; STOCKHOLDERS’ EQUITY (DEFICIT)</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2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Current liabilities</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200" w:type="dxa"/>
            <w:vAlign w:val="bottom"/>
          </w:tcPr>
          <w:p>
            <w:pPr>
              <w:ind w:left="280"/>
              <w:spacing w:after="0" w:line="148" w:lineRule="exact"/>
              <w:rPr>
                <w:sz w:val="20"/>
                <w:szCs w:val="20"/>
                <w:color w:val="auto"/>
              </w:rPr>
            </w:pPr>
            <w:r>
              <w:rPr>
                <w:rFonts w:ascii="Arial" w:cs="Arial" w:eastAsia="Arial" w:hAnsi="Arial"/>
                <w:sz w:val="13"/>
                <w:szCs w:val="13"/>
                <w:color w:val="auto"/>
              </w:rPr>
              <w:t>Current maturities of long-term</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200" w:type="dxa"/>
            <w:vAlign w:val="bottom"/>
          </w:tcPr>
          <w:p>
            <w:pPr>
              <w:ind w:left="280"/>
              <w:spacing w:after="0"/>
              <w:rPr>
                <w:sz w:val="20"/>
                <w:szCs w:val="20"/>
                <w:color w:val="auto"/>
              </w:rPr>
            </w:pPr>
            <w:r>
              <w:rPr>
                <w:rFonts w:ascii="Arial" w:cs="Arial" w:eastAsia="Arial" w:hAnsi="Arial"/>
                <w:sz w:val="13"/>
                <w:szCs w:val="13"/>
                <w:color w:val="auto"/>
              </w:rPr>
              <w:t>debt and capital leases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957</w:t>
            </w:r>
          </w:p>
        </w:tc>
        <w:tc>
          <w:tcPr>
            <w:tcW w:w="10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4"/>
                <w:szCs w:val="14"/>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467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1,446</w:t>
            </w:r>
          </w:p>
        </w:tc>
        <w:tc>
          <w:tcPr>
            <w:tcW w:w="0" w:type="dxa"/>
            <w:vAlign w:val="bottom"/>
          </w:tcPr>
          <w:p>
            <w:pPr>
              <w:spacing w:after="0"/>
              <w:rPr>
                <w:sz w:val="1"/>
                <w:szCs w:val="1"/>
                <w:color w:val="auto"/>
              </w:rPr>
            </w:pPr>
          </w:p>
        </w:tc>
      </w:tr>
      <w:tr>
        <w:trPr>
          <w:trHeight w:val="181"/>
        </w:trPr>
        <w:tc>
          <w:tcPr>
            <w:tcW w:w="2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Accounts payable</w:t>
            </w:r>
          </w:p>
        </w:tc>
        <w:tc>
          <w:tcPr>
            <w:tcW w:w="10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1,013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304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1,368</w:t>
            </w:r>
          </w:p>
        </w:tc>
        <w:tc>
          <w:tcPr>
            <w:tcW w:w="0" w:type="dxa"/>
            <w:vAlign w:val="bottom"/>
          </w:tcPr>
          <w:p>
            <w:pPr>
              <w:spacing w:after="0"/>
              <w:rPr>
                <w:sz w:val="1"/>
                <w:szCs w:val="1"/>
                <w:color w:val="auto"/>
              </w:rPr>
            </w:pPr>
          </w:p>
        </w:tc>
      </w:tr>
      <w:tr>
        <w:trPr>
          <w:trHeight w:val="97"/>
        </w:trPr>
        <w:tc>
          <w:tcPr>
            <w:tcW w:w="2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200" w:type="dxa"/>
            <w:vAlign w:val="bottom"/>
          </w:tcPr>
          <w:p>
            <w:pPr>
              <w:ind w:left="280"/>
              <w:spacing w:after="0"/>
              <w:rPr>
                <w:sz w:val="20"/>
                <w:szCs w:val="20"/>
                <w:color w:val="auto"/>
              </w:rPr>
            </w:pPr>
            <w:r>
              <w:rPr>
                <w:rFonts w:ascii="Arial" w:cs="Arial" w:eastAsia="Arial" w:hAnsi="Arial"/>
                <w:sz w:val="13"/>
                <w:szCs w:val="13"/>
                <w:color w:val="auto"/>
              </w:rPr>
              <w:t>Payables to related parties, net</w:t>
            </w:r>
          </w:p>
        </w:tc>
        <w:tc>
          <w:tcPr>
            <w:tcW w:w="100" w:type="dxa"/>
            <w:vAlign w:val="bottom"/>
          </w:tcPr>
          <w:p>
            <w:pPr>
              <w:spacing w:after="0"/>
              <w:rPr>
                <w:sz w:val="15"/>
                <w:szCs w:val="15"/>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vMerge w:val="restart"/>
          </w:tcPr>
          <w:p>
            <w:pPr>
              <w:jc w:val="right"/>
              <w:ind w:right="17"/>
              <w:spacing w:after="0"/>
              <w:rPr>
                <w:sz w:val="20"/>
                <w:szCs w:val="20"/>
                <w:color w:val="auto"/>
              </w:rPr>
            </w:pPr>
            <w:r>
              <w:rPr>
                <w:rFonts w:ascii="Arial" w:cs="Arial" w:eastAsia="Arial" w:hAnsi="Arial"/>
                <w:sz w:val="13"/>
                <w:szCs w:val="13"/>
                <w:color w:val="auto"/>
              </w:rPr>
              <w:t>2,807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right"/>
              <w:ind w:right="36"/>
              <w:spacing w:after="0"/>
              <w:rPr>
                <w:sz w:val="20"/>
                <w:szCs w:val="20"/>
                <w:color w:val="auto"/>
              </w:rPr>
            </w:pPr>
            <w:r>
              <w:rPr>
                <w:rFonts w:ascii="Arial" w:cs="Arial" w:eastAsia="Arial" w:hAnsi="Arial"/>
                <w:sz w:val="13"/>
                <w:szCs w:val="13"/>
                <w:color w:val="auto"/>
              </w:rPr>
              <w:t>408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vMerge w:val="restart"/>
          </w:tcPr>
          <w:p>
            <w:pPr>
              <w:jc w:val="right"/>
              <w:ind w:right="37"/>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213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(3,478)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9"/>
        </w:trPr>
        <w:tc>
          <w:tcPr>
            <w:tcW w:w="2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Air traffic liability</w:t>
            </w:r>
          </w:p>
        </w:tc>
        <w:tc>
          <w:tcPr>
            <w:tcW w:w="10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3,145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1,235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4,380</w:t>
            </w:r>
          </w:p>
        </w:tc>
        <w:tc>
          <w:tcPr>
            <w:tcW w:w="0" w:type="dxa"/>
            <w:vAlign w:val="bottom"/>
          </w:tcPr>
          <w:p>
            <w:pPr>
              <w:spacing w:after="0"/>
              <w:rPr>
                <w:sz w:val="1"/>
                <w:szCs w:val="1"/>
                <w:color w:val="auto"/>
              </w:rPr>
            </w:pPr>
          </w:p>
        </w:tc>
      </w:tr>
      <w:tr>
        <w:trPr>
          <w:trHeight w:val="97"/>
        </w:trPr>
        <w:tc>
          <w:tcPr>
            <w:tcW w:w="2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200" w:type="dxa"/>
            <w:vAlign w:val="bottom"/>
          </w:tcPr>
          <w:p>
            <w:pPr>
              <w:ind w:left="280"/>
              <w:spacing w:after="0"/>
              <w:rPr>
                <w:sz w:val="20"/>
                <w:szCs w:val="20"/>
                <w:color w:val="auto"/>
              </w:rPr>
            </w:pPr>
            <w:r>
              <w:rPr>
                <w:rFonts w:ascii="Arial" w:cs="Arial" w:eastAsia="Arial" w:hAnsi="Arial"/>
                <w:sz w:val="13"/>
                <w:szCs w:val="13"/>
                <w:color w:val="auto"/>
              </w:rPr>
              <w:t>Frequent flyer liability</w:t>
            </w:r>
          </w:p>
        </w:tc>
        <w:tc>
          <w:tcPr>
            <w:tcW w:w="100" w:type="dxa"/>
            <w:vAlign w:val="bottom"/>
          </w:tcPr>
          <w:p>
            <w:pPr>
              <w:spacing w:after="0"/>
              <w:rPr>
                <w:sz w:val="15"/>
                <w:szCs w:val="15"/>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vMerge w:val="restart"/>
          </w:tcPr>
          <w:p>
            <w:pPr>
              <w:jc w:val="right"/>
              <w:ind w:right="17"/>
              <w:spacing w:after="0"/>
              <w:rPr>
                <w:sz w:val="20"/>
                <w:szCs w:val="20"/>
                <w:color w:val="auto"/>
              </w:rPr>
            </w:pPr>
            <w:r>
              <w:rPr>
                <w:rFonts w:ascii="Arial" w:cs="Arial" w:eastAsia="Arial" w:hAnsi="Arial"/>
                <w:sz w:val="13"/>
                <w:szCs w:val="13"/>
                <w:color w:val="auto"/>
              </w:rPr>
              <w:t>1,760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540" w:type="dxa"/>
            <w:vAlign w:val="bottom"/>
            <w:vMerge w:val="restart"/>
          </w:tcPr>
          <w:p>
            <w:pPr>
              <w:jc w:val="right"/>
              <w:ind w:right="37"/>
              <w:spacing w:after="0"/>
              <w:rPr>
                <w:sz w:val="20"/>
                <w:szCs w:val="20"/>
                <w:color w:val="auto"/>
              </w:rPr>
            </w:pPr>
            <w:r>
              <w:rPr>
                <w:rFonts w:ascii="Arial" w:cs="Arial" w:eastAsia="Arial" w:hAnsi="Arial"/>
                <w:sz w:val="13"/>
                <w:szCs w:val="13"/>
                <w:color w:val="auto"/>
              </w:rPr>
              <w:t>1,245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3,005</w:t>
            </w:r>
          </w:p>
        </w:tc>
        <w:tc>
          <w:tcPr>
            <w:tcW w:w="0" w:type="dxa"/>
            <w:vAlign w:val="bottom"/>
          </w:tcPr>
          <w:p>
            <w:pPr>
              <w:spacing w:after="0"/>
              <w:rPr>
                <w:sz w:val="1"/>
                <w:szCs w:val="1"/>
                <w:color w:val="auto"/>
              </w:rPr>
            </w:pPr>
          </w:p>
        </w:tc>
      </w:tr>
      <w:tr>
        <w:trPr>
          <w:trHeight w:val="89"/>
        </w:trPr>
        <w:tc>
          <w:tcPr>
            <w:tcW w:w="2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2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accrued liabilities</w:t>
            </w:r>
          </w:p>
        </w:tc>
        <w:tc>
          <w:tcPr>
            <w:tcW w:w="1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2,237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103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1,137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3,607</w:t>
            </w:r>
          </w:p>
        </w:tc>
        <w:tc>
          <w:tcPr>
            <w:tcW w:w="0" w:type="dxa"/>
            <w:vAlign w:val="bottom"/>
          </w:tcPr>
          <w:p>
            <w:pPr>
              <w:spacing w:after="0"/>
              <w:rPr>
                <w:sz w:val="1"/>
                <w:szCs w:val="1"/>
                <w:color w:val="auto"/>
              </w:rPr>
            </w:pPr>
          </w:p>
        </w:tc>
      </w:tr>
      <w:tr>
        <w:trPr>
          <w:trHeight w:val="97"/>
        </w:trPr>
        <w:tc>
          <w:tcPr>
            <w:tcW w:w="22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96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78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96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78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200" w:type="dxa"/>
            <w:vAlign w:val="bottom"/>
          </w:tcPr>
          <w:p>
            <w:pPr>
              <w:ind w:left="500"/>
              <w:spacing w:after="0"/>
              <w:rPr>
                <w:sz w:val="20"/>
                <w:szCs w:val="20"/>
                <w:color w:val="auto"/>
              </w:rPr>
            </w:pPr>
            <w:r>
              <w:rPr>
                <w:rFonts w:ascii="Arial" w:cs="Arial" w:eastAsia="Arial" w:hAnsi="Arial"/>
                <w:sz w:val="13"/>
                <w:szCs w:val="13"/>
                <w:color w:val="auto"/>
              </w:rPr>
              <w:t>Total current liabilities</w:t>
            </w:r>
          </w:p>
        </w:tc>
        <w:tc>
          <w:tcPr>
            <w:tcW w:w="100" w:type="dxa"/>
            <w:vAlign w:val="bottom"/>
          </w:tcPr>
          <w:p>
            <w:pPr>
              <w:spacing w:after="0"/>
              <w:rPr>
                <w:sz w:val="13"/>
                <w:szCs w:val="13"/>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vMerge w:val="restart"/>
          </w:tcPr>
          <w:p>
            <w:pPr>
              <w:jc w:val="right"/>
              <w:ind w:right="17"/>
              <w:spacing w:after="0"/>
              <w:rPr>
                <w:sz w:val="20"/>
                <w:szCs w:val="20"/>
                <w:color w:val="auto"/>
              </w:rPr>
            </w:pPr>
            <w:r>
              <w:rPr>
                <w:rFonts w:ascii="Arial" w:cs="Arial" w:eastAsia="Arial" w:hAnsi="Arial"/>
                <w:sz w:val="13"/>
                <w:szCs w:val="13"/>
                <w:color w:val="auto"/>
              </w:rPr>
              <w:t>11,919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ind w:right="36"/>
              <w:spacing w:after="0"/>
              <w:rPr>
                <w:sz w:val="20"/>
                <w:szCs w:val="20"/>
                <w:color w:val="auto"/>
              </w:rPr>
            </w:pPr>
            <w:r>
              <w:rPr>
                <w:rFonts w:ascii="Arial" w:cs="Arial" w:eastAsia="Arial" w:hAnsi="Arial"/>
                <w:sz w:val="13"/>
                <w:szCs w:val="13"/>
                <w:color w:val="auto"/>
              </w:rPr>
              <w:t>533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vMerge w:val="restart"/>
          </w:tcPr>
          <w:p>
            <w:pPr>
              <w:jc w:val="right"/>
              <w:ind w:right="37"/>
              <w:spacing w:after="0"/>
              <w:rPr>
                <w:sz w:val="20"/>
                <w:szCs w:val="20"/>
                <w:color w:val="auto"/>
              </w:rPr>
            </w:pPr>
            <w:r>
              <w:rPr>
                <w:rFonts w:ascii="Arial" w:cs="Arial" w:eastAsia="Arial" w:hAnsi="Arial"/>
                <w:sz w:val="13"/>
                <w:szCs w:val="13"/>
                <w:color w:val="auto"/>
              </w:rPr>
              <w:t>4,438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403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(3,487)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13,806</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572008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20080" cy="17145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Noncurrent liabilities</w:t>
      </w:r>
    </w:p>
    <w:p>
      <w:pPr>
        <w:sectPr>
          <w:pgSz w:w="11900" w:h="16838" w:orient="portrait"/>
          <w:cols w:equalWidth="0" w:num="1">
            <w:col w:w="10219"/>
          </w:cols>
          <w:pgMar w:left="240" w:top="125" w:right="1440" w:bottom="1440" w:gutter="0" w:footer="0" w:header="0"/>
        </w:sectPr>
      </w:pPr>
    </w:p>
    <w:p>
      <w:pPr>
        <w:spacing w:after="0" w:line="125" w:lineRule="exact"/>
        <w:rPr>
          <w:sz w:val="20"/>
          <w:szCs w:val="20"/>
          <w:color w:val="auto"/>
        </w:rPr>
      </w:pPr>
    </w:p>
    <w:p>
      <w:pPr>
        <w:ind w:left="280"/>
        <w:spacing w:after="0" w:line="273" w:lineRule="auto"/>
        <w:rPr>
          <w:sz w:val="20"/>
          <w:szCs w:val="20"/>
          <w:color w:val="auto"/>
        </w:rPr>
      </w:pPr>
      <w:r>
        <w:rPr>
          <w:rFonts w:ascii="Arial" w:cs="Arial" w:eastAsia="Arial" w:hAnsi="Arial"/>
          <w:sz w:val="12"/>
          <w:szCs w:val="12"/>
          <w:color w:val="auto"/>
        </w:rPr>
        <w:t>Long-term debt and capital leases, net of current maturities</w:t>
      </w:r>
    </w:p>
    <w:p>
      <w:pPr>
        <w:spacing w:after="0" w:line="10" w:lineRule="exact"/>
        <w:rPr>
          <w:sz w:val="20"/>
          <w:szCs w:val="20"/>
          <w:color w:val="auto"/>
        </w:rPr>
      </w:pPr>
    </w:p>
    <w:p>
      <w:pPr>
        <w:ind w:left="280" w:right="300"/>
        <w:spacing w:after="0" w:line="237" w:lineRule="auto"/>
        <w:rPr>
          <w:sz w:val="20"/>
          <w:szCs w:val="20"/>
          <w:color w:val="auto"/>
        </w:rPr>
      </w:pPr>
      <w:r>
        <w:rPr>
          <w:rFonts w:ascii="Arial" w:cs="Arial" w:eastAsia="Arial" w:hAnsi="Arial"/>
          <w:sz w:val="13"/>
          <w:szCs w:val="13"/>
          <w:color w:val="auto"/>
        </w:rPr>
        <w:t>Pensions and postretirement benefits</w:t>
      </w:r>
    </w:p>
    <w:p>
      <w:pPr>
        <w:spacing w:after="0" w:line="29" w:lineRule="exact"/>
        <w:rPr>
          <w:sz w:val="20"/>
          <w:szCs w:val="20"/>
          <w:color w:val="auto"/>
        </w:rPr>
      </w:pPr>
    </w:p>
    <w:p>
      <w:pPr>
        <w:ind w:left="280"/>
        <w:spacing w:after="0" w:line="288" w:lineRule="auto"/>
        <w:rPr>
          <w:sz w:val="20"/>
          <w:szCs w:val="20"/>
          <w:color w:val="auto"/>
        </w:rPr>
      </w:pPr>
      <w:r>
        <w:rPr>
          <w:rFonts w:ascii="Arial" w:cs="Arial" w:eastAsia="Arial" w:hAnsi="Arial"/>
          <w:sz w:val="11"/>
          <w:szCs w:val="11"/>
          <w:color w:val="auto"/>
        </w:rPr>
        <w:t>Mandatorily convertible preferred stock and other bankruptcy settlement obligations</w:t>
      </w:r>
    </w:p>
    <w:p>
      <w:pPr>
        <w:spacing w:after="0" w:line="4" w:lineRule="exact"/>
        <w:rPr>
          <w:sz w:val="20"/>
          <w:szCs w:val="20"/>
          <w:color w:val="auto"/>
        </w:rPr>
      </w:pPr>
    </w:p>
    <w:p>
      <w:pPr>
        <w:ind w:left="280" w:right="560"/>
        <w:spacing w:after="0" w:line="273" w:lineRule="auto"/>
        <w:rPr>
          <w:sz w:val="20"/>
          <w:szCs w:val="20"/>
          <w:color w:val="auto"/>
        </w:rPr>
      </w:pPr>
      <w:r>
        <w:rPr>
          <w:rFonts w:ascii="Arial" w:cs="Arial" w:eastAsia="Arial" w:hAnsi="Arial"/>
          <w:sz w:val="12"/>
          <w:szCs w:val="12"/>
          <w:color w:val="auto"/>
        </w:rPr>
        <w:t>Negative investment in subsidiaries</w:t>
      </w:r>
    </w:p>
    <w:p>
      <w:pPr>
        <w:spacing w:after="0" w:line="10"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Other liabilities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Total noncurrent liabilities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Stockholders’ equity (deficit)</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1060" w:type="dxa"/>
            <w:vAlign w:val="bottom"/>
          </w:tcPr>
          <w:p>
            <w:pPr>
              <w:jc w:val="right"/>
              <w:ind w:right="3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3"/>
                <w:szCs w:val="13"/>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9,852</w:t>
            </w:r>
          </w:p>
        </w:tc>
        <w:tc>
          <w:tcPr>
            <w:tcW w:w="100" w:type="dxa"/>
            <w:vAlign w:val="bottom"/>
          </w:tcPr>
          <w:p>
            <w:pPr>
              <w:spacing w:after="0"/>
              <w:rPr>
                <w:sz w:val="13"/>
                <w:szCs w:val="1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523</w:t>
            </w:r>
          </w:p>
        </w:tc>
        <w:tc>
          <w:tcPr>
            <w:tcW w:w="100" w:type="dxa"/>
            <w:vAlign w:val="bottom"/>
          </w:tcPr>
          <w:p>
            <w:pPr>
              <w:spacing w:after="0"/>
              <w:rPr>
                <w:sz w:val="13"/>
                <w:szCs w:val="1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5,005</w:t>
            </w:r>
          </w:p>
        </w:tc>
        <w:tc>
          <w:tcPr>
            <w:tcW w:w="10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3"/>
                <w:szCs w:val="13"/>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15,353</w:t>
            </w:r>
          </w:p>
        </w:tc>
      </w:tr>
      <w:tr>
        <w:trPr>
          <w:trHeight w:val="324"/>
        </w:trPr>
        <w:tc>
          <w:tcPr>
            <w:tcW w:w="11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5,693</w:t>
            </w:r>
          </w:p>
        </w:tc>
        <w:tc>
          <w:tcPr>
            <w:tcW w:w="10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109</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5,828</w:t>
            </w:r>
          </w:p>
        </w:tc>
      </w:tr>
      <w:tr>
        <w:trPr>
          <w:trHeight w:val="459"/>
        </w:trPr>
        <w:tc>
          <w:tcPr>
            <w:tcW w:w="1060" w:type="dxa"/>
            <w:vAlign w:val="bottom"/>
          </w:tcPr>
          <w:p>
            <w:pPr>
              <w:jc w:val="right"/>
              <w:ind w:right="37"/>
              <w:spacing w:after="0"/>
              <w:rPr>
                <w:sz w:val="20"/>
                <w:szCs w:val="20"/>
                <w:color w:val="auto"/>
              </w:rPr>
            </w:pPr>
            <w:r>
              <w:rPr>
                <w:rFonts w:ascii="Arial" w:cs="Arial" w:eastAsia="Arial" w:hAnsi="Arial"/>
                <w:sz w:val="13"/>
                <w:szCs w:val="13"/>
                <w:color w:val="auto"/>
              </w:rPr>
              <w:t>435</w:t>
            </w:r>
          </w:p>
        </w:tc>
        <w:tc>
          <w:tcPr>
            <w:tcW w:w="12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5,424</w:t>
            </w:r>
          </w:p>
        </w:tc>
        <w:tc>
          <w:tcPr>
            <w:tcW w:w="10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5,928</w:t>
            </w:r>
          </w:p>
        </w:tc>
      </w:tr>
      <w:tr>
        <w:trPr>
          <w:trHeight w:val="324"/>
        </w:trPr>
        <w:tc>
          <w:tcPr>
            <w:tcW w:w="1060" w:type="dxa"/>
            <w:vAlign w:val="bottom"/>
          </w:tcPr>
          <w:p>
            <w:pPr>
              <w:jc w:val="right"/>
              <w:ind w:right="37"/>
              <w:spacing w:after="0"/>
              <w:rPr>
                <w:sz w:val="20"/>
                <w:szCs w:val="20"/>
                <w:color w:val="auto"/>
              </w:rPr>
            </w:pPr>
            <w:r>
              <w:rPr>
                <w:rFonts w:ascii="Arial" w:cs="Arial" w:eastAsia="Arial" w:hAnsi="Arial"/>
                <w:sz w:val="13"/>
                <w:szCs w:val="13"/>
                <w:color w:val="auto"/>
              </w:rPr>
              <w:t>4,799</w:t>
            </w:r>
          </w:p>
        </w:tc>
        <w:tc>
          <w:tcPr>
            <w:tcW w:w="12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(4,799)</w:t>
            </w:r>
          </w:p>
        </w:tc>
        <w:tc>
          <w:tcPr>
            <w:tcW w:w="100" w:type="dxa"/>
            <w:vAlign w:val="bottom"/>
          </w:tcPr>
          <w:p>
            <w:pPr>
              <w:spacing w:after="0"/>
              <w:rPr>
                <w:sz w:val="24"/>
                <w:szCs w:val="24"/>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r>
      <w:tr>
        <w:trPr>
          <w:trHeight w:val="280"/>
        </w:trPr>
        <w:tc>
          <w:tcPr>
            <w:tcW w:w="10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760" w:type="dxa"/>
            <w:vAlign w:val="bottom"/>
          </w:tcPr>
          <w:p>
            <w:pPr>
              <w:jc w:val="right"/>
              <w:ind w:right="17"/>
              <w:spacing w:after="0"/>
              <w:rPr>
                <w:sz w:val="20"/>
                <w:szCs w:val="20"/>
                <w:color w:val="auto"/>
              </w:rPr>
            </w:pPr>
            <w:r>
              <w:rPr>
                <w:rFonts w:ascii="Arial" w:cs="Arial" w:eastAsia="Arial" w:hAnsi="Arial"/>
                <w:sz w:val="13"/>
                <w:szCs w:val="13"/>
                <w:color w:val="auto"/>
              </w:rPr>
              <w:t>2,384</w:t>
            </w:r>
          </w:p>
        </w:tc>
        <w:tc>
          <w:tcPr>
            <w:tcW w:w="10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1,905</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277</w:t>
            </w: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(473)</w:t>
            </w:r>
          </w:p>
        </w:tc>
        <w:tc>
          <w:tcPr>
            <w:tcW w:w="100" w:type="dxa"/>
            <w:vAlign w:val="bottom"/>
          </w:tcPr>
          <w:p>
            <w:pPr>
              <w:spacing w:after="0"/>
              <w:rPr>
                <w:sz w:val="24"/>
                <w:szCs w:val="24"/>
                <w:color w:val="auto"/>
              </w:rPr>
            </w:pP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4,094</w:t>
            </w:r>
          </w:p>
        </w:tc>
      </w:tr>
      <w:tr>
        <w:trPr>
          <w:trHeight w:val="241"/>
        </w:trPr>
        <w:tc>
          <w:tcPr>
            <w:tcW w:w="10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5,242</w:t>
            </w: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23,353</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523</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7,019</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372</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(5,306)</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31,203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-1035685</wp:posOffset>
            </wp:positionV>
            <wp:extent cx="5720080"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20080" cy="20574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-537845</wp:posOffset>
            </wp:positionV>
            <wp:extent cx="5720080" cy="2057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20080" cy="205740"/>
                    </a:xfrm>
                    <a:prstGeom prst="rect">
                      <a:avLst/>
                    </a:prstGeom>
                    <a:noFill/>
                  </pic:spPr>
                </pic:pic>
              </a:graphicData>
            </a:graphic>
          </wp:anchor>
        </w:drawing>
        <w:drawing>
          <wp:anchor simplePos="0" relativeHeight="251657728" behindDoc="1" locked="0" layoutInCell="0" allowOverlap="1">
            <wp:simplePos x="0" y="0"/>
            <wp:positionH relativeFrom="column">
              <wp:posOffset>-1391285</wp:posOffset>
            </wp:positionH>
            <wp:positionV relativeFrom="paragraph">
              <wp:posOffset>-160655</wp:posOffset>
            </wp:positionV>
            <wp:extent cx="572008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20080" cy="171450"/>
                    </a:xfrm>
                    <a:prstGeom prst="rect">
                      <a:avLst/>
                    </a:prstGeom>
                    <a:noFill/>
                  </pic:spPr>
                </pic:pic>
              </a:graphicData>
            </a:graphic>
          </wp:anchor>
        </w:drawing>
      </w:r>
    </w:p>
    <w:p>
      <w:pPr>
        <w:spacing w:after="0" w:line="286" w:lineRule="exact"/>
        <w:rPr>
          <w:sz w:val="20"/>
          <w:szCs w:val="20"/>
          <w:color w:val="auto"/>
        </w:rPr>
      </w:pPr>
    </w:p>
    <w:p>
      <w:pPr>
        <w:sectPr>
          <w:pgSz w:w="11900" w:h="16838" w:orient="portrait"/>
          <w:cols w:equalWidth="0" w:num="2">
            <w:col w:w="2000" w:space="200"/>
            <w:col w:w="8019"/>
          </w:cols>
          <w:pgMar w:left="240" w:top="125" w:right="1440" w:bottom="1440" w:gutter="0" w:footer="0" w:header="0"/>
          <w:type w:val="continuous"/>
        </w:sectPr>
      </w:pPr>
    </w:p>
    <w:tbl>
      <w:tblPr>
        <w:tblLayout w:type="fixed"/>
        <w:tblInd w:w="0" w:type="dxa"/>
        <w:tblCellMar>
          <w:top w:w="0" w:type="dxa"/>
          <w:left w:w="0" w:type="dxa"/>
          <w:bottom w:w="0" w:type="dxa"/>
          <w:right w:w="0" w:type="dxa"/>
        </w:tblCellMar>
      </w:tblPr>
      <w:tr>
        <w:trPr>
          <w:trHeight w:val="180"/>
        </w:trPr>
        <w:tc>
          <w:tcPr>
            <w:tcW w:w="22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Common stock</w:t>
            </w:r>
          </w:p>
        </w:tc>
        <w:tc>
          <w:tcPr>
            <w:tcW w:w="34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6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90"/>
        </w:trPr>
        <w:tc>
          <w:tcPr>
            <w:tcW w:w="22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40" w:type="dxa"/>
            <w:vAlign w:val="bottom"/>
            <w:gridSpan w:val="2"/>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580" w:type="dxa"/>
            <w:vAlign w:val="bottom"/>
            <w:gridSpan w:val="2"/>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20" w:type="dxa"/>
            <w:vAlign w:val="bottom"/>
            <w:gridSpan w:val="2"/>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200" w:type="dxa"/>
            <w:vAlign w:val="bottom"/>
          </w:tcPr>
          <w:p>
            <w:pPr>
              <w:ind w:left="180"/>
              <w:spacing w:after="0"/>
              <w:rPr>
                <w:sz w:val="20"/>
                <w:szCs w:val="20"/>
                <w:color w:val="auto"/>
              </w:rPr>
            </w:pPr>
            <w:r>
              <w:rPr>
                <w:rFonts w:ascii="Arial" w:cs="Arial" w:eastAsia="Arial" w:hAnsi="Arial"/>
                <w:sz w:val="13"/>
                <w:szCs w:val="13"/>
                <w:color w:val="auto"/>
              </w:rPr>
              <w:t>Additional paid-in capital</w:t>
            </w:r>
          </w:p>
        </w:tc>
        <w:tc>
          <w:tcPr>
            <w:tcW w:w="340" w:type="dxa"/>
            <w:vAlign w:val="bottom"/>
          </w:tcPr>
          <w:p>
            <w:pPr>
              <w:spacing w:after="0"/>
              <w:rPr>
                <w:sz w:val="15"/>
                <w:szCs w:val="15"/>
                <w:color w:val="auto"/>
              </w:rPr>
            </w:pPr>
          </w:p>
        </w:tc>
        <w:tc>
          <w:tcPr>
            <w:tcW w:w="720" w:type="dxa"/>
            <w:vAlign w:val="bottom"/>
            <w:vMerge w:val="restart"/>
          </w:tcPr>
          <w:p>
            <w:pPr>
              <w:jc w:val="right"/>
              <w:ind w:right="37"/>
              <w:spacing w:after="0"/>
              <w:rPr>
                <w:sz w:val="20"/>
                <w:szCs w:val="20"/>
                <w:color w:val="auto"/>
              </w:rPr>
            </w:pPr>
            <w:r>
              <w:rPr>
                <w:rFonts w:ascii="Arial" w:cs="Arial" w:eastAsia="Arial" w:hAnsi="Arial"/>
                <w:sz w:val="13"/>
                <w:szCs w:val="13"/>
                <w:color w:val="auto"/>
              </w:rPr>
              <w:t>10,592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vMerge w:val="restart"/>
          </w:tcPr>
          <w:p>
            <w:pPr>
              <w:jc w:val="right"/>
              <w:ind w:right="17"/>
              <w:spacing w:after="0"/>
              <w:rPr>
                <w:sz w:val="20"/>
                <w:szCs w:val="20"/>
                <w:color w:val="auto"/>
              </w:rPr>
            </w:pPr>
            <w:r>
              <w:rPr>
                <w:rFonts w:ascii="Arial" w:cs="Arial" w:eastAsia="Arial" w:hAnsi="Arial"/>
                <w:sz w:val="13"/>
                <w:szCs w:val="13"/>
                <w:color w:val="auto"/>
              </w:rPr>
              <w:t>5,361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vMerge w:val="restart"/>
          </w:tcPr>
          <w:p>
            <w:pPr>
              <w:jc w:val="right"/>
              <w:ind w:right="37"/>
              <w:spacing w:after="0"/>
              <w:rPr>
                <w:sz w:val="20"/>
                <w:szCs w:val="20"/>
                <w:color w:val="auto"/>
              </w:rPr>
            </w:pPr>
            <w:r>
              <w:rPr>
                <w:rFonts w:ascii="Arial" w:cs="Arial" w:eastAsia="Arial" w:hAnsi="Arial"/>
                <w:sz w:val="13"/>
                <w:szCs w:val="13"/>
                <w:color w:val="auto"/>
              </w:rPr>
              <w:t>4,602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vMerge w:val="restart"/>
          </w:tcPr>
          <w:p>
            <w:pPr>
              <w:jc w:val="right"/>
              <w:ind w:right="37"/>
              <w:spacing w:after="0"/>
              <w:rPr>
                <w:sz w:val="20"/>
                <w:szCs w:val="20"/>
                <w:color w:val="auto"/>
              </w:rPr>
            </w:pPr>
            <w:r>
              <w:rPr>
                <w:rFonts w:ascii="Arial" w:cs="Arial" w:eastAsia="Arial" w:hAnsi="Arial"/>
                <w:sz w:val="13"/>
                <w:szCs w:val="13"/>
                <w:color w:val="auto"/>
              </w:rPr>
              <w:t>5,441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126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(15,530)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vMerge w:val="restart"/>
          </w:tcPr>
          <w:p>
            <w:pPr>
              <w:jc w:val="right"/>
              <w:ind w:right="17"/>
              <w:spacing w:after="0"/>
              <w:rPr>
                <w:sz w:val="20"/>
                <w:szCs w:val="20"/>
                <w:color w:val="auto"/>
              </w:rPr>
            </w:pPr>
            <w:r>
              <w:rPr>
                <w:rFonts w:ascii="Arial" w:cs="Arial" w:eastAsia="Arial" w:hAnsi="Arial"/>
                <w:sz w:val="13"/>
                <w:szCs w:val="13"/>
                <w:color w:val="auto"/>
              </w:rPr>
              <w:t>10,592</w:t>
            </w:r>
          </w:p>
        </w:tc>
        <w:tc>
          <w:tcPr>
            <w:tcW w:w="0" w:type="dxa"/>
            <w:vAlign w:val="bottom"/>
          </w:tcPr>
          <w:p>
            <w:pPr>
              <w:spacing w:after="0"/>
              <w:rPr>
                <w:sz w:val="1"/>
                <w:szCs w:val="1"/>
                <w:color w:val="auto"/>
              </w:rPr>
            </w:pPr>
          </w:p>
        </w:tc>
      </w:tr>
      <w:tr>
        <w:trPr>
          <w:trHeight w:val="89"/>
        </w:trPr>
        <w:tc>
          <w:tcPr>
            <w:tcW w:w="2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220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9"/>
              </w:rPr>
              <w:t>Accumulated other comprehensive</w:t>
            </w:r>
          </w:p>
        </w:tc>
        <w:tc>
          <w:tcPr>
            <w:tcW w:w="3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2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(loss)</w:t>
            </w: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2,128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(2,032)</w:t>
            </w:r>
          </w:p>
        </w:tc>
        <w:tc>
          <w:tcPr>
            <w:tcW w:w="0" w:type="dxa"/>
            <w:vAlign w:val="bottom"/>
          </w:tcPr>
          <w:p>
            <w:pPr>
              <w:spacing w:after="0"/>
              <w:rPr>
                <w:sz w:val="1"/>
                <w:szCs w:val="1"/>
                <w:color w:val="auto"/>
              </w:rPr>
            </w:pPr>
          </w:p>
        </w:tc>
      </w:tr>
      <w:tr>
        <w:trPr>
          <w:trHeight w:val="173"/>
        </w:trPr>
        <w:tc>
          <w:tcPr>
            <w:tcW w:w="2200" w:type="dxa"/>
            <w:vAlign w:val="bottom"/>
          </w:tcPr>
          <w:p>
            <w:pPr>
              <w:ind w:left="180"/>
              <w:spacing w:after="0"/>
              <w:rPr>
                <w:sz w:val="20"/>
                <w:szCs w:val="20"/>
                <w:color w:val="auto"/>
              </w:rPr>
            </w:pPr>
            <w:r>
              <w:rPr>
                <w:rFonts w:ascii="Arial" w:cs="Arial" w:eastAsia="Arial" w:hAnsi="Arial"/>
                <w:sz w:val="13"/>
                <w:szCs w:val="13"/>
                <w:color w:val="auto"/>
              </w:rPr>
              <w:t>Retained earnings (deficit)</w:t>
            </w:r>
          </w:p>
        </w:tc>
        <w:tc>
          <w:tcPr>
            <w:tcW w:w="34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(11,296)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(12,869)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(208)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(191)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vMerge w:val="restart"/>
          </w:tcPr>
          <w:p>
            <w:pPr>
              <w:jc w:val="right"/>
              <w:ind w:right="37"/>
              <w:spacing w:after="0"/>
              <w:rPr>
                <w:sz w:val="20"/>
                <w:szCs w:val="20"/>
                <w:color w:val="auto"/>
              </w:rPr>
            </w:pPr>
            <w:r>
              <w:rPr>
                <w:rFonts w:ascii="Arial" w:cs="Arial" w:eastAsia="Arial" w:hAnsi="Arial"/>
                <w:sz w:val="13"/>
                <w:szCs w:val="13"/>
                <w:color w:val="auto"/>
              </w:rPr>
              <w:t>13,252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(11,296)</w:t>
            </w:r>
          </w:p>
        </w:tc>
        <w:tc>
          <w:tcPr>
            <w:tcW w:w="0" w:type="dxa"/>
            <w:vAlign w:val="bottom"/>
          </w:tcPr>
          <w:p>
            <w:pPr>
              <w:spacing w:after="0"/>
              <w:rPr>
                <w:sz w:val="1"/>
                <w:szCs w:val="1"/>
                <w:color w:val="auto"/>
              </w:rPr>
            </w:pPr>
          </w:p>
        </w:tc>
      </w:tr>
      <w:tr>
        <w:trPr>
          <w:trHeight w:val="91"/>
        </w:trPr>
        <w:tc>
          <w:tcPr>
            <w:tcW w:w="220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200" w:type="dxa"/>
            <w:vAlign w:val="bottom"/>
            <w:shd w:val="clear" w:color="auto" w:fill="CCEEFF"/>
          </w:tcPr>
          <w:p>
            <w:pPr>
              <w:ind w:left="500"/>
              <w:spacing w:after="0" w:line="134" w:lineRule="exact"/>
              <w:rPr>
                <w:sz w:val="20"/>
                <w:szCs w:val="20"/>
                <w:color w:val="auto"/>
              </w:rPr>
            </w:pPr>
            <w:r>
              <w:rPr>
                <w:rFonts w:ascii="Arial" w:cs="Arial" w:eastAsia="Arial" w:hAnsi="Arial"/>
                <w:sz w:val="13"/>
                <w:szCs w:val="13"/>
                <w:color w:val="auto"/>
              </w:rPr>
              <w:t>Total stockholders’ equity</w:t>
            </w:r>
          </w:p>
        </w:tc>
        <w:tc>
          <w:tcPr>
            <w:tcW w:w="3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2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(deficit)</w:t>
            </w:r>
          </w:p>
        </w:tc>
        <w:tc>
          <w:tcPr>
            <w:tcW w:w="3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(2,731)</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(9,660)</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4,406</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5,262</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(2,731)</w:t>
            </w:r>
          </w:p>
        </w:tc>
        <w:tc>
          <w:tcPr>
            <w:tcW w:w="0" w:type="dxa"/>
            <w:vAlign w:val="bottom"/>
          </w:tcPr>
          <w:p>
            <w:pPr>
              <w:spacing w:after="0"/>
              <w:rPr>
                <w:sz w:val="1"/>
                <w:szCs w:val="1"/>
                <w:color w:val="auto"/>
              </w:rPr>
            </w:pPr>
          </w:p>
        </w:tc>
      </w:tr>
      <w:tr>
        <w:trPr>
          <w:trHeight w:val="124"/>
        </w:trPr>
        <w:tc>
          <w:tcPr>
            <w:tcW w:w="2200" w:type="dxa"/>
            <w:vAlign w:val="bottom"/>
          </w:tcPr>
          <w:p>
            <w:pPr>
              <w:ind w:left="720"/>
              <w:spacing w:after="0" w:line="124" w:lineRule="exact"/>
              <w:rPr>
                <w:sz w:val="20"/>
                <w:szCs w:val="20"/>
                <w:color w:val="auto"/>
              </w:rPr>
            </w:pPr>
            <w:r>
              <w:rPr>
                <w:rFonts w:ascii="Arial" w:cs="Arial" w:eastAsia="Arial" w:hAnsi="Arial"/>
                <w:sz w:val="13"/>
                <w:szCs w:val="13"/>
                <w:b w:val="1"/>
                <w:bCs w:val="1"/>
                <w:color w:val="auto"/>
              </w:rPr>
              <w:t>Total liabilities and</w:t>
            </w: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00" w:type="dxa"/>
            <w:vAlign w:val="bottom"/>
          </w:tcPr>
          <w:p>
            <w:pPr>
              <w:ind w:left="720"/>
              <w:spacing w:after="0" w:line="135" w:lineRule="exact"/>
              <w:rPr>
                <w:sz w:val="20"/>
                <w:szCs w:val="20"/>
                <w:color w:val="auto"/>
              </w:rPr>
            </w:pPr>
            <w:r>
              <w:rPr>
                <w:rFonts w:ascii="Arial" w:cs="Arial" w:eastAsia="Arial" w:hAnsi="Arial"/>
                <w:sz w:val="13"/>
                <w:szCs w:val="13"/>
                <w:b w:val="1"/>
                <w:bCs w:val="1"/>
                <w:color w:val="auto"/>
              </w:rPr>
              <w:t>stockholders’ equity</w:t>
            </w:r>
          </w:p>
        </w:tc>
        <w:tc>
          <w:tcPr>
            <w:tcW w:w="340" w:type="dxa"/>
            <w:vAlign w:val="bottom"/>
            <w:vMerge w:val="restart"/>
          </w:tcPr>
          <w:p>
            <w:pPr>
              <w:jc w:val="right"/>
              <w:ind w:right="197"/>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jc w:val="right"/>
              <w:ind w:right="37"/>
              <w:spacing w:after="0"/>
              <w:rPr>
                <w:sz w:val="20"/>
                <w:szCs w:val="20"/>
                <w:color w:val="auto"/>
              </w:rPr>
            </w:pPr>
            <w:r>
              <w:rPr>
                <w:rFonts w:ascii="Arial" w:cs="Arial" w:eastAsia="Arial" w:hAnsi="Arial"/>
                <w:sz w:val="13"/>
                <w:szCs w:val="13"/>
                <w:color w:val="auto"/>
              </w:rPr>
              <w:t>2,511</w:t>
            </w:r>
          </w:p>
        </w:tc>
        <w:tc>
          <w:tcPr>
            <w:tcW w:w="120" w:type="dxa"/>
            <w:vAlign w:val="bottom"/>
          </w:tcPr>
          <w:p>
            <w:pPr>
              <w:spacing w:after="0"/>
              <w:rPr>
                <w:sz w:val="11"/>
                <w:szCs w:val="11"/>
                <w:color w:val="auto"/>
              </w:rPr>
            </w:pPr>
          </w:p>
        </w:tc>
        <w:tc>
          <w:tcPr>
            <w:tcW w:w="180" w:type="dxa"/>
            <w:vAlign w:val="bottom"/>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ind w:right="17"/>
              <w:spacing w:after="0"/>
              <w:rPr>
                <w:sz w:val="20"/>
                <w:szCs w:val="20"/>
                <w:color w:val="auto"/>
              </w:rPr>
            </w:pPr>
            <w:r>
              <w:rPr>
                <w:rFonts w:ascii="Arial" w:cs="Arial" w:eastAsia="Arial" w:hAnsi="Arial"/>
                <w:sz w:val="13"/>
                <w:szCs w:val="13"/>
                <w:color w:val="auto"/>
              </w:rPr>
              <w:t>25,612</w:t>
            </w:r>
          </w:p>
        </w:tc>
        <w:tc>
          <w:tcPr>
            <w:tcW w:w="100" w:type="dxa"/>
            <w:vAlign w:val="bottom"/>
          </w:tcPr>
          <w:p>
            <w:pPr>
              <w:spacing w:after="0"/>
              <w:rPr>
                <w:sz w:val="11"/>
                <w:szCs w:val="11"/>
                <w:color w:val="auto"/>
              </w:rPr>
            </w:pPr>
          </w:p>
        </w:tc>
        <w:tc>
          <w:tcPr>
            <w:tcW w:w="32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37"/>
              <w:spacing w:after="0"/>
              <w:rPr>
                <w:sz w:val="20"/>
                <w:szCs w:val="20"/>
                <w:color w:val="auto"/>
              </w:rPr>
            </w:pPr>
            <w:r>
              <w:rPr>
                <w:rFonts w:ascii="Arial" w:cs="Arial" w:eastAsia="Arial" w:hAnsi="Arial"/>
                <w:sz w:val="13"/>
                <w:szCs w:val="13"/>
                <w:color w:val="auto"/>
              </w:rPr>
              <w:t>5,462</w:t>
            </w:r>
          </w:p>
        </w:tc>
        <w:tc>
          <w:tcPr>
            <w:tcW w:w="100" w:type="dxa"/>
            <w:vAlign w:val="bottom"/>
          </w:tcPr>
          <w:p>
            <w:pPr>
              <w:spacing w:after="0"/>
              <w:rPr>
                <w:sz w:val="11"/>
                <w:szCs w:val="11"/>
                <w:color w:val="auto"/>
              </w:rPr>
            </w:pPr>
          </w:p>
        </w:tc>
        <w:tc>
          <w:tcPr>
            <w:tcW w:w="2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ind w:right="17"/>
              <w:spacing w:after="0"/>
              <w:rPr>
                <w:sz w:val="20"/>
                <w:szCs w:val="20"/>
                <w:color w:val="auto"/>
              </w:rPr>
            </w:pPr>
            <w:r>
              <w:rPr>
                <w:rFonts w:ascii="Arial" w:cs="Arial" w:eastAsia="Arial" w:hAnsi="Arial"/>
                <w:sz w:val="13"/>
                <w:szCs w:val="13"/>
                <w:color w:val="auto"/>
              </w:rPr>
              <w:t>16,719</w:t>
            </w:r>
          </w:p>
        </w:tc>
        <w:tc>
          <w:tcPr>
            <w:tcW w:w="100" w:type="dxa"/>
            <w:vAlign w:val="bottom"/>
          </w:tcPr>
          <w:p>
            <w:pPr>
              <w:spacing w:after="0"/>
              <w:rPr>
                <w:sz w:val="11"/>
                <w:szCs w:val="11"/>
                <w:color w:val="auto"/>
              </w:rPr>
            </w:pPr>
          </w:p>
        </w:tc>
        <w:tc>
          <w:tcPr>
            <w:tcW w:w="320" w:type="dxa"/>
            <w:vAlign w:val="bottom"/>
            <w:vMerge w:val="restart"/>
          </w:tcPr>
          <w:p>
            <w:pPr>
              <w:jc w:val="right"/>
              <w:ind w:right="177"/>
              <w:spacing w:after="0"/>
              <w:rPr>
                <w:sz w:val="20"/>
                <w:szCs w:val="20"/>
                <w:color w:val="auto"/>
              </w:rPr>
            </w:pPr>
            <w:r>
              <w:rPr>
                <w:rFonts w:ascii="Arial" w:cs="Arial" w:eastAsia="Arial" w:hAnsi="Arial"/>
                <w:sz w:val="13"/>
                <w:szCs w:val="13"/>
                <w:color w:val="auto"/>
                <w:w w:val="82"/>
              </w:rPr>
              <w:t>$</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917</w:t>
            </w:r>
          </w:p>
        </w:tc>
        <w:tc>
          <w:tcPr>
            <w:tcW w:w="120" w:type="dxa"/>
            <w:vAlign w:val="bottom"/>
          </w:tcPr>
          <w:p>
            <w:pPr>
              <w:spacing w:after="0"/>
              <w:rPr>
                <w:sz w:val="11"/>
                <w:szCs w:val="11"/>
                <w:color w:val="auto"/>
              </w:rPr>
            </w:pPr>
          </w:p>
        </w:tc>
        <w:tc>
          <w:tcPr>
            <w:tcW w:w="320" w:type="dxa"/>
            <w:vAlign w:val="bottom"/>
            <w:vMerge w:val="restart"/>
          </w:tcPr>
          <w:p>
            <w:pPr>
              <w:jc w:val="right"/>
              <w:ind w:right="177"/>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(8,943)</w:t>
            </w:r>
          </w:p>
        </w:tc>
        <w:tc>
          <w:tcPr>
            <w:tcW w:w="100" w:type="dxa"/>
            <w:vAlign w:val="bottom"/>
          </w:tcPr>
          <w:p>
            <w:pPr>
              <w:spacing w:after="0"/>
              <w:rPr>
                <w:sz w:val="11"/>
                <w:szCs w:val="11"/>
                <w:color w:val="auto"/>
              </w:rPr>
            </w:pPr>
          </w:p>
        </w:tc>
        <w:tc>
          <w:tcPr>
            <w:tcW w:w="240" w:type="dxa"/>
            <w:vAlign w:val="bottom"/>
            <w:vMerge w:val="restart"/>
          </w:tcPr>
          <w:p>
            <w:pPr>
              <w:jc w:val="right"/>
              <w:ind w:right="97"/>
              <w:spacing w:after="0"/>
              <w:rPr>
                <w:sz w:val="20"/>
                <w:szCs w:val="20"/>
                <w:color w:val="auto"/>
              </w:rPr>
            </w:pPr>
            <w:r>
              <w:rPr>
                <w:rFonts w:ascii="Arial" w:cs="Arial" w:eastAsia="Arial" w:hAnsi="Arial"/>
                <w:sz w:val="13"/>
                <w:szCs w:val="13"/>
                <w:color w:val="auto"/>
                <w:w w:val="82"/>
              </w:rPr>
              <w:t>$</w:t>
            </w:r>
          </w:p>
        </w:tc>
        <w:tc>
          <w:tcPr>
            <w:tcW w:w="640" w:type="dxa"/>
            <w:vAlign w:val="bottom"/>
            <w:vMerge w:val="restart"/>
          </w:tcPr>
          <w:p>
            <w:pPr>
              <w:jc w:val="right"/>
              <w:ind w:right="17"/>
              <w:spacing w:after="0"/>
              <w:rPr>
                <w:sz w:val="20"/>
                <w:szCs w:val="20"/>
                <w:color w:val="auto"/>
              </w:rPr>
            </w:pPr>
            <w:r>
              <w:rPr>
                <w:rFonts w:ascii="Arial" w:cs="Arial" w:eastAsia="Arial" w:hAnsi="Arial"/>
                <w:sz w:val="13"/>
                <w:szCs w:val="13"/>
                <w:color w:val="auto"/>
              </w:rPr>
              <w:t>42,278</w:t>
            </w:r>
          </w:p>
        </w:tc>
        <w:tc>
          <w:tcPr>
            <w:tcW w:w="0" w:type="dxa"/>
            <w:vAlign w:val="bottom"/>
          </w:tcPr>
          <w:p>
            <w:pPr>
              <w:spacing w:after="0"/>
              <w:rPr>
                <w:sz w:val="1"/>
                <w:szCs w:val="1"/>
                <w:color w:val="auto"/>
              </w:rPr>
            </w:pPr>
          </w:p>
        </w:tc>
      </w:tr>
      <w:tr>
        <w:trPr>
          <w:trHeight w:val="171"/>
        </w:trPr>
        <w:tc>
          <w:tcPr>
            <w:tcW w:w="2200" w:type="dxa"/>
            <w:vAlign w:val="bottom"/>
          </w:tcPr>
          <w:p>
            <w:pPr>
              <w:ind w:left="720"/>
              <w:spacing w:after="0"/>
              <w:rPr>
                <w:sz w:val="20"/>
                <w:szCs w:val="20"/>
                <w:color w:val="auto"/>
              </w:rPr>
            </w:pPr>
            <w:r>
              <w:rPr>
                <w:rFonts w:ascii="Arial" w:cs="Arial" w:eastAsia="Arial" w:hAnsi="Arial"/>
                <w:sz w:val="13"/>
                <w:szCs w:val="13"/>
                <w:b w:val="1"/>
                <w:bCs w:val="1"/>
                <w:color w:val="auto"/>
              </w:rPr>
              <w:t>(deficit)</w:t>
            </w:r>
          </w:p>
        </w:tc>
        <w:tc>
          <w:tcPr>
            <w:tcW w:w="34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25" w:right="1440" w:bottom="1440" w:gutter="0" w:footer="0" w:header="0"/>
          <w:type w:val="continuous"/>
        </w:sectPr>
      </w:pPr>
    </w:p>
    <w:p>
      <w:pPr>
        <w:spacing w:after="0" w:line="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0219"/>
          </w:cols>
          <w:pgMar w:left="240" w:top="125" w:right="1440"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ind w:right="4819"/>
        <w:spacing w:after="0" w:line="261" w:lineRule="auto"/>
        <w:rPr>
          <w:sz w:val="20"/>
          <w:szCs w:val="20"/>
          <w:color w:val="auto"/>
        </w:rPr>
      </w:pPr>
      <w:r>
        <w:rPr>
          <w:rFonts w:ascii="Arial" w:cs="Arial" w:eastAsia="Arial" w:hAnsi="Arial"/>
          <w:sz w:val="18"/>
          <w:szCs w:val="18"/>
          <w:b w:val="1"/>
          <w:bCs w:val="1"/>
          <w:color w:val="auto"/>
        </w:rPr>
        <w:t xml:space="preserve">CONDENSED CONSOLIDATING STATEMENT OF CASH FLOWS </w:t>
      </w:r>
      <w:r>
        <w:rPr>
          <w:rFonts w:ascii="Arial" w:cs="Arial" w:eastAsia="Arial" w:hAnsi="Arial"/>
          <w:sz w:val="18"/>
          <w:szCs w:val="18"/>
          <w:color w:val="auto"/>
        </w:rPr>
        <w:t>(In millions)(Unaudited)</w:t>
      </w:r>
    </w:p>
    <w:p>
      <w:pPr>
        <w:spacing w:after="0" w:line="202" w:lineRule="exact"/>
        <w:rPr>
          <w:sz w:val="20"/>
          <w:szCs w:val="20"/>
          <w:color w:val="auto"/>
        </w:rPr>
      </w:pPr>
    </w:p>
    <w:p>
      <w:pPr>
        <w:jc w:val="right"/>
        <w:ind w:right="3499"/>
        <w:spacing w:after="0"/>
        <w:rPr>
          <w:sz w:val="20"/>
          <w:szCs w:val="20"/>
          <w:color w:val="auto"/>
        </w:rPr>
      </w:pPr>
      <w:r>
        <w:rPr>
          <w:rFonts w:ascii="Arial" w:cs="Arial" w:eastAsia="Arial" w:hAnsi="Arial"/>
          <w:sz w:val="16"/>
          <w:szCs w:val="16"/>
          <w:color w:val="auto"/>
        </w:rPr>
        <w:t>Six Months Ended June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34925</wp:posOffset>
            </wp:positionV>
            <wp:extent cx="44081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408170" cy="88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p>
      <w:pPr>
        <w:spacing w:after="0" w:line="72"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5"/>
                <w:szCs w:val="15"/>
                <w:color w:val="auto"/>
                <w:w w:val="94"/>
              </w:rPr>
              <w:t>American</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rPr>
              <w:t>Airlines</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spacing w:after="0" w:line="162" w:lineRule="exact"/>
              <w:rPr>
                <w:sz w:val="20"/>
                <w:szCs w:val="20"/>
                <w:color w:val="auto"/>
              </w:rPr>
            </w:pPr>
            <w:r>
              <w:rPr>
                <w:rFonts w:ascii="Arial" w:cs="Arial" w:eastAsia="Arial" w:hAnsi="Arial"/>
                <w:sz w:val="15"/>
                <w:szCs w:val="15"/>
                <w:color w:val="auto"/>
                <w:w w:val="97"/>
              </w:rPr>
              <w:t>US Airways</w:t>
            </w: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w w:val="91"/>
              </w:rPr>
              <w:t>Group</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0"/>
              <w:spacing w:after="0" w:line="162" w:lineRule="exact"/>
              <w:rPr>
                <w:sz w:val="20"/>
                <w:szCs w:val="20"/>
                <w:color w:val="auto"/>
              </w:rPr>
            </w:pPr>
            <w:r>
              <w:rPr>
                <w:rFonts w:ascii="Arial" w:cs="Arial" w:eastAsia="Arial" w:hAnsi="Arial"/>
                <w:sz w:val="15"/>
                <w:szCs w:val="15"/>
                <w:color w:val="auto"/>
                <w:w w:val="95"/>
              </w:rPr>
              <w:t>Group</w:t>
            </w: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40"/>
              <w:spacing w:after="0" w:line="162" w:lineRule="exact"/>
              <w:rPr>
                <w:sz w:val="20"/>
                <w:szCs w:val="20"/>
                <w:color w:val="auto"/>
              </w:rPr>
            </w:pPr>
            <w:r>
              <w:rPr>
                <w:rFonts w:ascii="Arial" w:cs="Arial" w:eastAsia="Arial" w:hAnsi="Arial"/>
                <w:sz w:val="15"/>
                <w:szCs w:val="15"/>
                <w:color w:val="auto"/>
                <w:w w:val="89"/>
              </w:rPr>
              <w:t>(Parent</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0"/>
              <w:spacing w:after="0" w:line="162" w:lineRule="exact"/>
              <w:rPr>
                <w:sz w:val="20"/>
                <w:szCs w:val="20"/>
                <w:color w:val="auto"/>
              </w:rPr>
            </w:pPr>
            <w:r>
              <w:rPr>
                <w:rFonts w:ascii="Arial" w:cs="Arial" w:eastAsia="Arial" w:hAnsi="Arial"/>
                <w:sz w:val="15"/>
                <w:szCs w:val="15"/>
                <w:color w:val="auto"/>
                <w:w w:val="89"/>
              </w:rPr>
              <w:t>(Parent</w:t>
            </w:r>
          </w:p>
        </w:tc>
        <w:tc>
          <w:tcPr>
            <w:tcW w:w="0" w:type="dxa"/>
            <w:vAlign w:val="bottom"/>
          </w:tcPr>
          <w:p>
            <w:pPr>
              <w:spacing w:after="0"/>
              <w:rPr>
                <w:sz w:val="1"/>
                <w:szCs w:val="1"/>
                <w:color w:val="auto"/>
              </w:rPr>
            </w:pPr>
          </w:p>
        </w:tc>
      </w:tr>
      <w:tr>
        <w:trPr>
          <w:trHeight w:val="162"/>
        </w:trPr>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w w:val="90"/>
              </w:rPr>
              <w:t>Company</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20"/>
              <w:spacing w:after="0" w:line="162" w:lineRule="exact"/>
              <w:rPr>
                <w:sz w:val="20"/>
                <w:szCs w:val="20"/>
                <w:color w:val="auto"/>
              </w:rPr>
            </w:pPr>
            <w:r>
              <w:rPr>
                <w:rFonts w:ascii="Arial" w:cs="Arial" w:eastAsia="Arial" w:hAnsi="Arial"/>
                <w:sz w:val="15"/>
                <w:szCs w:val="15"/>
                <w:color w:val="auto"/>
                <w:w w:val="93"/>
              </w:rPr>
              <w:t>Company</w:t>
            </w:r>
          </w:p>
        </w:tc>
        <w:tc>
          <w:tcPr>
            <w:tcW w:w="0" w:type="dxa"/>
            <w:vAlign w:val="bottom"/>
          </w:tcPr>
          <w:p>
            <w:pPr>
              <w:spacing w:after="0"/>
              <w:rPr>
                <w:sz w:val="1"/>
                <w:szCs w:val="1"/>
                <w:color w:val="auto"/>
              </w:rPr>
            </w:pPr>
          </w:p>
        </w:tc>
      </w:tr>
      <w:tr>
        <w:trPr>
          <w:trHeight w:val="196"/>
        </w:trPr>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5"/>
                <w:szCs w:val="15"/>
                <w:color w:val="auto"/>
              </w:rPr>
              <w:t>Only)</w:t>
            </w:r>
          </w:p>
        </w:tc>
        <w:tc>
          <w:tcPr>
            <w:tcW w:w="880" w:type="dxa"/>
            <w:vAlign w:val="bottom"/>
            <w:gridSpan w:val="3"/>
          </w:tcPr>
          <w:p>
            <w:pPr>
              <w:ind w:left="80"/>
              <w:spacing w:after="0"/>
              <w:rPr>
                <w:sz w:val="20"/>
                <w:szCs w:val="20"/>
                <w:color w:val="auto"/>
              </w:rPr>
            </w:pPr>
            <w:r>
              <w:rPr>
                <w:rFonts w:ascii="Arial" w:cs="Arial" w:eastAsia="Arial" w:hAnsi="Arial"/>
                <w:sz w:val="15"/>
                <w:szCs w:val="15"/>
                <w:color w:val="auto"/>
              </w:rPr>
              <w:t>American</w:t>
            </w:r>
          </w:p>
        </w:tc>
        <w:tc>
          <w:tcPr>
            <w:tcW w:w="100" w:type="dxa"/>
            <w:vAlign w:val="bottom"/>
          </w:tcPr>
          <w:p>
            <w:pPr>
              <w:spacing w:after="0"/>
              <w:rPr>
                <w:sz w:val="17"/>
                <w:szCs w:val="17"/>
                <w:color w:val="auto"/>
              </w:rPr>
            </w:pPr>
          </w:p>
        </w:tc>
        <w:tc>
          <w:tcPr>
            <w:tcW w:w="700" w:type="dxa"/>
            <w:vAlign w:val="bottom"/>
          </w:tcPr>
          <w:p>
            <w:pPr>
              <w:jc w:val="center"/>
              <w:ind w:right="20"/>
              <w:spacing w:after="0"/>
              <w:rPr>
                <w:sz w:val="20"/>
                <w:szCs w:val="20"/>
                <w:color w:val="auto"/>
              </w:rPr>
            </w:pPr>
            <w:r>
              <w:rPr>
                <w:rFonts w:ascii="Arial" w:cs="Arial" w:eastAsia="Arial" w:hAnsi="Arial"/>
                <w:sz w:val="15"/>
                <w:szCs w:val="15"/>
                <w:color w:val="auto"/>
              </w:rPr>
              <w:t>Only)</w:t>
            </w:r>
          </w:p>
        </w:tc>
        <w:tc>
          <w:tcPr>
            <w:tcW w:w="0" w:type="dxa"/>
            <w:vAlign w:val="bottom"/>
          </w:tcPr>
          <w:p>
            <w:pPr>
              <w:spacing w:after="0"/>
              <w:rPr>
                <w:sz w:val="1"/>
                <w:szCs w:val="1"/>
                <w:color w:val="auto"/>
              </w:rPr>
            </w:pPr>
          </w:p>
        </w:tc>
      </w:tr>
      <w:tr>
        <w:trPr>
          <w:trHeight w:val="202"/>
        </w:trPr>
        <w:tc>
          <w:tcPr>
            <w:tcW w:w="2120" w:type="dxa"/>
            <w:vAlign w:val="bottom"/>
          </w:tcPr>
          <w:p>
            <w:pPr>
              <w:spacing w:after="0"/>
              <w:rPr>
                <w:sz w:val="20"/>
                <w:szCs w:val="20"/>
                <w:color w:val="auto"/>
              </w:rPr>
            </w:pPr>
            <w:r>
              <w:rPr>
                <w:rFonts w:ascii="Arial" w:cs="Arial" w:eastAsia="Arial" w:hAnsi="Arial"/>
                <w:sz w:val="16"/>
                <w:szCs w:val="16"/>
                <w:b w:val="1"/>
                <w:bCs w:val="1"/>
                <w:color w:val="auto"/>
              </w:rPr>
              <w:t>Net cash provided by</w:t>
            </w: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12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1,683</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9"/>
        </w:trPr>
        <w:tc>
          <w:tcPr>
            <w:tcW w:w="2120" w:type="dxa"/>
            <w:vAlign w:val="bottom"/>
          </w:tcPr>
          <w:p>
            <w:pPr>
              <w:spacing w:after="0"/>
              <w:rPr>
                <w:sz w:val="20"/>
                <w:szCs w:val="20"/>
                <w:color w:val="auto"/>
              </w:rPr>
            </w:pPr>
            <w:r>
              <w:rPr>
                <w:rFonts w:ascii="Arial" w:cs="Arial" w:eastAsia="Arial" w:hAnsi="Arial"/>
                <w:sz w:val="16"/>
                <w:szCs w:val="16"/>
                <w:b w:val="1"/>
                <w:bCs w:val="1"/>
                <w:color w:val="auto"/>
              </w:rPr>
              <w:t>Cash flows from investing</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120" w:type="dxa"/>
            <w:vAlign w:val="bottom"/>
          </w:tcPr>
          <w:p>
            <w:pPr>
              <w:spacing w:after="0"/>
              <w:rPr>
                <w:sz w:val="20"/>
                <w:szCs w:val="20"/>
                <w:color w:val="auto"/>
              </w:rPr>
            </w:pPr>
            <w:r>
              <w:rPr>
                <w:rFonts w:ascii="Arial" w:cs="Arial" w:eastAsia="Arial" w:hAnsi="Arial"/>
                <w:sz w:val="16"/>
                <w:szCs w:val="16"/>
                <w:b w:val="1"/>
                <w:bCs w:val="1"/>
                <w:color w:val="auto"/>
              </w:rPr>
              <w:t>activities: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120" w:type="dxa"/>
            <w:vAlign w:val="bottom"/>
          </w:tcPr>
          <w:p>
            <w:pPr>
              <w:ind w:left="240"/>
              <w:spacing w:after="0"/>
              <w:rPr>
                <w:sz w:val="20"/>
                <w:szCs w:val="20"/>
                <w:color w:val="auto"/>
              </w:rPr>
            </w:pPr>
            <w:r>
              <w:rPr>
                <w:rFonts w:ascii="Arial" w:cs="Arial" w:eastAsia="Arial" w:hAnsi="Arial"/>
                <w:sz w:val="16"/>
                <w:szCs w:val="16"/>
                <w:color w:val="auto"/>
              </w:rPr>
              <w:t>Capital expenditures and</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120" w:type="dxa"/>
            <w:vAlign w:val="bottom"/>
          </w:tcPr>
          <w:p>
            <w:pPr>
              <w:ind w:left="240"/>
              <w:spacing w:after="0"/>
              <w:rPr>
                <w:sz w:val="20"/>
                <w:szCs w:val="20"/>
                <w:color w:val="auto"/>
              </w:rPr>
            </w:pPr>
            <w:r>
              <w:rPr>
                <w:rFonts w:ascii="Arial" w:cs="Arial" w:eastAsia="Arial" w:hAnsi="Arial"/>
                <w:sz w:val="16"/>
                <w:szCs w:val="16"/>
                <w:color w:val="auto"/>
              </w:rPr>
              <w:t>aircraft purchase deposits</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(1,828)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2120" w:type="dxa"/>
            <w:vAlign w:val="bottom"/>
          </w:tcPr>
          <w:p>
            <w:pPr>
              <w:ind w:left="240"/>
              <w:spacing w:after="0"/>
              <w:rPr>
                <w:sz w:val="20"/>
                <w:szCs w:val="20"/>
                <w:color w:val="auto"/>
              </w:rPr>
            </w:pPr>
            <w:r>
              <w:rPr>
                <w:rFonts w:ascii="Arial" w:cs="Arial" w:eastAsia="Arial" w:hAnsi="Arial"/>
                <w:sz w:val="16"/>
                <w:szCs w:val="16"/>
                <w:color w:val="auto"/>
              </w:rPr>
              <w:t>Decrease (increase) in</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120" w:type="dxa"/>
            <w:vAlign w:val="bottom"/>
          </w:tcPr>
          <w:p>
            <w:pPr>
              <w:ind w:left="240"/>
              <w:spacing w:after="0"/>
              <w:rPr>
                <w:sz w:val="20"/>
                <w:szCs w:val="20"/>
                <w:color w:val="auto"/>
              </w:rPr>
            </w:pPr>
            <w:r>
              <w:rPr>
                <w:rFonts w:ascii="Arial" w:cs="Arial" w:eastAsia="Arial" w:hAnsi="Arial"/>
                <w:sz w:val="16"/>
                <w:szCs w:val="16"/>
                <w:color w:val="auto"/>
              </w:rPr>
              <w:t>investments</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2120" w:type="dxa"/>
            <w:vAlign w:val="bottom"/>
          </w:tcPr>
          <w:p>
            <w:pPr>
              <w:ind w:left="240"/>
              <w:spacing w:after="0"/>
              <w:rPr>
                <w:sz w:val="20"/>
                <w:szCs w:val="20"/>
                <w:color w:val="auto"/>
              </w:rPr>
            </w:pPr>
            <w:r>
              <w:rPr>
                <w:rFonts w:ascii="Arial" w:cs="Arial" w:eastAsia="Arial" w:hAnsi="Arial"/>
                <w:sz w:val="16"/>
                <w:szCs w:val="16"/>
                <w:color w:val="auto"/>
                <w:w w:val="95"/>
              </w:rPr>
              <w:t>Decrease in restricted cash</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120" w:type="dxa"/>
            <w:vAlign w:val="bottom"/>
          </w:tcPr>
          <w:p>
            <w:pPr>
              <w:ind w:left="240"/>
              <w:spacing w:after="0"/>
              <w:rPr>
                <w:sz w:val="20"/>
                <w:szCs w:val="20"/>
                <w:color w:val="auto"/>
              </w:rPr>
            </w:pPr>
            <w:r>
              <w:rPr>
                <w:rFonts w:ascii="Arial" w:cs="Arial" w:eastAsia="Arial" w:hAnsi="Arial"/>
                <w:sz w:val="16"/>
                <w:szCs w:val="16"/>
                <w:color w:val="auto"/>
              </w:rPr>
              <w:t>and short-term</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20" w:type="dxa"/>
            <w:vAlign w:val="bottom"/>
          </w:tcPr>
          <w:p>
            <w:pPr>
              <w:ind w:left="240"/>
              <w:spacing w:after="0"/>
              <w:rPr>
                <w:sz w:val="20"/>
                <w:szCs w:val="20"/>
                <w:color w:val="auto"/>
              </w:rPr>
            </w:pPr>
            <w:r>
              <w:rPr>
                <w:rFonts w:ascii="Arial" w:cs="Arial" w:eastAsia="Arial" w:hAnsi="Arial"/>
                <w:sz w:val="16"/>
                <w:szCs w:val="16"/>
                <w:color w:val="auto"/>
              </w:rPr>
              <w:t>investments</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2120" w:type="dxa"/>
            <w:vAlign w:val="bottom"/>
          </w:tcPr>
          <w:p>
            <w:pPr>
              <w:ind w:left="240"/>
              <w:spacing w:after="0"/>
              <w:rPr>
                <w:sz w:val="20"/>
                <w:szCs w:val="20"/>
                <w:color w:val="auto"/>
              </w:rPr>
            </w:pPr>
            <w:r>
              <w:rPr>
                <w:rFonts w:ascii="Arial" w:cs="Arial" w:eastAsia="Arial" w:hAnsi="Arial"/>
                <w:sz w:val="16"/>
                <w:szCs w:val="16"/>
                <w:color w:val="auto"/>
              </w:rPr>
              <w:t>Net proceeds from slot</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120" w:type="dxa"/>
            <w:vAlign w:val="bottom"/>
          </w:tcPr>
          <w:p>
            <w:pPr>
              <w:ind w:left="240"/>
              <w:spacing w:after="0"/>
              <w:rPr>
                <w:sz w:val="20"/>
                <w:szCs w:val="20"/>
                <w:color w:val="auto"/>
              </w:rPr>
            </w:pPr>
            <w:r>
              <w:rPr>
                <w:rFonts w:ascii="Arial" w:cs="Arial" w:eastAsia="Arial" w:hAnsi="Arial"/>
                <w:sz w:val="16"/>
                <w:szCs w:val="16"/>
                <w:color w:val="auto"/>
              </w:rPr>
              <w:t>transaction</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2120" w:type="dxa"/>
            <w:vAlign w:val="bottom"/>
          </w:tcPr>
          <w:p>
            <w:pPr>
              <w:ind w:left="240"/>
              <w:spacing w:after="0"/>
              <w:rPr>
                <w:sz w:val="20"/>
                <w:szCs w:val="20"/>
                <w:color w:val="auto"/>
              </w:rPr>
            </w:pPr>
            <w:r>
              <w:rPr>
                <w:rFonts w:ascii="Arial" w:cs="Arial" w:eastAsia="Arial" w:hAnsi="Arial"/>
                <w:sz w:val="16"/>
                <w:szCs w:val="16"/>
                <w:color w:val="auto"/>
              </w:rPr>
              <w:t>Funds transferred to</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120" w:type="dxa"/>
            <w:vAlign w:val="bottom"/>
          </w:tcPr>
          <w:p>
            <w:pPr>
              <w:ind w:left="240"/>
              <w:spacing w:after="0"/>
              <w:rPr>
                <w:sz w:val="20"/>
                <w:szCs w:val="20"/>
                <w:color w:val="auto"/>
              </w:rPr>
            </w:pPr>
            <w:r>
              <w:rPr>
                <w:rFonts w:ascii="Arial" w:cs="Arial" w:eastAsia="Arial" w:hAnsi="Arial"/>
                <w:sz w:val="16"/>
                <w:szCs w:val="16"/>
                <w:color w:val="auto"/>
              </w:rPr>
              <w:t>affiliates</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2120" w:type="dxa"/>
            <w:vAlign w:val="bottom"/>
          </w:tcPr>
          <w:p>
            <w:pPr>
              <w:ind w:left="240"/>
              <w:spacing w:after="0"/>
              <w:rPr>
                <w:sz w:val="20"/>
                <w:szCs w:val="20"/>
                <w:color w:val="auto"/>
              </w:rPr>
            </w:pPr>
            <w:r>
              <w:rPr>
                <w:rFonts w:ascii="Arial" w:cs="Arial" w:eastAsia="Arial" w:hAnsi="Arial"/>
                <w:sz w:val="16"/>
                <w:szCs w:val="16"/>
                <w:color w:val="auto"/>
              </w:rPr>
              <w:t>Proceeds from sale of</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120" w:type="dxa"/>
            <w:vAlign w:val="bottom"/>
          </w:tcPr>
          <w:p>
            <w:pPr>
              <w:ind w:left="240"/>
              <w:spacing w:after="0"/>
              <w:rPr>
                <w:sz w:val="20"/>
                <w:szCs w:val="20"/>
                <w:color w:val="auto"/>
              </w:rPr>
            </w:pPr>
            <w:r>
              <w:rPr>
                <w:rFonts w:ascii="Arial" w:cs="Arial" w:eastAsia="Arial" w:hAnsi="Arial"/>
                <w:sz w:val="16"/>
                <w:szCs w:val="16"/>
                <w:color w:val="auto"/>
              </w:rPr>
              <w:t>property and equipment</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120" w:type="dxa"/>
            <w:vAlign w:val="bottom"/>
            <w:vMerge w:val="restart"/>
          </w:tcPr>
          <w:p>
            <w:pPr>
              <w:ind w:left="240"/>
              <w:spacing w:after="0"/>
              <w:rPr>
                <w:sz w:val="20"/>
                <w:szCs w:val="20"/>
                <w:color w:val="auto"/>
              </w:rPr>
            </w:pPr>
            <w:r>
              <w:rPr>
                <w:rFonts w:ascii="Arial" w:cs="Arial" w:eastAsia="Arial" w:hAnsi="Arial"/>
                <w:sz w:val="16"/>
                <w:szCs w:val="16"/>
                <w:color w:val="auto"/>
                <w:w w:val="99"/>
              </w:rPr>
              <w:t>Net cash used in investing</w:t>
            </w: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20" w:type="dxa"/>
            <w:vAlign w:val="bottom"/>
          </w:tcPr>
          <w:p>
            <w:pPr>
              <w:ind w:left="240"/>
              <w:spacing w:after="0"/>
              <w:rPr>
                <w:sz w:val="20"/>
                <w:szCs w:val="20"/>
                <w:color w:val="auto"/>
              </w:rPr>
            </w:pPr>
            <w:r>
              <w:rPr>
                <w:rFonts w:ascii="Arial" w:cs="Arial" w:eastAsia="Arial" w:hAnsi="Arial"/>
                <w:sz w:val="16"/>
                <w:szCs w:val="16"/>
                <w:color w:val="auto"/>
              </w:rPr>
              <w:t>activities</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(1,328)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9"/>
        </w:trPr>
        <w:tc>
          <w:tcPr>
            <w:tcW w:w="2120" w:type="dxa"/>
            <w:vAlign w:val="bottom"/>
          </w:tcPr>
          <w:p>
            <w:pPr>
              <w:spacing w:after="0"/>
              <w:rPr>
                <w:sz w:val="20"/>
                <w:szCs w:val="20"/>
                <w:color w:val="auto"/>
              </w:rPr>
            </w:pPr>
            <w:r>
              <w:rPr>
                <w:rFonts w:ascii="Arial" w:cs="Arial" w:eastAsia="Arial" w:hAnsi="Arial"/>
                <w:sz w:val="16"/>
                <w:szCs w:val="16"/>
                <w:b w:val="1"/>
                <w:bCs w:val="1"/>
                <w:color w:val="auto"/>
              </w:rPr>
              <w:t>Cash flows from financing</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120" w:type="dxa"/>
            <w:vAlign w:val="bottom"/>
          </w:tcPr>
          <w:p>
            <w:pPr>
              <w:spacing w:after="0"/>
              <w:rPr>
                <w:sz w:val="20"/>
                <w:szCs w:val="20"/>
                <w:color w:val="auto"/>
              </w:rPr>
            </w:pPr>
            <w:r>
              <w:rPr>
                <w:rFonts w:ascii="Arial" w:cs="Arial" w:eastAsia="Arial" w:hAnsi="Arial"/>
                <w:sz w:val="16"/>
                <w:szCs w:val="16"/>
                <w:b w:val="1"/>
                <w:bCs w:val="1"/>
                <w:color w:val="auto"/>
              </w:rPr>
              <w:t>activities: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120" w:type="dxa"/>
            <w:vAlign w:val="bottom"/>
          </w:tcPr>
          <w:p>
            <w:pPr>
              <w:ind w:left="240"/>
              <w:spacing w:after="0"/>
              <w:rPr>
                <w:sz w:val="20"/>
                <w:szCs w:val="20"/>
                <w:color w:val="auto"/>
              </w:rPr>
            </w:pPr>
            <w:r>
              <w:rPr>
                <w:rFonts w:ascii="Arial" w:cs="Arial" w:eastAsia="Arial" w:hAnsi="Arial"/>
                <w:sz w:val="16"/>
                <w:szCs w:val="16"/>
                <w:color w:val="auto"/>
              </w:rPr>
              <w:t>Payments on long-term</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120" w:type="dxa"/>
            <w:vAlign w:val="bottom"/>
          </w:tcPr>
          <w:p>
            <w:pPr>
              <w:ind w:left="240"/>
              <w:spacing w:after="0"/>
              <w:rPr>
                <w:sz w:val="20"/>
                <w:szCs w:val="20"/>
                <w:color w:val="auto"/>
              </w:rPr>
            </w:pPr>
            <w:r>
              <w:rPr>
                <w:rFonts w:ascii="Arial" w:cs="Arial" w:eastAsia="Arial" w:hAnsi="Arial"/>
                <w:sz w:val="16"/>
                <w:szCs w:val="16"/>
                <w:color w:val="auto"/>
              </w:rPr>
              <w:t>debt and capital leases</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(655)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2120" w:type="dxa"/>
            <w:vAlign w:val="bottom"/>
          </w:tcPr>
          <w:p>
            <w:pPr>
              <w:ind w:left="240"/>
              <w:spacing w:after="0"/>
              <w:rPr>
                <w:sz w:val="20"/>
                <w:szCs w:val="20"/>
                <w:color w:val="auto"/>
              </w:rPr>
            </w:pPr>
            <w:r>
              <w:rPr>
                <w:rFonts w:ascii="Arial" w:cs="Arial" w:eastAsia="Arial" w:hAnsi="Arial"/>
                <w:sz w:val="16"/>
                <w:szCs w:val="16"/>
                <w:color w:val="auto"/>
                <w:w w:val="98"/>
              </w:rPr>
              <w:t>Proceeds from issuance of</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120" w:type="dxa"/>
            <w:vAlign w:val="bottom"/>
          </w:tcPr>
          <w:p>
            <w:pPr>
              <w:ind w:left="240"/>
              <w:spacing w:after="0"/>
              <w:rPr>
                <w:sz w:val="20"/>
                <w:szCs w:val="20"/>
                <w:color w:val="auto"/>
              </w:rPr>
            </w:pPr>
            <w:r>
              <w:rPr>
                <w:rFonts w:ascii="Arial" w:cs="Arial" w:eastAsia="Arial" w:hAnsi="Arial"/>
                <w:sz w:val="16"/>
                <w:szCs w:val="16"/>
                <w:color w:val="auto"/>
              </w:rPr>
              <w:t>long-term debt</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120" w:type="dxa"/>
            <w:vAlign w:val="bottom"/>
          </w:tcPr>
          <w:p>
            <w:pPr>
              <w:ind w:left="240"/>
              <w:spacing w:after="0"/>
              <w:rPr>
                <w:sz w:val="20"/>
                <w:szCs w:val="20"/>
                <w:color w:val="auto"/>
              </w:rPr>
            </w:pPr>
            <w:r>
              <w:rPr>
                <w:rFonts w:ascii="Arial" w:cs="Arial" w:eastAsia="Arial" w:hAnsi="Arial"/>
                <w:sz w:val="16"/>
                <w:szCs w:val="16"/>
                <w:color w:val="auto"/>
              </w:rPr>
              <w:t>Exercise of stock options</w:t>
            </w:r>
          </w:p>
        </w:tc>
        <w:tc>
          <w:tcPr>
            <w:tcW w:w="12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120" w:type="dxa"/>
            <w:vAlign w:val="bottom"/>
          </w:tcPr>
          <w:p>
            <w:pPr>
              <w:ind w:left="240"/>
              <w:spacing w:after="0"/>
              <w:rPr>
                <w:sz w:val="20"/>
                <w:szCs w:val="20"/>
                <w:color w:val="auto"/>
              </w:rPr>
            </w:pPr>
            <w:r>
              <w:rPr>
                <w:rFonts w:ascii="Arial" w:cs="Arial" w:eastAsia="Arial" w:hAnsi="Arial"/>
                <w:sz w:val="16"/>
                <w:szCs w:val="16"/>
                <w:color w:val="auto"/>
              </w:rPr>
              <w:t>Deferred financing costs</w:t>
            </w:r>
          </w:p>
        </w:tc>
        <w:tc>
          <w:tcPr>
            <w:tcW w:w="12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2120" w:type="dxa"/>
            <w:vAlign w:val="bottom"/>
          </w:tcPr>
          <w:p>
            <w:pPr>
              <w:ind w:left="240"/>
              <w:spacing w:after="0"/>
              <w:rPr>
                <w:sz w:val="20"/>
                <w:szCs w:val="20"/>
                <w:color w:val="auto"/>
              </w:rPr>
            </w:pPr>
            <w:r>
              <w:rPr>
                <w:rFonts w:ascii="Arial" w:cs="Arial" w:eastAsia="Arial" w:hAnsi="Arial"/>
                <w:sz w:val="16"/>
                <w:szCs w:val="16"/>
                <w:color w:val="auto"/>
              </w:rPr>
              <w:t>Sale-leaseback</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120" w:type="dxa"/>
            <w:vAlign w:val="bottom"/>
          </w:tcPr>
          <w:p>
            <w:pPr>
              <w:ind w:left="240"/>
              <w:spacing w:after="0"/>
              <w:rPr>
                <w:sz w:val="20"/>
                <w:szCs w:val="20"/>
                <w:color w:val="auto"/>
              </w:rPr>
            </w:pPr>
            <w:r>
              <w:rPr>
                <w:rFonts w:ascii="Arial" w:cs="Arial" w:eastAsia="Arial" w:hAnsi="Arial"/>
                <w:sz w:val="16"/>
                <w:szCs w:val="16"/>
                <w:color w:val="auto"/>
              </w:rPr>
              <w:t>transactions</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411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2120" w:type="dxa"/>
            <w:vAlign w:val="bottom"/>
          </w:tcPr>
          <w:p>
            <w:pPr>
              <w:ind w:left="240"/>
              <w:spacing w:after="0"/>
              <w:rPr>
                <w:sz w:val="20"/>
                <w:szCs w:val="20"/>
                <w:color w:val="auto"/>
              </w:rPr>
            </w:pPr>
            <w:r>
              <w:rPr>
                <w:rFonts w:ascii="Arial" w:cs="Arial" w:eastAsia="Arial" w:hAnsi="Arial"/>
                <w:sz w:val="16"/>
                <w:szCs w:val="16"/>
                <w:color w:val="auto"/>
              </w:rPr>
              <w:t>Treasury stock</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120" w:type="dxa"/>
            <w:vAlign w:val="bottom"/>
          </w:tcPr>
          <w:p>
            <w:pPr>
              <w:ind w:left="240"/>
              <w:spacing w:after="0"/>
              <w:rPr>
                <w:sz w:val="20"/>
                <w:szCs w:val="20"/>
                <w:color w:val="auto"/>
              </w:rPr>
            </w:pPr>
            <w:r>
              <w:rPr>
                <w:rFonts w:ascii="Arial" w:cs="Arial" w:eastAsia="Arial" w:hAnsi="Arial"/>
                <w:sz w:val="16"/>
                <w:szCs w:val="16"/>
                <w:color w:val="auto"/>
              </w:rPr>
              <w:t>repurchases</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2120" w:type="dxa"/>
            <w:vAlign w:val="bottom"/>
          </w:tcPr>
          <w:p>
            <w:pPr>
              <w:ind w:left="240"/>
              <w:spacing w:after="0"/>
              <w:rPr>
                <w:sz w:val="20"/>
                <w:szCs w:val="20"/>
                <w:color w:val="auto"/>
              </w:rPr>
            </w:pPr>
            <w:r>
              <w:rPr>
                <w:rFonts w:ascii="Arial" w:cs="Arial" w:eastAsia="Arial" w:hAnsi="Arial"/>
                <w:sz w:val="16"/>
                <w:szCs w:val="16"/>
                <w:color w:val="auto"/>
              </w:rPr>
              <w:t>Funds transferred to</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120" w:type="dxa"/>
            <w:vAlign w:val="bottom"/>
          </w:tcPr>
          <w:p>
            <w:pPr>
              <w:ind w:left="240"/>
              <w:spacing w:after="0"/>
              <w:rPr>
                <w:sz w:val="20"/>
                <w:szCs w:val="20"/>
                <w:color w:val="auto"/>
              </w:rPr>
            </w:pPr>
            <w:r>
              <w:rPr>
                <w:rFonts w:ascii="Arial" w:cs="Arial" w:eastAsia="Arial" w:hAnsi="Arial"/>
                <w:sz w:val="16"/>
                <w:szCs w:val="16"/>
                <w:color w:val="auto"/>
              </w:rPr>
              <w:t>affiliates</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120" w:type="dxa"/>
            <w:vAlign w:val="bottom"/>
          </w:tcPr>
          <w:p>
            <w:pPr>
              <w:ind w:left="240"/>
              <w:spacing w:after="0"/>
              <w:rPr>
                <w:sz w:val="20"/>
                <w:szCs w:val="20"/>
                <w:color w:val="auto"/>
              </w:rPr>
            </w:pPr>
            <w:r>
              <w:rPr>
                <w:rFonts w:ascii="Arial" w:cs="Arial" w:eastAsia="Arial" w:hAnsi="Arial"/>
                <w:sz w:val="16"/>
                <w:szCs w:val="16"/>
                <w:color w:val="auto"/>
              </w:rPr>
              <w:t>Other financing activities</w:t>
            </w:r>
          </w:p>
        </w:tc>
        <w:tc>
          <w:tcPr>
            <w:tcW w:w="12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120" w:type="dxa"/>
            <w:vAlign w:val="bottom"/>
            <w:vMerge w:val="restart"/>
          </w:tcPr>
          <w:p>
            <w:pPr>
              <w:ind w:left="460"/>
              <w:spacing w:after="0"/>
              <w:rPr>
                <w:sz w:val="20"/>
                <w:szCs w:val="20"/>
                <w:color w:val="auto"/>
              </w:rPr>
            </w:pPr>
            <w:r>
              <w:rPr>
                <w:rFonts w:ascii="Arial" w:cs="Arial" w:eastAsia="Arial" w:hAnsi="Arial"/>
                <w:sz w:val="16"/>
                <w:szCs w:val="16"/>
                <w:color w:val="auto"/>
              </w:rPr>
              <w:t>Net cash used in</w:t>
            </w: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20" w:type="dxa"/>
            <w:vAlign w:val="bottom"/>
          </w:tcPr>
          <w:p>
            <w:pPr>
              <w:ind w:left="460"/>
              <w:spacing w:after="0"/>
              <w:rPr>
                <w:sz w:val="20"/>
                <w:szCs w:val="20"/>
                <w:color w:val="auto"/>
              </w:rPr>
            </w:pPr>
            <w:r>
              <w:rPr>
                <w:rFonts w:ascii="Arial" w:cs="Arial" w:eastAsia="Arial" w:hAnsi="Arial"/>
                <w:sz w:val="16"/>
                <w:szCs w:val="16"/>
                <w:color w:val="auto"/>
              </w:rPr>
              <w:t>financing activities</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120" w:type="dxa"/>
            <w:vAlign w:val="bottom"/>
            <w:vMerge w:val="restart"/>
          </w:tcPr>
          <w:p>
            <w:pPr>
              <w:spacing w:after="0"/>
              <w:rPr>
                <w:sz w:val="20"/>
                <w:szCs w:val="20"/>
                <w:color w:val="auto"/>
              </w:rPr>
            </w:pPr>
            <w:r>
              <w:rPr>
                <w:rFonts w:ascii="Arial" w:cs="Arial" w:eastAsia="Arial" w:hAnsi="Arial"/>
                <w:sz w:val="16"/>
                <w:szCs w:val="16"/>
                <w:color w:val="auto"/>
              </w:rPr>
              <w:t>Net increase (decrease) in</w:t>
            </w: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20" w:type="dxa"/>
            <w:vAlign w:val="bottom"/>
          </w:tcPr>
          <w:p>
            <w:pPr>
              <w:spacing w:after="0"/>
              <w:rPr>
                <w:sz w:val="20"/>
                <w:szCs w:val="20"/>
                <w:color w:val="auto"/>
              </w:rPr>
            </w:pPr>
            <w:r>
              <w:rPr>
                <w:rFonts w:ascii="Arial" w:cs="Arial" w:eastAsia="Arial" w:hAnsi="Arial"/>
                <w:sz w:val="16"/>
                <w:szCs w:val="16"/>
                <w:color w:val="auto"/>
              </w:rPr>
              <w:t>cash</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0"/>
                <w:szCs w:val="20"/>
                <w:color w:val="auto"/>
              </w:rPr>
            </w:pPr>
            <w:r>
              <w:rPr>
                <w:rFonts w:ascii="Arial" w:cs="Arial" w:eastAsia="Arial" w:hAnsi="Arial"/>
                <w:sz w:val="16"/>
                <w:szCs w:val="16"/>
                <w:color w:val="auto"/>
              </w:rPr>
              <w:t>Cash at beginning of period</w:t>
            </w:r>
          </w:p>
        </w:tc>
        <w:tc>
          <w:tcPr>
            <w:tcW w:w="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829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2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120" w:type="dxa"/>
            <w:vAlign w:val="bottom"/>
          </w:tcPr>
          <w:p>
            <w:pPr>
              <w:spacing w:after="0"/>
              <w:rPr>
                <w:sz w:val="20"/>
                <w:szCs w:val="20"/>
                <w:color w:val="auto"/>
              </w:rPr>
            </w:pPr>
            <w:r>
              <w:rPr>
                <w:rFonts w:ascii="Arial" w:cs="Arial" w:eastAsia="Arial" w:hAnsi="Arial"/>
                <w:sz w:val="16"/>
                <w:szCs w:val="16"/>
                <w:color w:val="auto"/>
              </w:rPr>
              <w:t>Cash at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981</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-5968365</wp:posOffset>
            </wp:positionV>
            <wp:extent cx="5771515" cy="291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71515"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-5384800</wp:posOffset>
            </wp:positionV>
            <wp:extent cx="5771515" cy="291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71515"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-4801870</wp:posOffset>
            </wp:positionV>
            <wp:extent cx="5771515" cy="420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71515" cy="420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-4090035</wp:posOffset>
            </wp:positionV>
            <wp:extent cx="5771515" cy="291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71515"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-3507105</wp:posOffset>
            </wp:positionV>
            <wp:extent cx="5771515" cy="291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71515"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-2923540</wp:posOffset>
            </wp:positionV>
            <wp:extent cx="5771515" cy="291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71515"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-2340610</wp:posOffset>
            </wp:positionV>
            <wp:extent cx="577151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7151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-1997710</wp:posOffset>
            </wp:positionV>
            <wp:extent cx="5771515" cy="291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71515"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-1414145</wp:posOffset>
            </wp:positionV>
            <wp:extent cx="5771515" cy="291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71515"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-951230</wp:posOffset>
            </wp:positionV>
            <wp:extent cx="5771515" cy="291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71515"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-368300</wp:posOffset>
            </wp:positionV>
            <wp:extent cx="577151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7151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40"/>
              <w:spacing w:after="0"/>
              <w:rPr>
                <w:sz w:val="20"/>
                <w:szCs w:val="20"/>
                <w:color w:val="auto"/>
              </w:rPr>
            </w:pPr>
            <w:r>
              <w:rPr>
                <w:rFonts w:ascii="Arial" w:cs="Arial" w:eastAsia="Arial" w:hAnsi="Arial"/>
                <w:sz w:val="15"/>
                <w:szCs w:val="15"/>
                <w:color w:val="auto"/>
                <w:w w:val="94"/>
              </w:rPr>
              <w:t>American</w:t>
            </w:r>
          </w:p>
        </w:tc>
      </w:tr>
      <w:tr>
        <w:trPr>
          <w:trHeight w:val="162"/>
        </w:trPr>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w w:val="92"/>
              </w:rPr>
              <w:t>Non-</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40"/>
              <w:spacing w:after="0" w:line="162" w:lineRule="exact"/>
              <w:rPr>
                <w:sz w:val="20"/>
                <w:szCs w:val="20"/>
                <w:color w:val="auto"/>
              </w:rPr>
            </w:pPr>
            <w:r>
              <w:rPr>
                <w:rFonts w:ascii="Arial" w:cs="Arial" w:eastAsia="Arial" w:hAnsi="Arial"/>
                <w:sz w:val="15"/>
                <w:szCs w:val="15"/>
                <w:color w:val="auto"/>
                <w:w w:val="97"/>
              </w:rPr>
              <w:t>Airlines</w:t>
            </w:r>
          </w:p>
        </w:tc>
      </w:tr>
      <w:tr>
        <w:trPr>
          <w:trHeight w:val="162"/>
        </w:trPr>
        <w:tc>
          <w:tcPr>
            <w:tcW w:w="100" w:type="dxa"/>
            <w:vAlign w:val="bottom"/>
          </w:tcPr>
          <w:p>
            <w:pPr>
              <w:spacing w:after="0"/>
              <w:rPr>
                <w:sz w:val="14"/>
                <w:szCs w:val="14"/>
                <w:color w:val="auto"/>
              </w:rPr>
            </w:pPr>
          </w:p>
        </w:tc>
        <w:tc>
          <w:tcPr>
            <w:tcW w:w="760" w:type="dxa"/>
            <w:vAlign w:val="bottom"/>
            <w:gridSpan w:val="2"/>
          </w:tcPr>
          <w:p>
            <w:pPr>
              <w:ind w:left="180"/>
              <w:spacing w:after="0" w:line="162" w:lineRule="exact"/>
              <w:rPr>
                <w:sz w:val="20"/>
                <w:szCs w:val="20"/>
                <w:color w:val="auto"/>
              </w:rPr>
            </w:pPr>
            <w:r>
              <w:rPr>
                <w:rFonts w:ascii="Arial" w:cs="Arial" w:eastAsia="Arial" w:hAnsi="Arial"/>
                <w:sz w:val="15"/>
                <w:szCs w:val="15"/>
                <w:color w:val="auto"/>
              </w:rPr>
              <w:t>US</w:t>
            </w:r>
          </w:p>
        </w:tc>
        <w:tc>
          <w:tcPr>
            <w:tcW w:w="120" w:type="dxa"/>
            <w:vAlign w:val="bottom"/>
          </w:tcPr>
          <w:p>
            <w:pPr>
              <w:spacing w:after="0"/>
              <w:rPr>
                <w:sz w:val="14"/>
                <w:szCs w:val="14"/>
                <w:color w:val="auto"/>
              </w:rPr>
            </w:pPr>
          </w:p>
        </w:tc>
        <w:tc>
          <w:tcPr>
            <w:tcW w:w="880" w:type="dxa"/>
            <w:vAlign w:val="bottom"/>
            <w:gridSpan w:val="2"/>
          </w:tcPr>
          <w:p>
            <w:pPr>
              <w:jc w:val="center"/>
              <w:ind w:right="220"/>
              <w:spacing w:after="0" w:line="162" w:lineRule="exact"/>
              <w:rPr>
                <w:sz w:val="20"/>
                <w:szCs w:val="20"/>
                <w:color w:val="auto"/>
              </w:rPr>
            </w:pPr>
            <w:r>
              <w:rPr>
                <w:rFonts w:ascii="Arial" w:cs="Arial" w:eastAsia="Arial" w:hAnsi="Arial"/>
                <w:sz w:val="15"/>
                <w:szCs w:val="15"/>
                <w:color w:val="auto"/>
                <w:w w:val="91"/>
              </w:rPr>
              <w:t>Guarantor</w:t>
            </w:r>
          </w:p>
        </w:tc>
        <w:tc>
          <w:tcPr>
            <w:tcW w:w="1360" w:type="dxa"/>
            <w:vAlign w:val="bottom"/>
            <w:gridSpan w:val="3"/>
          </w:tcPr>
          <w:p>
            <w:pPr>
              <w:ind w:left="100"/>
              <w:spacing w:after="0" w:line="162" w:lineRule="exact"/>
              <w:rPr>
                <w:sz w:val="20"/>
                <w:szCs w:val="20"/>
                <w:color w:val="auto"/>
              </w:rPr>
            </w:pPr>
            <w:r>
              <w:rPr>
                <w:rFonts w:ascii="Arial" w:cs="Arial" w:eastAsia="Arial" w:hAnsi="Arial"/>
                <w:sz w:val="15"/>
                <w:szCs w:val="15"/>
                <w:color w:val="auto"/>
              </w:rPr>
              <w:t>Eliminations and</w:t>
            </w:r>
          </w:p>
        </w:tc>
        <w:tc>
          <w:tcPr>
            <w:tcW w:w="120" w:type="dxa"/>
            <w:vAlign w:val="bottom"/>
          </w:tcPr>
          <w:p>
            <w:pPr>
              <w:spacing w:after="0"/>
              <w:rPr>
                <w:sz w:val="14"/>
                <w:szCs w:val="14"/>
                <w:color w:val="auto"/>
              </w:rPr>
            </w:pPr>
          </w:p>
        </w:tc>
        <w:tc>
          <w:tcPr>
            <w:tcW w:w="840" w:type="dxa"/>
            <w:vAlign w:val="bottom"/>
          </w:tcPr>
          <w:p>
            <w:pPr>
              <w:jc w:val="center"/>
              <w:ind w:right="60"/>
              <w:spacing w:after="0" w:line="162" w:lineRule="exact"/>
              <w:rPr>
                <w:sz w:val="20"/>
                <w:szCs w:val="20"/>
                <w:color w:val="auto"/>
              </w:rPr>
            </w:pPr>
            <w:r>
              <w:rPr>
                <w:rFonts w:ascii="Arial" w:cs="Arial" w:eastAsia="Arial" w:hAnsi="Arial"/>
                <w:sz w:val="15"/>
                <w:szCs w:val="15"/>
                <w:color w:val="auto"/>
                <w:w w:val="94"/>
              </w:rPr>
              <w:t>Group Inc.</w:t>
            </w:r>
          </w:p>
        </w:tc>
      </w:tr>
      <w:tr>
        <w:trPr>
          <w:trHeight w:val="198"/>
        </w:trPr>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5"/>
                <w:szCs w:val="15"/>
                <w:color w:val="auto"/>
                <w:w w:val="95"/>
              </w:rPr>
              <w:t>Airways</w:t>
            </w:r>
          </w:p>
        </w:tc>
        <w:tc>
          <w:tcPr>
            <w:tcW w:w="120" w:type="dxa"/>
            <w:vAlign w:val="bottom"/>
          </w:tcPr>
          <w:p>
            <w:pPr>
              <w:spacing w:after="0"/>
              <w:rPr>
                <w:sz w:val="17"/>
                <w:szCs w:val="17"/>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color w:val="auto"/>
                <w:w w:val="90"/>
              </w:rPr>
              <w:t>Subsidiaries</w:t>
            </w:r>
          </w:p>
        </w:tc>
        <w:tc>
          <w:tcPr>
            <w:tcW w:w="100" w:type="dxa"/>
            <w:vAlign w:val="bottom"/>
          </w:tcPr>
          <w:p>
            <w:pPr>
              <w:spacing w:after="0"/>
              <w:rPr>
                <w:sz w:val="17"/>
                <w:szCs w:val="17"/>
                <w:color w:val="auto"/>
              </w:rPr>
            </w:pPr>
          </w:p>
        </w:tc>
        <w:tc>
          <w:tcPr>
            <w:tcW w:w="126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color w:val="auto"/>
              </w:rPr>
              <w:t>Reclassifications</w:t>
            </w:r>
          </w:p>
        </w:tc>
        <w:tc>
          <w:tcPr>
            <w:tcW w:w="100" w:type="dxa"/>
            <w:vAlign w:val="bottom"/>
          </w:tcPr>
          <w:p>
            <w:pPr>
              <w:spacing w:after="0"/>
              <w:rPr>
                <w:sz w:val="17"/>
                <w:szCs w:val="17"/>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color w:val="auto"/>
                <w:w w:val="91"/>
              </w:rPr>
              <w:t>Consolidated</w:t>
            </w:r>
          </w:p>
        </w:tc>
      </w:tr>
      <w:tr>
        <w:trPr>
          <w:trHeight w:val="410"/>
        </w:trPr>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931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4"/>
                <w:szCs w:val="24"/>
                <w:color w:val="auto"/>
              </w:rPr>
            </w:pPr>
          </w:p>
        </w:tc>
        <w:tc>
          <w:tcPr>
            <w:tcW w:w="50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2,637</w:t>
            </w:r>
          </w:p>
        </w:tc>
      </w:tr>
      <w:tr>
        <w:trPr>
          <w:trHeight w:val="918"/>
        </w:trPr>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(626)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(2,678)</w:t>
            </w:r>
          </w:p>
        </w:tc>
      </w:tr>
      <w:tr>
        <w:trPr>
          <w:trHeight w:val="459"/>
        </w:trPr>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(478)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(138)</w:t>
            </w:r>
          </w:p>
        </w:tc>
      </w:tr>
      <w:tr>
        <w:trPr>
          <w:trHeight w:val="662"/>
        </w:trPr>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459"/>
        </w:trPr>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307</w:t>
            </w:r>
          </w:p>
        </w:tc>
      </w:tr>
      <w:tr>
        <w:trPr>
          <w:trHeight w:val="459"/>
        </w:trPr>
        <w:tc>
          <w:tcPr>
            <w:tcW w:w="10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59"/>
        </w:trPr>
        <w:tc>
          <w:tcPr>
            <w:tcW w:w="10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33"/>
        </w:trPr>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406"/>
        </w:trPr>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(995)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(2,347)</w:t>
            </w:r>
          </w:p>
        </w:tc>
      </w:tr>
      <w:tr>
        <w:trPr>
          <w:trHeight w:val="918"/>
        </w:trPr>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(1,145)</w:t>
            </w:r>
          </w:p>
        </w:tc>
      </w:tr>
      <w:tr>
        <w:trPr>
          <w:trHeight w:val="459"/>
        </w:trPr>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481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534</w:t>
            </w:r>
          </w:p>
        </w:tc>
      </w:tr>
      <w:tr>
        <w:trPr>
          <w:trHeight w:val="270"/>
        </w:trPr>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70"/>
        </w:trPr>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459"/>
        </w:trPr>
        <w:tc>
          <w:tcPr>
            <w:tcW w:w="10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411</w:t>
            </w:r>
          </w:p>
        </w:tc>
      </w:tr>
      <w:tr>
        <w:trPr>
          <w:trHeight w:val="459"/>
        </w:trPr>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459"/>
        </w:trPr>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406"/>
        </w:trPr>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33"/>
        </w:trPr>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406"/>
        </w:trPr>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70"/>
        </w:trPr>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1,140</w:t>
            </w:r>
          </w:p>
        </w:tc>
      </w:tr>
      <w:tr>
        <w:trPr>
          <w:trHeight w:val="33"/>
        </w:trPr>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50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1,210</w:t>
            </w:r>
          </w:p>
        </w:tc>
      </w:tr>
      <w:tr>
        <w:trPr>
          <w:trHeight w:val="33"/>
        </w:trPr>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800" w:space="120"/>
            <w:col w:w="5299"/>
          </w:cols>
          <w:pgMar w:left="240" w:top="125" w:right="1440" w:bottom="1440" w:gutter="0" w:footer="0" w:header="0"/>
          <w:type w:val="continuous"/>
        </w:sectPr>
      </w:pPr>
    </w:p>
    <w:p>
      <w:pPr>
        <w:spacing w:after="0" w:line="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0219"/>
          </w:cols>
          <w:pgMar w:left="240" w:top="125" w:right="1440"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Capital Deployment Program</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July 23, 2014, the Company’s Board of Directors authorized a $1.0 billion share repurchase program to be completed no later than December 31, 2015. Shares repurchased under the program may be made through a variety of methods, which may include open market purchases, privately negotiated transactions, block trades or accelerated share repurchase transactions. Any such repurchases will be made from time to time subject to market and economic conditions, applicable legal requirements and other relevant factors. Additionally on June 23, 2014, the Board of Directors declared a $0.10 per share dividend for stockholders of record on August 4, 2014, and payable on August 18, 2014.</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program described above does not obligate the Company to repurchase any specific number of shares or continue a dividend for any fixed period, and may be suspended at any time at management’s discretion.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Redemption of 7.50% Senior Secured Notes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July 23, 2014, the Company gave irrevocable notice calling for the redemption of the $900 million principal amount of 7.50% senior secured notes due March 31, 2016 that remain outstanding at a redemption price of 103.75% of the principal amount plus accrued and unpaid interest. These notes will be required to be redeemed on August 22, 2014.</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Pension Prefunding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July 23, 2014, the Company's Board of Directors approved plans to make supplemental contributions of up to $600 million to its defined benefit plans in 2014. These contributions would be above and beyond the $120 million minimum required contributions for 2014.</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2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8"/>
          <w:szCs w:val="18"/>
          <w:b w:val="1"/>
          <w:bCs w:val="1"/>
          <w:color w:val="auto"/>
        </w:rPr>
        <w:t>AMERICAN AIRLINES, INC. CONDENSED CONSOLIDATED FINANCIAL</w:t>
      </w:r>
    </w:p>
    <w:p>
      <w:pPr>
        <w:spacing w:after="0" w:line="27"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3200" w:type="dxa"/>
            <w:vAlign w:val="bottom"/>
            <w:gridSpan w:val="6"/>
          </w:tcPr>
          <w:p>
            <w:pPr>
              <w:ind w:left="480"/>
              <w:spacing w:after="0"/>
              <w:rPr>
                <w:sz w:val="20"/>
                <w:szCs w:val="20"/>
                <w:color w:val="auto"/>
              </w:rPr>
            </w:pPr>
            <w:r>
              <w:rPr>
                <w:rFonts w:ascii="Arial" w:cs="Arial" w:eastAsia="Arial" w:hAnsi="Arial"/>
                <w:sz w:val="18"/>
                <w:szCs w:val="18"/>
                <w:color w:val="auto"/>
              </w:rPr>
              <w:t>Three Months Ended June 30,</w:t>
            </w:r>
          </w:p>
        </w:tc>
        <w:tc>
          <w:tcPr>
            <w:tcW w:w="340" w:type="dxa"/>
            <w:vAlign w:val="bottom"/>
          </w:tcPr>
          <w:p>
            <w:pPr>
              <w:spacing w:after="0"/>
              <w:rPr>
                <w:sz w:val="20"/>
                <w:szCs w:val="20"/>
                <w:color w:val="auto"/>
              </w:rPr>
            </w:pPr>
          </w:p>
        </w:tc>
        <w:tc>
          <w:tcPr>
            <w:tcW w:w="2720" w:type="dxa"/>
            <w:vAlign w:val="bottom"/>
            <w:gridSpan w:val="4"/>
          </w:tcPr>
          <w:p>
            <w:pPr>
              <w:jc w:val="right"/>
              <w:ind w:right="430"/>
              <w:spacing w:after="0"/>
              <w:rPr>
                <w:sz w:val="20"/>
                <w:szCs w:val="20"/>
                <w:color w:val="auto"/>
              </w:rPr>
            </w:pPr>
            <w:r>
              <w:rPr>
                <w:rFonts w:ascii="Arial" w:cs="Arial" w:eastAsia="Arial" w:hAnsi="Arial"/>
                <w:sz w:val="18"/>
                <w:szCs w:val="18"/>
                <w:color w:val="auto"/>
                <w:w w:val="99"/>
              </w:rPr>
              <w:t>Six Months Ended June 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2014</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Mainline passenger</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5,352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4,888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10,258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9,502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Regional passenger</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Cargo</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8"/>
                <w:szCs w:val="18"/>
                <w:color w:val="auto"/>
              </w:rPr>
              <w:t>Total operating revenues</w:t>
            </w: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7,153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6,437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13,622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12,522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Aircraft fuel and related taxes</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1,897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Salaries, wages and benefits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1,441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Regional expenses</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Maintenance, materials and repairs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Other rent and landing fees</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Aircraft rent</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Selling expenses</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Special items, net</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6,435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5,936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12,326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11,955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expense, net of capitalized interest</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7"/>
        </w:trPr>
        <w:tc>
          <w:tcPr>
            <w:tcW w:w="5160" w:type="dxa"/>
            <w:vAlign w:val="bottom"/>
          </w:tcPr>
          <w:p>
            <w:pPr>
              <w:ind w:left="500"/>
              <w:spacing w:after="0"/>
              <w:rPr>
                <w:sz w:val="20"/>
                <w:szCs w:val="20"/>
                <w:color w:val="auto"/>
              </w:rPr>
            </w:pPr>
            <w:r>
              <w:rPr>
                <w:rFonts w:ascii="Arial" w:cs="Arial" w:eastAsia="Arial" w:hAnsi="Arial"/>
                <w:sz w:val="18"/>
                <w:szCs w:val="18"/>
                <w:color w:val="auto"/>
              </w:rPr>
              <w:t>Total nonoperating expense, net</w:t>
            </w: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reorganization items, net</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Reorganization items, net</w:t>
            </w:r>
          </w:p>
        </w:tc>
        <w:tc>
          <w:tcPr>
            <w:tcW w:w="960" w:type="dxa"/>
            <w:vAlign w:val="bottom"/>
          </w:tcPr>
          <w:p>
            <w:pPr>
              <w:spacing w:after="0"/>
              <w:rPr>
                <w:sz w:val="21"/>
                <w:szCs w:val="2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Income tax provision (benefit)</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87"/>
              </w:rPr>
              <w:t>See accompanying notes to condensed consolidated financial statements.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960" w:type="dxa"/>
            <w:vAlign w:val="bottom"/>
            <w:vMerge w:val="restart"/>
          </w:tcPr>
          <w:p>
            <w:pPr>
              <w:jc w:val="right"/>
              <w:ind w:right="230"/>
              <w:spacing w:after="0"/>
              <w:rPr>
                <w:sz w:val="20"/>
                <w:szCs w:val="20"/>
                <w:color w:val="auto"/>
              </w:rPr>
            </w:pPr>
            <w:r>
              <w:rPr>
                <w:rFonts w:ascii="Arial" w:cs="Arial" w:eastAsia="Arial" w:hAnsi="Arial"/>
                <w:sz w:val="18"/>
                <w:szCs w:val="18"/>
                <w:color w:val="auto"/>
              </w:rPr>
              <w:t>35</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516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AMERICAN AIRLINES, INC.</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440" w:type="dxa"/>
            <w:vAlign w:val="bottom"/>
            <w:gridSpan w:val="6"/>
          </w:tcPr>
          <w:p>
            <w:pPr>
              <w:spacing w:after="0"/>
              <w:rPr>
                <w:sz w:val="20"/>
                <w:szCs w:val="20"/>
                <w:color w:val="auto"/>
              </w:rPr>
            </w:pPr>
            <w:r>
              <w:rPr>
                <w:rFonts w:ascii="Arial" w:cs="Arial" w:eastAsia="Arial" w:hAnsi="Arial"/>
                <w:sz w:val="18"/>
                <w:szCs w:val="18"/>
                <w:b w:val="1"/>
                <w:bCs w:val="1"/>
                <w:color w:val="auto"/>
              </w:rPr>
              <w:t>CONDENSED CONSOLIDATED STATEMENTS OF COMPREHENSIVE INCOME (LOSS)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(In millions)(Unaudited)</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00" w:type="dxa"/>
            <w:vAlign w:val="bottom"/>
            <w:gridSpan w:val="5"/>
          </w:tcPr>
          <w:p>
            <w:pPr>
              <w:ind w:left="100"/>
              <w:spacing w:after="0"/>
              <w:rPr>
                <w:sz w:val="20"/>
                <w:szCs w:val="20"/>
                <w:color w:val="auto"/>
              </w:rPr>
            </w:pPr>
            <w:r>
              <w:rPr>
                <w:rFonts w:ascii="Arial" w:cs="Arial" w:eastAsia="Arial" w:hAnsi="Arial"/>
                <w:sz w:val="18"/>
                <w:szCs w:val="18"/>
                <w:color w:val="auto"/>
              </w:rPr>
              <w:t>Three Months Ended June 30,</w:t>
            </w:r>
          </w:p>
        </w:tc>
        <w:tc>
          <w:tcPr>
            <w:tcW w:w="280" w:type="dxa"/>
            <w:vAlign w:val="bottom"/>
          </w:tcPr>
          <w:p>
            <w:pPr>
              <w:spacing w:after="0"/>
              <w:rPr>
                <w:sz w:val="24"/>
                <w:szCs w:val="24"/>
                <w:color w:val="auto"/>
              </w:rPr>
            </w:pPr>
          </w:p>
        </w:tc>
        <w:tc>
          <w:tcPr>
            <w:tcW w:w="2560" w:type="dxa"/>
            <w:vAlign w:val="bottom"/>
            <w:gridSpan w:val="4"/>
          </w:tcPr>
          <w:p>
            <w:pPr>
              <w:jc w:val="right"/>
              <w:ind w:right="330"/>
              <w:spacing w:after="0"/>
              <w:rPr>
                <w:sz w:val="20"/>
                <w:szCs w:val="20"/>
                <w:color w:val="auto"/>
              </w:rPr>
            </w:pPr>
            <w:r>
              <w:rPr>
                <w:rFonts w:ascii="Arial" w:cs="Arial" w:eastAsia="Arial" w:hAnsi="Arial"/>
                <w:sz w:val="18"/>
                <w:szCs w:val="18"/>
                <w:color w:val="auto"/>
                <w:w w:val="96"/>
              </w:rPr>
              <w:t>Six Months Ended June 30,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comprehensive loss before tax:</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Defined benefit pension plans and retiree medical</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5620" w:type="dxa"/>
            <w:vAlign w:val="bottom"/>
            <w:gridSpan w:val="2"/>
          </w:tcPr>
          <w:p>
            <w:pPr>
              <w:ind w:left="280"/>
              <w:spacing w:after="0"/>
              <w:rPr>
                <w:sz w:val="20"/>
                <w:szCs w:val="20"/>
                <w:color w:val="auto"/>
              </w:rPr>
            </w:pPr>
            <w:r>
              <w:rPr>
                <w:rFonts w:ascii="Arial" w:cs="Arial" w:eastAsia="Arial" w:hAnsi="Arial"/>
                <w:sz w:val="18"/>
                <w:szCs w:val="18"/>
                <w:color w:val="auto"/>
              </w:rPr>
              <w:t>Derivative financial instruments: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Change in fair value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5620" w:type="dxa"/>
            <w:vAlign w:val="bottom"/>
            <w:gridSpan w:val="2"/>
          </w:tcPr>
          <w:p>
            <w:pPr>
              <w:ind w:left="500"/>
              <w:spacing w:after="0"/>
              <w:rPr>
                <w:sz w:val="20"/>
                <w:szCs w:val="20"/>
                <w:color w:val="auto"/>
              </w:rPr>
            </w:pPr>
            <w:r>
              <w:rPr>
                <w:rFonts w:ascii="Arial" w:cs="Arial" w:eastAsia="Arial" w:hAnsi="Arial"/>
                <w:sz w:val="18"/>
                <w:szCs w:val="18"/>
                <w:color w:val="auto"/>
              </w:rPr>
              <w:t>Reclassification into earnings</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unrealized gain (loss) on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500"/>
              <w:spacing w:after="0"/>
              <w:rPr>
                <w:sz w:val="20"/>
                <w:szCs w:val="20"/>
                <w:color w:val="auto"/>
              </w:rPr>
            </w:pPr>
            <w:r>
              <w:rPr>
                <w:rFonts w:ascii="Arial" w:cs="Arial" w:eastAsia="Arial" w:hAnsi="Arial"/>
                <w:sz w:val="18"/>
                <w:szCs w:val="18"/>
                <w:color w:val="auto"/>
              </w:rPr>
              <w:t>Net change in value</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 before tax</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5620" w:type="dxa"/>
            <w:vAlign w:val="bottom"/>
            <w:gridSpan w:val="2"/>
          </w:tcPr>
          <w:p>
            <w:pPr>
              <w:ind w:left="260"/>
              <w:spacing w:after="0"/>
              <w:rPr>
                <w:sz w:val="20"/>
                <w:szCs w:val="20"/>
                <w:color w:val="auto"/>
              </w:rPr>
            </w:pPr>
            <w:r>
              <w:rPr>
                <w:rFonts w:ascii="Arial" w:cs="Arial" w:eastAsia="Arial" w:hAnsi="Arial"/>
                <w:sz w:val="18"/>
                <w:szCs w:val="18"/>
                <w:color w:val="auto"/>
              </w:rPr>
              <w:t>Reversal of non-cash tax provision</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w w:val="94"/>
              </w:rPr>
              <w:t>See accompanying notes to condensed consolidated financial statements.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gridSpan w:val="2"/>
            <w:vMerge w:val="continue"/>
          </w:tcPr>
          <w:p>
            <w:pPr>
              <w:spacing w:after="0"/>
              <w:rPr>
                <w:sz w:val="17"/>
                <w:szCs w:val="17"/>
                <w:color w:val="auto"/>
              </w:rPr>
            </w:pPr>
          </w:p>
        </w:tc>
        <w:tc>
          <w:tcPr>
            <w:tcW w:w="260" w:type="dxa"/>
            <w:vAlign w:val="bottom"/>
            <w:vMerge w:val="restart"/>
          </w:tcPr>
          <w:p>
            <w:pPr>
              <w:spacing w:after="0"/>
              <w:rPr>
                <w:sz w:val="20"/>
                <w:szCs w:val="20"/>
                <w:color w:val="auto"/>
              </w:rPr>
            </w:pPr>
            <w:r>
              <w:rPr>
                <w:rFonts w:ascii="Arial" w:cs="Arial" w:eastAsia="Arial" w:hAnsi="Arial"/>
                <w:sz w:val="18"/>
                <w:szCs w:val="18"/>
                <w:color w:val="auto"/>
              </w:rPr>
              <w:t>36</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12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shares and per share amounts)(Unaudited)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2"/>
          </w:tcPr>
          <w:p>
            <w:pPr>
              <w:ind w:left="180"/>
              <w:spacing w:after="0"/>
              <w:rPr>
                <w:sz w:val="20"/>
                <w:szCs w:val="20"/>
                <w:color w:val="auto"/>
              </w:rPr>
            </w:pPr>
            <w:r>
              <w:rPr>
                <w:rFonts w:ascii="Arial" w:cs="Arial" w:eastAsia="Arial" w:hAnsi="Arial"/>
                <w:sz w:val="15"/>
                <w:szCs w:val="15"/>
                <w:color w:val="auto"/>
              </w:rPr>
              <w:t>June 30, 2014</w:t>
            </w:r>
          </w:p>
        </w:tc>
        <w:tc>
          <w:tcPr>
            <w:tcW w:w="160" w:type="dxa"/>
            <w:vAlign w:val="bottom"/>
          </w:tcPr>
          <w:p>
            <w:pPr>
              <w:spacing w:after="0"/>
              <w:rPr>
                <w:sz w:val="17"/>
                <w:szCs w:val="17"/>
                <w:color w:val="auto"/>
              </w:rPr>
            </w:pPr>
          </w:p>
        </w:tc>
        <w:tc>
          <w:tcPr>
            <w:tcW w:w="1520" w:type="dxa"/>
            <w:vAlign w:val="bottom"/>
          </w:tcPr>
          <w:p>
            <w:pPr>
              <w:jc w:val="right"/>
              <w:ind w:right="163"/>
              <w:spacing w:after="0"/>
              <w:rPr>
                <w:sz w:val="20"/>
                <w:szCs w:val="20"/>
                <w:color w:val="auto"/>
              </w:rPr>
            </w:pPr>
            <w:r>
              <w:rPr>
                <w:rFonts w:ascii="Arial" w:cs="Arial" w:eastAsia="Arial" w:hAnsi="Arial"/>
                <w:sz w:val="15"/>
                <w:szCs w:val="15"/>
                <w:color w:val="auto"/>
                <w:w w:val="95"/>
              </w:rPr>
              <w:t>December 31, 2013</w:t>
            </w:r>
          </w:p>
        </w:tc>
        <w:tc>
          <w:tcPr>
            <w:tcW w:w="0" w:type="dxa"/>
            <w:vAlign w:val="bottom"/>
          </w:tcPr>
          <w:p>
            <w:pPr>
              <w:spacing w:after="0"/>
              <w:rPr>
                <w:sz w:val="1"/>
                <w:szCs w:val="1"/>
                <w:color w:val="auto"/>
              </w:rPr>
            </w:pPr>
          </w:p>
        </w:tc>
      </w:tr>
      <w:tr>
        <w:trPr>
          <w:trHeight w:val="195"/>
        </w:trPr>
        <w:tc>
          <w:tcPr>
            <w:tcW w:w="7900" w:type="dxa"/>
            <w:vAlign w:val="bottom"/>
          </w:tcPr>
          <w:p>
            <w:pPr>
              <w:ind w:left="40"/>
              <w:spacing w:after="0"/>
              <w:rPr>
                <w:sz w:val="20"/>
                <w:szCs w:val="20"/>
                <w:color w:val="auto"/>
              </w:rPr>
            </w:pPr>
            <w:r>
              <w:rPr>
                <w:rFonts w:ascii="Arial" w:cs="Arial" w:eastAsia="Arial" w:hAnsi="Arial"/>
                <w:sz w:val="15"/>
                <w:szCs w:val="15"/>
                <w:b w:val="1"/>
                <w:bCs w:val="1"/>
                <w:color w:val="auto"/>
              </w:rPr>
              <w:t>ASSETS</w:t>
            </w:r>
          </w:p>
        </w:tc>
        <w:tc>
          <w:tcPr>
            <w:tcW w:w="2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79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790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Current assets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280"/>
              <w:spacing w:after="0"/>
              <w:rPr>
                <w:sz w:val="20"/>
                <w:szCs w:val="20"/>
                <w:color w:val="auto"/>
              </w:rPr>
            </w:pPr>
            <w:r>
              <w:rPr>
                <w:rFonts w:ascii="Arial" w:cs="Arial" w:eastAsia="Arial" w:hAnsi="Arial"/>
                <w:sz w:val="15"/>
                <w:szCs w:val="15"/>
                <w:color w:val="auto"/>
              </w:rPr>
              <w:t>Cash</w:t>
            </w:r>
          </w:p>
        </w:tc>
        <w:tc>
          <w:tcPr>
            <w:tcW w:w="260" w:type="dxa"/>
            <w:vAlign w:val="bottom"/>
            <w:vMerge w:val="restart"/>
          </w:tcPr>
          <w:p>
            <w:pPr>
              <w:jc w:val="right"/>
              <w:ind w:right="83"/>
              <w:spacing w:after="0"/>
              <w:rPr>
                <w:sz w:val="20"/>
                <w:szCs w:val="20"/>
                <w:color w:val="auto"/>
              </w:rPr>
            </w:pPr>
            <w:r>
              <w:rPr>
                <w:rFonts w:ascii="Arial" w:cs="Arial" w:eastAsia="Arial" w:hAnsi="Arial"/>
                <w:sz w:val="15"/>
                <w:szCs w:val="15"/>
                <w:color w:val="auto"/>
                <w:w w:val="95"/>
              </w:rPr>
              <w:t>$</w:t>
            </w:r>
          </w:p>
        </w:tc>
        <w:tc>
          <w:tcPr>
            <w:tcW w:w="1460" w:type="dxa"/>
            <w:vAlign w:val="bottom"/>
            <w:vMerge w:val="restart"/>
          </w:tcPr>
          <w:p>
            <w:pPr>
              <w:jc w:val="right"/>
              <w:ind w:right="43"/>
              <w:spacing w:after="0"/>
              <w:rPr>
                <w:sz w:val="20"/>
                <w:szCs w:val="20"/>
                <w:color w:val="auto"/>
              </w:rPr>
            </w:pPr>
            <w:r>
              <w:rPr>
                <w:rFonts w:ascii="Arial" w:cs="Arial" w:eastAsia="Arial" w:hAnsi="Arial"/>
                <w:sz w:val="15"/>
                <w:szCs w:val="15"/>
                <w:color w:val="auto"/>
              </w:rPr>
              <w:t>981</w:t>
            </w:r>
          </w:p>
        </w:tc>
        <w:tc>
          <w:tcPr>
            <w:tcW w:w="12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829</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Short-term investments</w:t>
            </w:r>
          </w:p>
        </w:tc>
        <w:tc>
          <w:tcPr>
            <w:tcW w:w="26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4,822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5,162</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280"/>
              <w:spacing w:after="0"/>
              <w:rPr>
                <w:sz w:val="20"/>
                <w:szCs w:val="20"/>
                <w:color w:val="auto"/>
              </w:rPr>
            </w:pPr>
            <w:r>
              <w:rPr>
                <w:rFonts w:ascii="Arial" w:cs="Arial" w:eastAsia="Arial" w:hAnsi="Arial"/>
                <w:sz w:val="15"/>
                <w:szCs w:val="15"/>
                <w:color w:val="auto"/>
              </w:rPr>
              <w:t>Restricted cash and short-term investments</w:t>
            </w:r>
          </w:p>
        </w:tc>
        <w:tc>
          <w:tcPr>
            <w:tcW w:w="260" w:type="dxa"/>
            <w:vAlign w:val="bottom"/>
          </w:tcPr>
          <w:p>
            <w:pPr>
              <w:spacing w:after="0"/>
              <w:rPr>
                <w:sz w:val="18"/>
                <w:szCs w:val="18"/>
                <w:color w:val="auto"/>
              </w:rPr>
            </w:pPr>
          </w:p>
        </w:tc>
        <w:tc>
          <w:tcPr>
            <w:tcW w:w="1460" w:type="dxa"/>
            <w:vAlign w:val="bottom"/>
            <w:vMerge w:val="restart"/>
          </w:tcPr>
          <w:p>
            <w:pPr>
              <w:jc w:val="right"/>
              <w:ind w:right="43"/>
              <w:spacing w:after="0"/>
              <w:rPr>
                <w:sz w:val="20"/>
                <w:szCs w:val="20"/>
                <w:color w:val="auto"/>
              </w:rPr>
            </w:pPr>
            <w:r>
              <w:rPr>
                <w:rFonts w:ascii="Arial" w:cs="Arial" w:eastAsia="Arial" w:hAnsi="Arial"/>
                <w:sz w:val="15"/>
                <w:szCs w:val="15"/>
                <w:color w:val="auto"/>
              </w:rPr>
              <w:t>650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702</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Accounts receivable, net</w:t>
            </w:r>
          </w:p>
        </w:tc>
        <w:tc>
          <w:tcPr>
            <w:tcW w:w="26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1,502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1,186</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280"/>
              <w:spacing w:after="0"/>
              <w:rPr>
                <w:sz w:val="20"/>
                <w:szCs w:val="20"/>
                <w:color w:val="auto"/>
              </w:rPr>
            </w:pPr>
            <w:r>
              <w:rPr>
                <w:rFonts w:ascii="Arial" w:cs="Arial" w:eastAsia="Arial" w:hAnsi="Arial"/>
                <w:sz w:val="15"/>
                <w:szCs w:val="15"/>
                <w:color w:val="auto"/>
              </w:rPr>
              <w:t>Aircraft fuel, spare parts and supplies, net</w:t>
            </w:r>
          </w:p>
        </w:tc>
        <w:tc>
          <w:tcPr>
            <w:tcW w:w="260" w:type="dxa"/>
            <w:vAlign w:val="bottom"/>
          </w:tcPr>
          <w:p>
            <w:pPr>
              <w:spacing w:after="0"/>
              <w:rPr>
                <w:sz w:val="18"/>
                <w:szCs w:val="18"/>
                <w:color w:val="auto"/>
              </w:rPr>
            </w:pPr>
          </w:p>
        </w:tc>
        <w:tc>
          <w:tcPr>
            <w:tcW w:w="1460" w:type="dxa"/>
            <w:vAlign w:val="bottom"/>
            <w:vMerge w:val="restart"/>
          </w:tcPr>
          <w:p>
            <w:pPr>
              <w:jc w:val="right"/>
              <w:ind w:right="43"/>
              <w:spacing w:after="0"/>
              <w:rPr>
                <w:sz w:val="20"/>
                <w:szCs w:val="20"/>
                <w:color w:val="auto"/>
              </w:rPr>
            </w:pPr>
            <w:r>
              <w:rPr>
                <w:rFonts w:ascii="Arial" w:cs="Arial" w:eastAsia="Arial" w:hAnsi="Arial"/>
                <w:sz w:val="15"/>
                <w:szCs w:val="15"/>
                <w:color w:val="auto"/>
              </w:rPr>
              <w:t>633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620</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Receivable from affiliates</w:t>
            </w:r>
          </w:p>
        </w:tc>
        <w:tc>
          <w:tcPr>
            <w:tcW w:w="26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280"/>
              <w:spacing w:after="0"/>
              <w:rPr>
                <w:sz w:val="20"/>
                <w:szCs w:val="20"/>
                <w:color w:val="auto"/>
              </w:rPr>
            </w:pPr>
            <w:r>
              <w:rPr>
                <w:rFonts w:ascii="Arial" w:cs="Arial" w:eastAsia="Arial" w:hAnsi="Arial"/>
                <w:sz w:val="15"/>
                <w:szCs w:val="15"/>
                <w:color w:val="auto"/>
              </w:rPr>
              <w:t>Prepaid expenses and other</w:t>
            </w:r>
          </w:p>
        </w:tc>
        <w:tc>
          <w:tcPr>
            <w:tcW w:w="260" w:type="dxa"/>
            <w:vAlign w:val="bottom"/>
          </w:tcPr>
          <w:p>
            <w:pPr>
              <w:spacing w:after="0"/>
              <w:rPr>
                <w:sz w:val="18"/>
                <w:szCs w:val="18"/>
                <w:color w:val="auto"/>
              </w:rPr>
            </w:pPr>
          </w:p>
        </w:tc>
        <w:tc>
          <w:tcPr>
            <w:tcW w:w="1460" w:type="dxa"/>
            <w:vAlign w:val="bottom"/>
            <w:vMerge w:val="restart"/>
          </w:tcPr>
          <w:p>
            <w:pPr>
              <w:jc w:val="right"/>
              <w:ind w:right="43"/>
              <w:spacing w:after="0"/>
              <w:rPr>
                <w:sz w:val="20"/>
                <w:szCs w:val="20"/>
                <w:color w:val="auto"/>
              </w:rPr>
            </w:pPr>
            <w:r>
              <w:rPr>
                <w:rFonts w:ascii="Arial" w:cs="Arial" w:eastAsia="Arial" w:hAnsi="Arial"/>
                <w:sz w:val="15"/>
                <w:szCs w:val="15"/>
                <w:color w:val="auto"/>
              </w:rPr>
              <w:t>581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702</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500"/>
              <w:spacing w:after="0"/>
              <w:rPr>
                <w:sz w:val="20"/>
                <w:szCs w:val="20"/>
                <w:color w:val="auto"/>
              </w:rPr>
            </w:pPr>
            <w:r>
              <w:rPr>
                <w:rFonts w:ascii="Arial" w:cs="Arial" w:eastAsia="Arial" w:hAnsi="Arial"/>
                <w:sz w:val="15"/>
                <w:szCs w:val="15"/>
                <w:color w:val="auto"/>
              </w:rPr>
              <w:t>Total current assets</w:t>
            </w:r>
          </w:p>
        </w:tc>
        <w:tc>
          <w:tcPr>
            <w:tcW w:w="26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9,285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9,201</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40"/>
              <w:spacing w:after="0"/>
              <w:rPr>
                <w:sz w:val="20"/>
                <w:szCs w:val="20"/>
                <w:color w:val="auto"/>
              </w:rPr>
            </w:pPr>
            <w:r>
              <w:rPr>
                <w:rFonts w:ascii="Arial" w:cs="Arial" w:eastAsia="Arial" w:hAnsi="Arial"/>
                <w:sz w:val="15"/>
                <w:szCs w:val="15"/>
                <w:b w:val="1"/>
                <w:bCs w:val="1"/>
                <w:color w:val="auto"/>
              </w:rPr>
              <w:t>Operating property and equipment</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Flight equipment</w:t>
            </w:r>
          </w:p>
        </w:tc>
        <w:tc>
          <w:tcPr>
            <w:tcW w:w="26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20,076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18,534</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280"/>
              <w:spacing w:after="0"/>
              <w:rPr>
                <w:sz w:val="20"/>
                <w:szCs w:val="20"/>
                <w:color w:val="auto"/>
              </w:rPr>
            </w:pPr>
            <w:r>
              <w:rPr>
                <w:rFonts w:ascii="Arial" w:cs="Arial" w:eastAsia="Arial" w:hAnsi="Arial"/>
                <w:sz w:val="15"/>
                <w:szCs w:val="15"/>
                <w:color w:val="auto"/>
              </w:rPr>
              <w:t>Ground property and equipment</w:t>
            </w:r>
          </w:p>
        </w:tc>
        <w:tc>
          <w:tcPr>
            <w:tcW w:w="260" w:type="dxa"/>
            <w:vAlign w:val="bottom"/>
          </w:tcPr>
          <w:p>
            <w:pPr>
              <w:spacing w:after="0"/>
              <w:rPr>
                <w:sz w:val="18"/>
                <w:szCs w:val="18"/>
                <w:color w:val="auto"/>
              </w:rPr>
            </w:pPr>
          </w:p>
        </w:tc>
        <w:tc>
          <w:tcPr>
            <w:tcW w:w="1460" w:type="dxa"/>
            <w:vAlign w:val="bottom"/>
            <w:vMerge w:val="restart"/>
          </w:tcPr>
          <w:p>
            <w:pPr>
              <w:jc w:val="right"/>
              <w:ind w:right="43"/>
              <w:spacing w:after="0"/>
              <w:rPr>
                <w:sz w:val="20"/>
                <w:szCs w:val="20"/>
                <w:color w:val="auto"/>
              </w:rPr>
            </w:pPr>
            <w:r>
              <w:rPr>
                <w:rFonts w:ascii="Arial" w:cs="Arial" w:eastAsia="Arial" w:hAnsi="Arial"/>
                <w:sz w:val="15"/>
                <w:szCs w:val="15"/>
                <w:color w:val="auto"/>
              </w:rPr>
              <w:t>5,090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5,002</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Equipment purchase deposits</w:t>
            </w:r>
          </w:p>
        </w:tc>
        <w:tc>
          <w:tcPr>
            <w:tcW w:w="26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861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847</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14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900" w:type="dxa"/>
            <w:vAlign w:val="bottom"/>
          </w:tcPr>
          <w:p>
            <w:pPr>
              <w:ind w:left="280"/>
              <w:spacing w:after="0"/>
              <w:rPr>
                <w:sz w:val="20"/>
                <w:szCs w:val="20"/>
                <w:color w:val="auto"/>
              </w:rPr>
            </w:pPr>
            <w:r>
              <w:rPr>
                <w:rFonts w:ascii="Arial" w:cs="Arial" w:eastAsia="Arial" w:hAnsi="Arial"/>
                <w:sz w:val="15"/>
                <w:szCs w:val="15"/>
                <w:color w:val="auto"/>
              </w:rPr>
              <w:t>Total property and equipment, at cost</w:t>
            </w:r>
          </w:p>
        </w:tc>
        <w:tc>
          <w:tcPr>
            <w:tcW w:w="260" w:type="dxa"/>
            <w:vAlign w:val="bottom"/>
          </w:tcPr>
          <w:p>
            <w:pPr>
              <w:spacing w:after="0"/>
              <w:rPr>
                <w:sz w:val="16"/>
                <w:szCs w:val="16"/>
                <w:color w:val="auto"/>
              </w:rPr>
            </w:pPr>
          </w:p>
        </w:tc>
        <w:tc>
          <w:tcPr>
            <w:tcW w:w="1460" w:type="dxa"/>
            <w:vAlign w:val="bottom"/>
            <w:vMerge w:val="restart"/>
          </w:tcPr>
          <w:p>
            <w:pPr>
              <w:jc w:val="right"/>
              <w:ind w:right="43"/>
              <w:spacing w:after="0"/>
              <w:rPr>
                <w:sz w:val="20"/>
                <w:szCs w:val="20"/>
                <w:color w:val="auto"/>
              </w:rPr>
            </w:pPr>
            <w:r>
              <w:rPr>
                <w:rFonts w:ascii="Arial" w:cs="Arial" w:eastAsia="Arial" w:hAnsi="Arial"/>
                <w:sz w:val="15"/>
                <w:szCs w:val="15"/>
                <w:color w:val="auto"/>
              </w:rPr>
              <w:t>26,027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24,383</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Less accumulated depreciation and amortization</w:t>
            </w:r>
          </w:p>
        </w:tc>
        <w:tc>
          <w:tcPr>
            <w:tcW w:w="26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(11,238)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(10,914)</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14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900" w:type="dxa"/>
            <w:vAlign w:val="bottom"/>
          </w:tcPr>
          <w:p>
            <w:pPr>
              <w:ind w:left="500"/>
              <w:spacing w:after="0"/>
              <w:rPr>
                <w:sz w:val="20"/>
                <w:szCs w:val="20"/>
                <w:color w:val="auto"/>
              </w:rPr>
            </w:pPr>
            <w:r>
              <w:rPr>
                <w:rFonts w:ascii="Arial" w:cs="Arial" w:eastAsia="Arial" w:hAnsi="Arial"/>
                <w:sz w:val="15"/>
                <w:szCs w:val="15"/>
                <w:color w:val="auto"/>
              </w:rPr>
              <w:t>Total property and equipment, net</w:t>
            </w:r>
          </w:p>
        </w:tc>
        <w:tc>
          <w:tcPr>
            <w:tcW w:w="260" w:type="dxa"/>
            <w:vAlign w:val="bottom"/>
          </w:tcPr>
          <w:p>
            <w:pPr>
              <w:spacing w:after="0"/>
              <w:rPr>
                <w:sz w:val="16"/>
                <w:szCs w:val="16"/>
                <w:color w:val="auto"/>
              </w:rPr>
            </w:pPr>
          </w:p>
        </w:tc>
        <w:tc>
          <w:tcPr>
            <w:tcW w:w="1460" w:type="dxa"/>
            <w:vAlign w:val="bottom"/>
            <w:vMerge w:val="restart"/>
          </w:tcPr>
          <w:p>
            <w:pPr>
              <w:jc w:val="right"/>
              <w:ind w:right="43"/>
              <w:spacing w:after="0"/>
              <w:rPr>
                <w:sz w:val="20"/>
                <w:szCs w:val="20"/>
                <w:color w:val="auto"/>
              </w:rPr>
            </w:pPr>
            <w:r>
              <w:rPr>
                <w:rFonts w:ascii="Arial" w:cs="Arial" w:eastAsia="Arial" w:hAnsi="Arial"/>
                <w:sz w:val="15"/>
                <w:szCs w:val="15"/>
                <w:color w:val="auto"/>
              </w:rPr>
              <w:t>14,789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13,469</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Other assets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280"/>
              <w:spacing w:after="0"/>
              <w:rPr>
                <w:sz w:val="20"/>
                <w:szCs w:val="20"/>
                <w:color w:val="auto"/>
              </w:rPr>
            </w:pPr>
            <w:r>
              <w:rPr>
                <w:rFonts w:ascii="Arial" w:cs="Arial" w:eastAsia="Arial" w:hAnsi="Arial"/>
                <w:sz w:val="15"/>
                <w:szCs w:val="15"/>
                <w:color w:val="auto"/>
              </w:rPr>
              <w:t>Intangibles, net of accumulated amortization of $381 and $375, respectively</w:t>
            </w:r>
          </w:p>
        </w:tc>
        <w:tc>
          <w:tcPr>
            <w:tcW w:w="260" w:type="dxa"/>
            <w:vAlign w:val="bottom"/>
          </w:tcPr>
          <w:p>
            <w:pPr>
              <w:spacing w:after="0"/>
              <w:rPr>
                <w:sz w:val="18"/>
                <w:szCs w:val="18"/>
                <w:color w:val="auto"/>
              </w:rPr>
            </w:pPr>
          </w:p>
        </w:tc>
        <w:tc>
          <w:tcPr>
            <w:tcW w:w="1460" w:type="dxa"/>
            <w:vAlign w:val="bottom"/>
            <w:vMerge w:val="restart"/>
          </w:tcPr>
          <w:p>
            <w:pPr>
              <w:jc w:val="right"/>
              <w:ind w:right="43"/>
              <w:spacing w:after="0"/>
              <w:rPr>
                <w:sz w:val="20"/>
                <w:szCs w:val="20"/>
                <w:color w:val="auto"/>
              </w:rPr>
            </w:pPr>
            <w:r>
              <w:rPr>
                <w:rFonts w:ascii="Arial" w:cs="Arial" w:eastAsia="Arial" w:hAnsi="Arial"/>
                <w:sz w:val="15"/>
                <w:szCs w:val="15"/>
                <w:color w:val="auto"/>
              </w:rPr>
              <w:t>872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812</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Other assets</w:t>
            </w:r>
          </w:p>
        </w:tc>
        <w:tc>
          <w:tcPr>
            <w:tcW w:w="26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2,002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2,130</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14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900" w:type="dxa"/>
            <w:vAlign w:val="bottom"/>
          </w:tcPr>
          <w:p>
            <w:pPr>
              <w:ind w:left="500"/>
              <w:spacing w:after="0"/>
              <w:rPr>
                <w:sz w:val="20"/>
                <w:szCs w:val="20"/>
                <w:color w:val="auto"/>
              </w:rPr>
            </w:pPr>
            <w:r>
              <w:rPr>
                <w:rFonts w:ascii="Arial" w:cs="Arial" w:eastAsia="Arial" w:hAnsi="Arial"/>
                <w:sz w:val="15"/>
                <w:szCs w:val="15"/>
                <w:color w:val="auto"/>
              </w:rPr>
              <w:t>Total other assets</w:t>
            </w:r>
          </w:p>
        </w:tc>
        <w:tc>
          <w:tcPr>
            <w:tcW w:w="260" w:type="dxa"/>
            <w:vAlign w:val="bottom"/>
          </w:tcPr>
          <w:p>
            <w:pPr>
              <w:spacing w:after="0"/>
              <w:rPr>
                <w:sz w:val="16"/>
                <w:szCs w:val="16"/>
                <w:color w:val="auto"/>
              </w:rPr>
            </w:pPr>
          </w:p>
        </w:tc>
        <w:tc>
          <w:tcPr>
            <w:tcW w:w="1460" w:type="dxa"/>
            <w:vAlign w:val="bottom"/>
            <w:vMerge w:val="restart"/>
          </w:tcPr>
          <w:p>
            <w:pPr>
              <w:jc w:val="right"/>
              <w:ind w:right="43"/>
              <w:spacing w:after="0"/>
              <w:rPr>
                <w:sz w:val="20"/>
                <w:szCs w:val="20"/>
                <w:color w:val="auto"/>
              </w:rPr>
            </w:pPr>
            <w:r>
              <w:rPr>
                <w:rFonts w:ascii="Arial" w:cs="Arial" w:eastAsia="Arial" w:hAnsi="Arial"/>
                <w:sz w:val="15"/>
                <w:szCs w:val="15"/>
                <w:color w:val="auto"/>
              </w:rPr>
              <w:t>2,874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2,942</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5"/>
                <w:szCs w:val="15"/>
                <w:b w:val="1"/>
                <w:bCs w:val="1"/>
                <w:color w:val="auto"/>
              </w:rPr>
              <w:t>Total assets</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26,948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25,612</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LIABILITIES AND STOCKHOLDER'S DEFICIT</w:t>
            </w: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7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790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Current liabilities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280"/>
              <w:spacing w:after="0"/>
              <w:rPr>
                <w:sz w:val="20"/>
                <w:szCs w:val="20"/>
                <w:color w:val="auto"/>
              </w:rPr>
            </w:pPr>
            <w:r>
              <w:rPr>
                <w:rFonts w:ascii="Arial" w:cs="Arial" w:eastAsia="Arial" w:hAnsi="Arial"/>
                <w:sz w:val="15"/>
                <w:szCs w:val="15"/>
                <w:color w:val="auto"/>
              </w:rPr>
              <w:t>Current maturities of long-term debt and capital leases</w:t>
            </w:r>
          </w:p>
        </w:tc>
        <w:tc>
          <w:tcPr>
            <w:tcW w:w="260" w:type="dxa"/>
            <w:vAlign w:val="bottom"/>
            <w:vMerge w:val="restart"/>
          </w:tcPr>
          <w:p>
            <w:pPr>
              <w:jc w:val="right"/>
              <w:ind w:right="83"/>
              <w:spacing w:after="0"/>
              <w:rPr>
                <w:sz w:val="20"/>
                <w:szCs w:val="20"/>
                <w:color w:val="auto"/>
              </w:rPr>
            </w:pPr>
            <w:r>
              <w:rPr>
                <w:rFonts w:ascii="Arial" w:cs="Arial" w:eastAsia="Arial" w:hAnsi="Arial"/>
                <w:sz w:val="15"/>
                <w:szCs w:val="15"/>
                <w:color w:val="auto"/>
                <w:w w:val="95"/>
              </w:rPr>
              <w:t>$</w:t>
            </w:r>
          </w:p>
        </w:tc>
        <w:tc>
          <w:tcPr>
            <w:tcW w:w="1460" w:type="dxa"/>
            <w:vAlign w:val="bottom"/>
            <w:vMerge w:val="restart"/>
          </w:tcPr>
          <w:p>
            <w:pPr>
              <w:jc w:val="right"/>
              <w:ind w:right="43"/>
              <w:spacing w:after="0"/>
              <w:rPr>
                <w:sz w:val="20"/>
                <w:szCs w:val="20"/>
                <w:color w:val="auto"/>
              </w:rPr>
            </w:pPr>
            <w:r>
              <w:rPr>
                <w:rFonts w:ascii="Arial" w:cs="Arial" w:eastAsia="Arial" w:hAnsi="Arial"/>
                <w:sz w:val="15"/>
                <w:szCs w:val="15"/>
                <w:color w:val="auto"/>
              </w:rPr>
              <w:t>1,003</w:t>
            </w:r>
          </w:p>
        </w:tc>
        <w:tc>
          <w:tcPr>
            <w:tcW w:w="12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957</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Accounts payable</w:t>
            </w:r>
          </w:p>
        </w:tc>
        <w:tc>
          <w:tcPr>
            <w:tcW w:w="26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1,258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1,013</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280"/>
              <w:spacing w:after="0"/>
              <w:rPr>
                <w:sz w:val="20"/>
                <w:szCs w:val="20"/>
                <w:color w:val="auto"/>
              </w:rPr>
            </w:pPr>
            <w:r>
              <w:rPr>
                <w:rFonts w:ascii="Arial" w:cs="Arial" w:eastAsia="Arial" w:hAnsi="Arial"/>
                <w:sz w:val="15"/>
                <w:szCs w:val="15"/>
                <w:color w:val="auto"/>
              </w:rPr>
              <w:t>Accrued salaries and wages</w:t>
            </w:r>
          </w:p>
        </w:tc>
        <w:tc>
          <w:tcPr>
            <w:tcW w:w="260" w:type="dxa"/>
            <w:vAlign w:val="bottom"/>
          </w:tcPr>
          <w:p>
            <w:pPr>
              <w:spacing w:after="0"/>
              <w:rPr>
                <w:sz w:val="18"/>
                <w:szCs w:val="18"/>
                <w:color w:val="auto"/>
              </w:rPr>
            </w:pPr>
          </w:p>
        </w:tc>
        <w:tc>
          <w:tcPr>
            <w:tcW w:w="1460" w:type="dxa"/>
            <w:vAlign w:val="bottom"/>
            <w:vMerge w:val="restart"/>
          </w:tcPr>
          <w:p>
            <w:pPr>
              <w:jc w:val="right"/>
              <w:ind w:right="43"/>
              <w:spacing w:after="0"/>
              <w:rPr>
                <w:sz w:val="20"/>
                <w:szCs w:val="20"/>
                <w:color w:val="auto"/>
              </w:rPr>
            </w:pPr>
            <w:r>
              <w:rPr>
                <w:rFonts w:ascii="Arial" w:cs="Arial" w:eastAsia="Arial" w:hAnsi="Arial"/>
                <w:sz w:val="15"/>
                <w:szCs w:val="15"/>
                <w:color w:val="auto"/>
              </w:rPr>
              <w:t>560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659</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Air traffic liability</w:t>
            </w:r>
          </w:p>
        </w:tc>
        <w:tc>
          <w:tcPr>
            <w:tcW w:w="26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3,902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3,145</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280"/>
              <w:spacing w:after="0"/>
              <w:rPr>
                <w:sz w:val="20"/>
                <w:szCs w:val="20"/>
                <w:color w:val="auto"/>
              </w:rPr>
            </w:pPr>
            <w:r>
              <w:rPr>
                <w:rFonts w:ascii="Arial" w:cs="Arial" w:eastAsia="Arial" w:hAnsi="Arial"/>
                <w:sz w:val="15"/>
                <w:szCs w:val="15"/>
                <w:color w:val="auto"/>
              </w:rPr>
              <w:t>Frequent flyer liability</w:t>
            </w:r>
          </w:p>
        </w:tc>
        <w:tc>
          <w:tcPr>
            <w:tcW w:w="260" w:type="dxa"/>
            <w:vAlign w:val="bottom"/>
          </w:tcPr>
          <w:p>
            <w:pPr>
              <w:spacing w:after="0"/>
              <w:rPr>
                <w:sz w:val="18"/>
                <w:szCs w:val="18"/>
                <w:color w:val="auto"/>
              </w:rPr>
            </w:pPr>
          </w:p>
        </w:tc>
        <w:tc>
          <w:tcPr>
            <w:tcW w:w="1460" w:type="dxa"/>
            <w:vAlign w:val="bottom"/>
            <w:vMerge w:val="restart"/>
          </w:tcPr>
          <w:p>
            <w:pPr>
              <w:jc w:val="right"/>
              <w:ind w:right="43"/>
              <w:spacing w:after="0"/>
              <w:rPr>
                <w:sz w:val="20"/>
                <w:szCs w:val="20"/>
                <w:color w:val="auto"/>
              </w:rPr>
            </w:pPr>
            <w:r>
              <w:rPr>
                <w:rFonts w:ascii="Arial" w:cs="Arial" w:eastAsia="Arial" w:hAnsi="Arial"/>
                <w:sz w:val="15"/>
                <w:szCs w:val="15"/>
                <w:color w:val="auto"/>
              </w:rPr>
              <w:t>1,741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1,760</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Payable to affiliates</w:t>
            </w:r>
          </w:p>
        </w:tc>
        <w:tc>
          <w:tcPr>
            <w:tcW w:w="26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2,643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2,807</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280"/>
              <w:spacing w:after="0"/>
              <w:rPr>
                <w:sz w:val="20"/>
                <w:szCs w:val="20"/>
                <w:color w:val="auto"/>
              </w:rPr>
            </w:pPr>
            <w:r>
              <w:rPr>
                <w:rFonts w:ascii="Arial" w:cs="Arial" w:eastAsia="Arial" w:hAnsi="Arial"/>
                <w:sz w:val="15"/>
                <w:szCs w:val="15"/>
                <w:color w:val="auto"/>
              </w:rPr>
              <w:t>Other accrued liabilities</w:t>
            </w:r>
          </w:p>
        </w:tc>
        <w:tc>
          <w:tcPr>
            <w:tcW w:w="260" w:type="dxa"/>
            <w:vAlign w:val="bottom"/>
          </w:tcPr>
          <w:p>
            <w:pPr>
              <w:spacing w:after="0"/>
              <w:rPr>
                <w:sz w:val="18"/>
                <w:szCs w:val="18"/>
                <w:color w:val="auto"/>
              </w:rPr>
            </w:pPr>
          </w:p>
        </w:tc>
        <w:tc>
          <w:tcPr>
            <w:tcW w:w="1460" w:type="dxa"/>
            <w:vAlign w:val="bottom"/>
            <w:vMerge w:val="restart"/>
          </w:tcPr>
          <w:p>
            <w:pPr>
              <w:jc w:val="right"/>
              <w:ind w:right="43"/>
              <w:spacing w:after="0"/>
              <w:rPr>
                <w:sz w:val="20"/>
                <w:szCs w:val="20"/>
                <w:color w:val="auto"/>
              </w:rPr>
            </w:pPr>
            <w:r>
              <w:rPr>
                <w:rFonts w:ascii="Arial" w:cs="Arial" w:eastAsia="Arial" w:hAnsi="Arial"/>
                <w:sz w:val="15"/>
                <w:szCs w:val="15"/>
                <w:color w:val="auto"/>
              </w:rPr>
              <w:t>1,506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1,578</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500"/>
              <w:spacing w:after="0"/>
              <w:rPr>
                <w:sz w:val="20"/>
                <w:szCs w:val="20"/>
                <w:color w:val="auto"/>
              </w:rPr>
            </w:pPr>
            <w:r>
              <w:rPr>
                <w:rFonts w:ascii="Arial" w:cs="Arial" w:eastAsia="Arial" w:hAnsi="Arial"/>
                <w:sz w:val="15"/>
                <w:szCs w:val="15"/>
                <w:color w:val="auto"/>
              </w:rPr>
              <w:t>Total current liabilities</w:t>
            </w:r>
          </w:p>
        </w:tc>
        <w:tc>
          <w:tcPr>
            <w:tcW w:w="26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12,613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11,919</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40"/>
              <w:spacing w:after="0"/>
              <w:rPr>
                <w:sz w:val="20"/>
                <w:szCs w:val="20"/>
                <w:color w:val="auto"/>
              </w:rPr>
            </w:pPr>
            <w:r>
              <w:rPr>
                <w:rFonts w:ascii="Arial" w:cs="Arial" w:eastAsia="Arial" w:hAnsi="Arial"/>
                <w:sz w:val="15"/>
                <w:szCs w:val="15"/>
                <w:b w:val="1"/>
                <w:bCs w:val="1"/>
                <w:color w:val="auto"/>
              </w:rPr>
              <w:t>Noncurrent liabilities</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Long-term debt and capital leases, net of current maturities</w:t>
            </w:r>
          </w:p>
        </w:tc>
        <w:tc>
          <w:tcPr>
            <w:tcW w:w="26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9,585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9,852</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280"/>
              <w:spacing w:after="0"/>
              <w:rPr>
                <w:sz w:val="20"/>
                <w:szCs w:val="20"/>
                <w:color w:val="auto"/>
              </w:rPr>
            </w:pPr>
            <w:r>
              <w:rPr>
                <w:rFonts w:ascii="Arial" w:cs="Arial" w:eastAsia="Arial" w:hAnsi="Arial"/>
                <w:sz w:val="15"/>
                <w:szCs w:val="15"/>
                <w:color w:val="auto"/>
              </w:rPr>
              <w:t>Pension and postretirement benefits</w:t>
            </w:r>
          </w:p>
        </w:tc>
        <w:tc>
          <w:tcPr>
            <w:tcW w:w="260" w:type="dxa"/>
            <w:vAlign w:val="bottom"/>
          </w:tcPr>
          <w:p>
            <w:pPr>
              <w:spacing w:after="0"/>
              <w:rPr>
                <w:sz w:val="18"/>
                <w:szCs w:val="18"/>
                <w:color w:val="auto"/>
              </w:rPr>
            </w:pPr>
          </w:p>
        </w:tc>
        <w:tc>
          <w:tcPr>
            <w:tcW w:w="1460" w:type="dxa"/>
            <w:vAlign w:val="bottom"/>
            <w:vMerge w:val="restart"/>
          </w:tcPr>
          <w:p>
            <w:pPr>
              <w:jc w:val="right"/>
              <w:ind w:right="43"/>
              <w:spacing w:after="0"/>
              <w:rPr>
                <w:sz w:val="20"/>
                <w:szCs w:val="20"/>
                <w:color w:val="auto"/>
              </w:rPr>
            </w:pPr>
            <w:r>
              <w:rPr>
                <w:rFonts w:ascii="Arial" w:cs="Arial" w:eastAsia="Arial" w:hAnsi="Arial"/>
                <w:sz w:val="15"/>
                <w:szCs w:val="15"/>
                <w:color w:val="auto"/>
              </w:rPr>
              <w:t>5,568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5,693</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Deferred gains and credits, net</w:t>
            </w:r>
          </w:p>
        </w:tc>
        <w:tc>
          <w:tcPr>
            <w:tcW w:w="26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278</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280"/>
              <w:spacing w:after="0"/>
              <w:rPr>
                <w:sz w:val="20"/>
                <w:szCs w:val="20"/>
                <w:color w:val="auto"/>
              </w:rPr>
            </w:pPr>
            <w:r>
              <w:rPr>
                <w:rFonts w:ascii="Arial" w:cs="Arial" w:eastAsia="Arial" w:hAnsi="Arial"/>
                <w:sz w:val="15"/>
                <w:szCs w:val="15"/>
                <w:color w:val="auto"/>
              </w:rPr>
              <w:t>Bankruptcy settlement obligations</w:t>
            </w:r>
          </w:p>
        </w:tc>
        <w:tc>
          <w:tcPr>
            <w:tcW w:w="260" w:type="dxa"/>
            <w:vAlign w:val="bottom"/>
          </w:tcPr>
          <w:p>
            <w:pPr>
              <w:spacing w:after="0"/>
              <w:rPr>
                <w:sz w:val="18"/>
                <w:szCs w:val="18"/>
                <w:color w:val="auto"/>
              </w:rPr>
            </w:pPr>
          </w:p>
        </w:tc>
        <w:tc>
          <w:tcPr>
            <w:tcW w:w="1460" w:type="dxa"/>
            <w:vAlign w:val="bottom"/>
            <w:vMerge w:val="restart"/>
          </w:tcPr>
          <w:p>
            <w:pPr>
              <w:jc w:val="right"/>
              <w:ind w:right="43"/>
              <w:spacing w:after="0"/>
              <w:rPr>
                <w:sz w:val="20"/>
                <w:szCs w:val="20"/>
                <w:color w:val="auto"/>
              </w:rPr>
            </w:pPr>
            <w:r>
              <w:rPr>
                <w:rFonts w:ascii="Arial" w:cs="Arial" w:eastAsia="Arial" w:hAnsi="Arial"/>
                <w:sz w:val="15"/>
                <w:szCs w:val="15"/>
                <w:color w:val="auto"/>
              </w:rPr>
              <w:t>415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5,424</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Other liabilities</w:t>
            </w:r>
          </w:p>
        </w:tc>
        <w:tc>
          <w:tcPr>
            <w:tcW w:w="26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2,259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2,106</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14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900" w:type="dxa"/>
            <w:vAlign w:val="bottom"/>
          </w:tcPr>
          <w:p>
            <w:pPr>
              <w:ind w:left="500"/>
              <w:spacing w:after="0"/>
              <w:rPr>
                <w:sz w:val="20"/>
                <w:szCs w:val="20"/>
                <w:color w:val="auto"/>
              </w:rPr>
            </w:pPr>
            <w:r>
              <w:rPr>
                <w:rFonts w:ascii="Arial" w:cs="Arial" w:eastAsia="Arial" w:hAnsi="Arial"/>
                <w:sz w:val="15"/>
                <w:szCs w:val="15"/>
                <w:color w:val="auto"/>
              </w:rPr>
              <w:t>Total noncurrent liabilities</w:t>
            </w:r>
          </w:p>
        </w:tc>
        <w:tc>
          <w:tcPr>
            <w:tcW w:w="260" w:type="dxa"/>
            <w:vAlign w:val="bottom"/>
          </w:tcPr>
          <w:p>
            <w:pPr>
              <w:spacing w:after="0"/>
              <w:rPr>
                <w:sz w:val="16"/>
                <w:szCs w:val="16"/>
                <w:color w:val="auto"/>
              </w:rPr>
            </w:pPr>
          </w:p>
        </w:tc>
        <w:tc>
          <w:tcPr>
            <w:tcW w:w="1460" w:type="dxa"/>
            <w:vAlign w:val="bottom"/>
            <w:vMerge w:val="restart"/>
          </w:tcPr>
          <w:p>
            <w:pPr>
              <w:jc w:val="right"/>
              <w:ind w:right="43"/>
              <w:spacing w:after="0"/>
              <w:rPr>
                <w:sz w:val="20"/>
                <w:szCs w:val="20"/>
                <w:color w:val="auto"/>
              </w:rPr>
            </w:pPr>
            <w:r>
              <w:rPr>
                <w:rFonts w:ascii="Arial" w:cs="Arial" w:eastAsia="Arial" w:hAnsi="Arial"/>
                <w:sz w:val="15"/>
                <w:szCs w:val="15"/>
                <w:color w:val="auto"/>
              </w:rPr>
              <w:t>18,100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23,353</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500"/>
              <w:spacing w:after="0"/>
              <w:rPr>
                <w:sz w:val="20"/>
                <w:szCs w:val="20"/>
                <w:color w:val="auto"/>
              </w:rPr>
            </w:pPr>
            <w:r>
              <w:rPr>
                <w:rFonts w:ascii="Arial" w:cs="Arial" w:eastAsia="Arial" w:hAnsi="Arial"/>
                <w:sz w:val="15"/>
                <w:szCs w:val="15"/>
                <w:color w:val="auto"/>
              </w:rPr>
              <w:t>Commitments and contingencies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40"/>
              <w:spacing w:after="0"/>
              <w:rPr>
                <w:sz w:val="20"/>
                <w:szCs w:val="20"/>
                <w:color w:val="auto"/>
              </w:rPr>
            </w:pPr>
            <w:r>
              <w:rPr>
                <w:rFonts w:ascii="Arial" w:cs="Arial" w:eastAsia="Arial" w:hAnsi="Arial"/>
                <w:sz w:val="15"/>
                <w:szCs w:val="15"/>
                <w:b w:val="1"/>
                <w:bCs w:val="1"/>
                <w:color w:val="auto"/>
              </w:rPr>
              <w:t>Stockholder's deficit</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Common stock - $1 par value; 1,000 shares authorized, issued and outstanding</w:t>
            </w:r>
          </w:p>
        </w:tc>
        <w:tc>
          <w:tcPr>
            <w:tcW w:w="260" w:type="dxa"/>
            <w:vAlign w:val="bottom"/>
            <w:shd w:val="clear" w:color="auto" w:fill="CCEEFF"/>
          </w:tcPr>
          <w:p>
            <w:pPr>
              <w:spacing w:after="0"/>
              <w:rPr>
                <w:sz w:val="18"/>
                <w:szCs w:val="18"/>
                <w:color w:val="auto"/>
              </w:rPr>
            </w:pPr>
          </w:p>
        </w:tc>
        <w:tc>
          <w:tcPr>
            <w:tcW w:w="15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180"/>
              <w:spacing w:after="0"/>
              <w:rPr>
                <w:sz w:val="20"/>
                <w:szCs w:val="20"/>
                <w:color w:val="auto"/>
              </w:rPr>
            </w:pPr>
            <w:r>
              <w:rPr>
                <w:rFonts w:ascii="Arial" w:cs="Arial" w:eastAsia="Arial" w:hAnsi="Arial"/>
                <w:sz w:val="15"/>
                <w:szCs w:val="15"/>
                <w:color w:val="auto"/>
              </w:rPr>
              <w:t>Additional paid-in capital</w:t>
            </w:r>
          </w:p>
        </w:tc>
        <w:tc>
          <w:tcPr>
            <w:tcW w:w="260" w:type="dxa"/>
            <w:vAlign w:val="bottom"/>
          </w:tcPr>
          <w:p>
            <w:pPr>
              <w:spacing w:after="0"/>
              <w:rPr>
                <w:sz w:val="18"/>
                <w:szCs w:val="18"/>
                <w:color w:val="auto"/>
              </w:rPr>
            </w:pPr>
          </w:p>
        </w:tc>
        <w:tc>
          <w:tcPr>
            <w:tcW w:w="1460" w:type="dxa"/>
            <w:vAlign w:val="bottom"/>
            <w:vMerge w:val="restart"/>
          </w:tcPr>
          <w:p>
            <w:pPr>
              <w:jc w:val="right"/>
              <w:ind w:right="43"/>
              <w:spacing w:after="0"/>
              <w:rPr>
                <w:sz w:val="20"/>
                <w:szCs w:val="20"/>
                <w:color w:val="auto"/>
              </w:rPr>
            </w:pPr>
            <w:r>
              <w:rPr>
                <w:rFonts w:ascii="Arial" w:cs="Arial" w:eastAsia="Arial" w:hAnsi="Arial"/>
                <w:sz w:val="15"/>
                <w:szCs w:val="15"/>
                <w:color w:val="auto"/>
              </w:rPr>
              <w:t>10,404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restart"/>
          </w:tcPr>
          <w:p>
            <w:pPr>
              <w:jc w:val="right"/>
              <w:ind w:right="23"/>
              <w:spacing w:after="0"/>
              <w:rPr>
                <w:sz w:val="20"/>
                <w:szCs w:val="20"/>
                <w:color w:val="auto"/>
              </w:rPr>
            </w:pPr>
            <w:r>
              <w:rPr>
                <w:rFonts w:ascii="Arial" w:cs="Arial" w:eastAsia="Arial" w:hAnsi="Arial"/>
                <w:sz w:val="15"/>
                <w:szCs w:val="15"/>
                <w:color w:val="auto"/>
              </w:rPr>
              <w:t>5,361</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Accumulated other comprehensive loss</w:t>
            </w:r>
          </w:p>
        </w:tc>
        <w:tc>
          <w:tcPr>
            <w:tcW w:w="260" w:type="dxa"/>
            <w:vAlign w:val="bottom"/>
            <w:shd w:val="clear" w:color="auto" w:fill="CCEEFF"/>
          </w:tcPr>
          <w:p>
            <w:pPr>
              <w:spacing w:after="0"/>
              <w:rPr>
                <w:sz w:val="18"/>
                <w:szCs w:val="18"/>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(2,152)</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180"/>
              <w:spacing w:after="0"/>
              <w:rPr>
                <w:sz w:val="20"/>
                <w:szCs w:val="20"/>
                <w:color w:val="auto"/>
              </w:rPr>
            </w:pPr>
            <w:r>
              <w:rPr>
                <w:rFonts w:ascii="Arial" w:cs="Arial" w:eastAsia="Arial" w:hAnsi="Arial"/>
                <w:sz w:val="15"/>
                <w:szCs w:val="15"/>
                <w:color w:val="auto"/>
              </w:rPr>
              <w:t>Accumulated deficit</w:t>
            </w:r>
          </w:p>
        </w:tc>
        <w:tc>
          <w:tcPr>
            <w:tcW w:w="260" w:type="dxa"/>
            <w:vAlign w:val="bottom"/>
          </w:tcPr>
          <w:p>
            <w:pPr>
              <w:spacing w:after="0"/>
              <w:rPr>
                <w:sz w:val="18"/>
                <w:szCs w:val="18"/>
                <w:color w:val="auto"/>
              </w:rPr>
            </w:pPr>
          </w:p>
        </w:tc>
        <w:tc>
          <w:tcPr>
            <w:tcW w:w="1460" w:type="dxa"/>
            <w:vAlign w:val="bottom"/>
            <w:vMerge w:val="restart"/>
          </w:tcPr>
          <w:p>
            <w:pPr>
              <w:jc w:val="right"/>
              <w:spacing w:after="0"/>
              <w:rPr>
                <w:sz w:val="20"/>
                <w:szCs w:val="20"/>
                <w:color w:val="auto"/>
              </w:rPr>
            </w:pPr>
            <w:r>
              <w:rPr>
                <w:rFonts w:ascii="Arial" w:cs="Arial" w:eastAsia="Arial" w:hAnsi="Arial"/>
                <w:sz w:val="15"/>
                <w:szCs w:val="15"/>
                <w:color w:val="auto"/>
              </w:rPr>
              <w:t>(12,203)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restart"/>
          </w:tcPr>
          <w:p>
            <w:pPr>
              <w:jc w:val="right"/>
              <w:spacing w:after="0"/>
              <w:rPr>
                <w:sz w:val="20"/>
                <w:szCs w:val="20"/>
                <w:color w:val="auto"/>
              </w:rPr>
            </w:pPr>
            <w:r>
              <w:rPr>
                <w:rFonts w:ascii="Arial" w:cs="Arial" w:eastAsia="Arial" w:hAnsi="Arial"/>
                <w:sz w:val="15"/>
                <w:szCs w:val="15"/>
                <w:color w:val="auto"/>
              </w:rPr>
              <w:t>(12,869)</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500"/>
              <w:spacing w:after="0"/>
              <w:rPr>
                <w:sz w:val="20"/>
                <w:szCs w:val="20"/>
                <w:color w:val="auto"/>
              </w:rPr>
            </w:pPr>
            <w:r>
              <w:rPr>
                <w:rFonts w:ascii="Arial" w:cs="Arial" w:eastAsia="Arial" w:hAnsi="Arial"/>
                <w:sz w:val="15"/>
                <w:szCs w:val="15"/>
                <w:color w:val="auto"/>
              </w:rPr>
              <w:t>Total stockholder's deficit</w:t>
            </w:r>
          </w:p>
        </w:tc>
        <w:tc>
          <w:tcPr>
            <w:tcW w:w="26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(3,765)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(9,660)</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14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720"/>
              <w:spacing w:after="0"/>
              <w:rPr>
                <w:sz w:val="20"/>
                <w:szCs w:val="20"/>
                <w:color w:val="auto"/>
              </w:rPr>
            </w:pPr>
            <w:r>
              <w:rPr>
                <w:rFonts w:ascii="Arial" w:cs="Arial" w:eastAsia="Arial" w:hAnsi="Arial"/>
                <w:sz w:val="15"/>
                <w:szCs w:val="15"/>
                <w:b w:val="1"/>
                <w:bCs w:val="1"/>
                <w:color w:val="auto"/>
              </w:rPr>
              <w:t>Total liabilities and stockholder's deficit</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43"/>
              <w:spacing w:after="0"/>
              <w:rPr>
                <w:sz w:val="20"/>
                <w:szCs w:val="20"/>
                <w:color w:val="auto"/>
              </w:rPr>
            </w:pPr>
            <w:r>
              <w:rPr>
                <w:rFonts w:ascii="Arial" w:cs="Arial" w:eastAsia="Arial" w:hAnsi="Arial"/>
                <w:sz w:val="15"/>
                <w:szCs w:val="15"/>
                <w:color w:val="auto"/>
              </w:rPr>
              <w:t>26,948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20" w:type="dxa"/>
            <w:vAlign w:val="bottom"/>
          </w:tcPr>
          <w:p>
            <w:pPr>
              <w:jc w:val="right"/>
              <w:ind w:right="23"/>
              <w:spacing w:after="0"/>
              <w:rPr>
                <w:sz w:val="20"/>
                <w:szCs w:val="20"/>
                <w:color w:val="auto"/>
              </w:rPr>
            </w:pPr>
            <w:r>
              <w:rPr>
                <w:rFonts w:ascii="Arial" w:cs="Arial" w:eastAsia="Arial" w:hAnsi="Arial"/>
                <w:sz w:val="15"/>
                <w:szCs w:val="15"/>
                <w:color w:val="auto"/>
              </w:rPr>
              <w:t>25,612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5080</wp:posOffset>
            </wp:positionV>
            <wp:extent cx="22383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-130175</wp:posOffset>
            </wp:positionV>
            <wp:extent cx="22383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ind w:right="2020"/>
        <w:spacing w:after="0" w:line="261" w:lineRule="auto"/>
        <w:rPr>
          <w:sz w:val="20"/>
          <w:szCs w:val="20"/>
          <w:color w:val="auto"/>
        </w:rPr>
      </w:pPr>
      <w:r>
        <w:rPr>
          <w:rFonts w:ascii="Arial" w:cs="Arial" w:eastAsia="Arial" w:hAnsi="Arial"/>
          <w:sz w:val="18"/>
          <w:szCs w:val="18"/>
          <w:b w:val="1"/>
          <w:bCs w:val="1"/>
          <w:color w:val="auto"/>
        </w:rPr>
        <w:t xml:space="preserve">CONDENSED CONSOLIDATED STATEMENTS OF CASH FLOWS </w:t>
      </w:r>
      <w:r>
        <w:rPr>
          <w:rFonts w:ascii="Arial" w:cs="Arial" w:eastAsia="Arial" w:hAnsi="Arial"/>
          <w:sz w:val="18"/>
          <w:szCs w:val="18"/>
          <w:color w:val="auto"/>
        </w:rPr>
        <w:t>(In millions)(Unaudited)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Net cash provided by operating activities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40"/>
        <w:spacing w:after="0"/>
        <w:rPr>
          <w:sz w:val="20"/>
          <w:szCs w:val="20"/>
          <w:color w:val="auto"/>
        </w:rPr>
      </w:pPr>
      <w:r>
        <w:rPr>
          <w:rFonts w:ascii="Arial" w:cs="Arial" w:eastAsia="Arial" w:hAnsi="Arial"/>
          <w:sz w:val="16"/>
          <w:szCs w:val="16"/>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34925</wp:posOffset>
            </wp:positionV>
            <wp:extent cx="20923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80" w:lineRule="exact"/>
        <w:rPr>
          <w:sz w:val="20"/>
          <w:szCs w:val="20"/>
          <w:color w:val="auto"/>
        </w:rPr>
      </w:pPr>
    </w:p>
    <w:p>
      <w:pPr>
        <w:ind w:left="600"/>
        <w:spacing w:after="0"/>
        <w:tabs>
          <w:tab w:leader="none" w:pos="2280" w:val="left"/>
        </w:tabs>
        <w:rPr>
          <w:sz w:val="20"/>
          <w:szCs w:val="20"/>
          <w:color w:val="auto"/>
        </w:rPr>
      </w:pPr>
      <w:r>
        <w:rPr>
          <w:rFonts w:ascii="Arial" w:cs="Arial" w:eastAsia="Arial" w:hAnsi="Arial"/>
          <w:sz w:val="16"/>
          <w:szCs w:val="16"/>
          <w:color w:val="auto"/>
        </w:rPr>
        <w:t>2014</w:t>
      </w:r>
      <w:r>
        <w:rPr>
          <w:sz w:val="20"/>
          <w:szCs w:val="20"/>
          <w:color w:val="auto"/>
        </w:rPr>
        <w:tab/>
      </w:r>
      <w:r>
        <w:rPr>
          <w:rFonts w:ascii="Arial" w:cs="Arial" w:eastAsia="Arial" w:hAnsi="Arial"/>
          <w:sz w:val="16"/>
          <w:szCs w:val="16"/>
          <w:color w:val="auto"/>
        </w:rPr>
        <w:t>2013</w:t>
      </w:r>
    </w:p>
    <w:p>
      <w:pPr>
        <w:spacing w:after="0" w:line="86" w:lineRule="exact"/>
        <w:rPr>
          <w:sz w:val="20"/>
          <w:szCs w:val="20"/>
          <w:color w:val="auto"/>
        </w:rPr>
      </w:pPr>
    </w:p>
    <w:p>
      <w:pPr>
        <w:spacing w:after="0"/>
        <w:tabs>
          <w:tab w:leader="none" w:pos="1080" w:val="left"/>
          <w:tab w:leader="none" w:pos="1680" w:val="left"/>
          <w:tab w:leader="none" w:pos="27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1,683</w:t>
        <w:tab/>
        <w:t>$</w:t>
      </w:r>
      <w:r>
        <w:rPr>
          <w:sz w:val="20"/>
          <w:szCs w:val="20"/>
          <w:color w:val="auto"/>
        </w:rPr>
        <w:tab/>
      </w:r>
      <w:r>
        <w:rPr>
          <w:rFonts w:ascii="Arial" w:cs="Arial" w:eastAsia="Arial" w:hAnsi="Arial"/>
          <w:sz w:val="15"/>
          <w:szCs w:val="15"/>
          <w:color w:val="auto"/>
        </w:rPr>
        <w:t>1,855</w:t>
      </w:r>
    </w:p>
    <w:p>
      <w:pPr>
        <w:spacing w:after="0" w:line="325" w:lineRule="exact"/>
        <w:rPr>
          <w:sz w:val="20"/>
          <w:szCs w:val="20"/>
          <w:color w:val="auto"/>
        </w:rPr>
      </w:pPr>
    </w:p>
    <w:p>
      <w:pPr>
        <w:sectPr>
          <w:pgSz w:w="11900" w:h="16838" w:orient="portrait"/>
          <w:cols w:equalWidth="0" w:num="2">
            <w:col w:w="7440" w:space="720"/>
            <w:col w:w="3260"/>
          </w:cols>
          <w:pgMar w:left="240" w:top="125" w:right="239" w:bottom="1440" w:gutter="0" w:footer="0" w:header="0"/>
        </w:sectPr>
      </w:pPr>
    </w:p>
    <w:tbl>
      <w:tblPr>
        <w:tblLayout w:type="fixed"/>
        <w:tblInd w:w="0" w:type="dxa"/>
        <w:tblCellMar>
          <w:top w:w="0" w:type="dxa"/>
          <w:left w:w="0" w:type="dxa"/>
          <w:bottom w:w="0" w:type="dxa"/>
          <w:right w:w="0" w:type="dxa"/>
        </w:tblCellMar>
      </w:tblP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expenditures and aircraft purchase deposits</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(1,799)</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Decrease (increase) in short-term investments</w:t>
            </w:r>
          </w:p>
        </w:tc>
        <w:tc>
          <w:tcPr>
            <w:tcW w:w="6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(2,196)</w:t>
            </w:r>
          </w:p>
        </w:tc>
      </w:tr>
      <w:tr>
        <w:trPr>
          <w:trHeight w:val="33"/>
        </w:trPr>
        <w:tc>
          <w:tcPr>
            <w:tcW w:w="8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Decrease (increase) in restricted cash and short-term investments</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Net proceeds from slot transaction</w:t>
            </w:r>
          </w:p>
        </w:tc>
        <w:tc>
          <w:tcPr>
            <w:tcW w:w="6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Funds transferred to affiliates</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Proceeds from sale of property and equipment</w:t>
            </w:r>
          </w:p>
        </w:tc>
        <w:tc>
          <w:tcPr>
            <w:tcW w:w="6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w:t>
            </w:r>
          </w:p>
        </w:tc>
      </w:tr>
      <w:tr>
        <w:trPr>
          <w:trHeight w:val="33"/>
        </w:trPr>
        <w:tc>
          <w:tcPr>
            <w:tcW w:w="8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used in investing activities</w:t>
            </w:r>
          </w:p>
        </w:tc>
        <w:tc>
          <w:tcPr>
            <w:tcW w:w="6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(1,328)</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(3,986)</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7"/>
        </w:trPr>
        <w:tc>
          <w:tcPr>
            <w:tcW w:w="8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on long-term debt and capital leases</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Proceeds from issuance of long-term debt</w:t>
            </w:r>
          </w:p>
        </w:tc>
        <w:tc>
          <w:tcPr>
            <w:tcW w:w="6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1,684</w:t>
            </w:r>
          </w:p>
        </w:tc>
      </w:tr>
      <w:tr>
        <w:trPr>
          <w:trHeight w:val="33"/>
        </w:trPr>
        <w:tc>
          <w:tcPr>
            <w:tcW w:w="8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financing costs</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Sale-leaseback transactions</w:t>
            </w:r>
          </w:p>
        </w:tc>
        <w:tc>
          <w:tcPr>
            <w:tcW w:w="6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1,132</w:t>
            </w:r>
          </w:p>
        </w:tc>
      </w:tr>
      <w:tr>
        <w:trPr>
          <w:trHeight w:val="33"/>
        </w:trPr>
        <w:tc>
          <w:tcPr>
            <w:tcW w:w="8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Treasury stock repurchases</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Funds transferred to affiliates</w:t>
            </w:r>
          </w:p>
        </w:tc>
        <w:tc>
          <w:tcPr>
            <w:tcW w:w="6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8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financing activities</w:t>
            </w:r>
          </w:p>
        </w:tc>
        <w:tc>
          <w:tcPr>
            <w:tcW w:w="6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r>
      <w:tr>
        <w:trPr>
          <w:trHeight w:val="217"/>
        </w:trPr>
        <w:tc>
          <w:tcPr>
            <w:tcW w:w="8120" w:type="dxa"/>
            <w:vAlign w:val="bottom"/>
          </w:tcPr>
          <w:p>
            <w:pPr>
              <w:ind w:left="500"/>
              <w:spacing w:after="0"/>
              <w:rPr>
                <w:sz w:val="20"/>
                <w:szCs w:val="20"/>
                <w:color w:val="auto"/>
              </w:rPr>
            </w:pPr>
            <w:r>
              <w:rPr>
                <w:rFonts w:ascii="Arial" w:cs="Arial" w:eastAsia="Arial" w:hAnsi="Arial"/>
                <w:sz w:val="16"/>
                <w:szCs w:val="16"/>
                <w:color w:val="auto"/>
              </w:rPr>
              <w:t>Net cash provided by (used in) financing activities</w:t>
            </w:r>
          </w:p>
        </w:tc>
        <w:tc>
          <w:tcPr>
            <w:tcW w:w="6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2,256</w:t>
            </w:r>
          </w:p>
        </w:tc>
      </w:tr>
      <w:tr>
        <w:trPr>
          <w:trHeight w:val="33"/>
        </w:trPr>
        <w:tc>
          <w:tcPr>
            <w:tcW w:w="8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w:t>
            </w:r>
          </w:p>
        </w:tc>
        <w:tc>
          <w:tcPr>
            <w:tcW w:w="6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Cash at beginning of period</w:t>
            </w:r>
          </w:p>
        </w:tc>
        <w:tc>
          <w:tcPr>
            <w:tcW w:w="6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829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474</w:t>
            </w:r>
          </w:p>
        </w:tc>
      </w:tr>
      <w:tr>
        <w:trPr>
          <w:trHeight w:val="33"/>
        </w:trPr>
        <w:tc>
          <w:tcPr>
            <w:tcW w:w="8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at end of period</w:t>
            </w:r>
          </w:p>
        </w:tc>
        <w:tc>
          <w:tcPr>
            <w:tcW w:w="60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599</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investing and financing activities:</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Settlement of bankruptcy obligations</w:t>
            </w:r>
          </w:p>
        </w:tc>
        <w:tc>
          <w:tcPr>
            <w:tcW w:w="60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4,998</w:t>
            </w:r>
          </w:p>
        </w:tc>
        <w:tc>
          <w:tcPr>
            <w:tcW w:w="100" w:type="dxa"/>
            <w:vAlign w:val="bottom"/>
          </w:tcPr>
          <w:p>
            <w:pPr>
              <w:spacing w:after="0"/>
              <w:rPr>
                <w:sz w:val="20"/>
                <w:szCs w:val="20"/>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lease obligations</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Supplemental information:</w:t>
            </w: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7"/>
        </w:trPr>
        <w:tc>
          <w:tcPr>
            <w:tcW w:w="8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paid, net of amounts capitalized</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Income tax paid</w:t>
            </w:r>
          </w:p>
        </w:tc>
        <w:tc>
          <w:tcPr>
            <w:tcW w:w="6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w:t>
            </w: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AMERICAN AIRLINES, INC.</w:t>
      </w:r>
    </w:p>
    <w:p>
      <w:pPr>
        <w:spacing w:after="0" w:line="63" w:lineRule="exact"/>
        <w:rPr>
          <w:sz w:val="20"/>
          <w:szCs w:val="20"/>
          <w:color w:val="auto"/>
        </w:rPr>
      </w:pPr>
    </w:p>
    <w:p>
      <w:pPr>
        <w:ind w:left="1260" w:right="4280"/>
        <w:spacing w:after="0" w:line="344" w:lineRule="auto"/>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-38735</wp:posOffset>
            </wp:positionV>
            <wp:extent cx="57029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02935" cy="8890"/>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accompanying unaudited condensed consolidated financial statements of American should be read in conjunction with the consolidated financial statements contained in American's Annual Report on Form 10-K for the year ended December 31, 2013. American is a wholly-owned subsidiary of American Airlines Group Inc. (AAG). Certain prior period amounts have been reclassified to conform to the current year financial statement presentation as described below. All significant intercompany transactions have been eliminated.</w:t>
      </w:r>
    </w:p>
    <w:p>
      <w:pPr>
        <w:spacing w:after="0" w:line="13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U.S. Generally Accepted Accounting Principles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long-lived and intangible assets, the frequent traveler program, pensions and retiree medical and other benefits and the deferred tax asset valuation allowance.</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Chapter 11 Matters</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accordance with GAAP, the Debtors (as defined in Note 2 below) applied ASC 852 "Reorganizations" (ASC 852) in preparing the condensed consolidated financial statements for periods subsequent to the Chapter 11 Cases (as defined in Note 2 below). ASC 852 requires that the financial statements distinguish transactions and events that are directly associated with the reorganization from the ongoing operations of the business. Accordingly, certain revenues, expenses (including professional fees), realized gains and losses and provisions for losses that are realized or incurred in the Chapter 11 Cases for the 2013 period are presented in Reorganization items, net on the accompanying condensed consolidated statement of operations.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Reclassifications</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Certain prior period amounts have been reclassified between various financial statement line items to conform to the current year financial statement presentation. These reclassifications do not impact the historic net loss and are comprised principally of the following items:</w:t>
      </w:r>
    </w:p>
    <w:p>
      <w:pPr>
        <w:spacing w:after="0" w:line="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Reclassifications between various operating income line items to conform the presentation of Cargo and Other revenues.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Reclassifications between various operating expense line items to conform the presentation of Regional expenses.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Reclassifications between Other nonoperating income (expense), net and Operating expenses to conform the presentation of foreign currency gains and losses.</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historical and revised financial statement amounts for American (in millions):</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60" w:type="dxa"/>
            <w:vAlign w:val="bottom"/>
            <w:gridSpan w:val="5"/>
          </w:tcPr>
          <w:p>
            <w:pPr>
              <w:ind w:left="340"/>
              <w:spacing w:after="0"/>
              <w:rPr>
                <w:sz w:val="20"/>
                <w:szCs w:val="20"/>
                <w:color w:val="auto"/>
              </w:rPr>
            </w:pPr>
            <w:r>
              <w:rPr>
                <w:rFonts w:ascii="Arial" w:cs="Arial" w:eastAsia="Arial" w:hAnsi="Arial"/>
                <w:sz w:val="18"/>
                <w:szCs w:val="18"/>
                <w:color w:val="auto"/>
              </w:rPr>
              <w:t>Three Months Ended June 30,</w:t>
            </w:r>
          </w:p>
        </w:tc>
        <w:tc>
          <w:tcPr>
            <w:tcW w:w="140" w:type="dxa"/>
            <w:vAlign w:val="bottom"/>
          </w:tcPr>
          <w:p>
            <w:pPr>
              <w:spacing w:after="0"/>
              <w:rPr>
                <w:sz w:val="20"/>
                <w:szCs w:val="20"/>
                <w:color w:val="auto"/>
              </w:rPr>
            </w:pPr>
          </w:p>
        </w:tc>
        <w:tc>
          <w:tcPr>
            <w:tcW w:w="2900" w:type="dxa"/>
            <w:vAlign w:val="bottom"/>
            <w:gridSpan w:val="4"/>
          </w:tcPr>
          <w:p>
            <w:pPr>
              <w:jc w:val="right"/>
              <w:ind w:right="430"/>
              <w:spacing w:after="0"/>
              <w:rPr>
                <w:sz w:val="20"/>
                <w:szCs w:val="20"/>
                <w:color w:val="auto"/>
              </w:rPr>
            </w:pPr>
            <w:r>
              <w:rPr>
                <w:rFonts w:ascii="Arial" w:cs="Arial" w:eastAsia="Arial" w:hAnsi="Arial"/>
                <w:sz w:val="18"/>
                <w:szCs w:val="18"/>
                <w:color w:val="auto"/>
              </w:rPr>
              <w:t>Six Months Ended June 30,</w:t>
            </w:r>
          </w:p>
        </w:tc>
      </w:tr>
      <w:tr>
        <w:trPr>
          <w:trHeight w:val="270"/>
        </w:trPr>
        <w:tc>
          <w:tcPr>
            <w:tcW w:w="5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8"/>
                <w:szCs w:val="18"/>
                <w:color w:val="auto"/>
              </w:rPr>
              <w:t>2013</w:t>
            </w: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00" w:type="dxa"/>
            <w:vAlign w:val="bottom"/>
            <w:gridSpan w:val="3"/>
          </w:tcPr>
          <w:p>
            <w:pPr>
              <w:jc w:val="right"/>
              <w:ind w:right="30"/>
              <w:spacing w:after="0"/>
              <w:rPr>
                <w:sz w:val="20"/>
                <w:szCs w:val="20"/>
                <w:color w:val="auto"/>
              </w:rPr>
            </w:pPr>
            <w:r>
              <w:rPr>
                <w:rFonts w:ascii="Arial" w:cs="Arial" w:eastAsia="Arial" w:hAnsi="Arial"/>
                <w:sz w:val="18"/>
                <w:szCs w:val="18"/>
                <w:color w:val="auto"/>
              </w:rPr>
              <w:t>2013</w:t>
            </w:r>
          </w:p>
        </w:tc>
        <w:tc>
          <w:tcPr>
            <w:tcW w:w="1200" w:type="dxa"/>
            <w:vAlign w:val="bottom"/>
          </w:tcPr>
          <w:p>
            <w:pPr>
              <w:spacing w:after="0"/>
              <w:rPr>
                <w:sz w:val="23"/>
                <w:szCs w:val="23"/>
                <w:color w:val="auto"/>
              </w:rPr>
            </w:pPr>
          </w:p>
        </w:tc>
      </w:tr>
      <w:tr>
        <w:trPr>
          <w:trHeight w:val="27"/>
        </w:trPr>
        <w:tc>
          <w:tcPr>
            <w:tcW w:w="5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color w:val="auto"/>
              </w:rPr>
              <w:t>As Reclassified</w:t>
            </w:r>
          </w:p>
        </w:tc>
        <w:tc>
          <w:tcPr>
            <w:tcW w:w="24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color w:val="auto"/>
              </w:rPr>
              <w:t>Historical</w:t>
            </w:r>
          </w:p>
        </w:tc>
        <w:tc>
          <w:tcPr>
            <w:tcW w:w="14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color w:val="auto"/>
              </w:rPr>
              <w:t>As Reclassified</w:t>
            </w:r>
          </w:p>
        </w:tc>
        <w:tc>
          <w:tcPr>
            <w:tcW w:w="260" w:type="dxa"/>
            <w:vAlign w:val="bottom"/>
          </w:tcPr>
          <w:p>
            <w:pPr>
              <w:spacing w:after="0"/>
              <w:rPr>
                <w:sz w:val="20"/>
                <w:szCs w:val="20"/>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color w:val="auto"/>
              </w:rPr>
              <w:t>Historical</w:t>
            </w:r>
          </w:p>
        </w:tc>
      </w:tr>
      <w:tr>
        <w:trPr>
          <w:trHeight w:val="27"/>
        </w:trPr>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Mainline passenger</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4,888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4,888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9,502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9,502</w:t>
            </w: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Regional passenger</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1,431</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Cargo</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322</w:t>
            </w: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1,267</w:t>
            </w:r>
          </w:p>
        </w:tc>
      </w:tr>
      <w:tr>
        <w:trPr>
          <w:trHeight w:val="237"/>
        </w:trPr>
        <w:tc>
          <w:tcPr>
            <w:tcW w:w="5140" w:type="dxa"/>
            <w:vAlign w:val="bottom"/>
          </w:tcPr>
          <w:p>
            <w:pPr>
              <w:ind w:left="280"/>
              <w:spacing w:after="0"/>
              <w:rPr>
                <w:sz w:val="20"/>
                <w:szCs w:val="20"/>
                <w:color w:val="auto"/>
              </w:rPr>
            </w:pPr>
            <w:r>
              <w:rPr>
                <w:rFonts w:ascii="Arial" w:cs="Arial" w:eastAsia="Arial" w:hAnsi="Arial"/>
                <w:sz w:val="18"/>
                <w:szCs w:val="18"/>
                <w:color w:val="auto"/>
              </w:rPr>
              <w:t>Total operating revenues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6,437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6,437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12,522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12,522</w:t>
            </w: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Aircraft fuel and related taxes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1,880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3,814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4,338</w:t>
            </w: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Salaries, wages and benefits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2,599</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Regional expenses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531</w:t>
            </w: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Maintenance, materials and repairs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Other rent and landing fees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680</w:t>
            </w: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Aircraft rent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Selling expenses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533</w:t>
            </w: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Special items, net</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1,820</w:t>
            </w:r>
          </w:p>
        </w:tc>
      </w:tr>
      <w:tr>
        <w:trPr>
          <w:trHeight w:val="237"/>
        </w:trPr>
        <w:tc>
          <w:tcPr>
            <w:tcW w:w="514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5,936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5,959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11,955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11,997</w:t>
            </w:r>
          </w:p>
        </w:tc>
      </w:tr>
      <w:tr>
        <w:trPr>
          <w:trHeight w:val="27"/>
        </w:trPr>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Interest expense, net of capitalized interest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140" w:type="dxa"/>
            <w:vAlign w:val="bottom"/>
          </w:tcPr>
          <w:p>
            <w:pPr>
              <w:ind w:left="280"/>
              <w:spacing w:after="0"/>
              <w:rPr>
                <w:sz w:val="20"/>
                <w:szCs w:val="20"/>
                <w:color w:val="auto"/>
              </w:rPr>
            </w:pPr>
            <w:r>
              <w:rPr>
                <w:rFonts w:ascii="Arial" w:cs="Arial" w:eastAsia="Arial" w:hAnsi="Arial"/>
                <w:sz w:val="18"/>
                <w:szCs w:val="18"/>
                <w:color w:val="auto"/>
              </w:rPr>
              <w:t>Total nonoperating expense, net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w:t>
            </w:r>
          </w:p>
        </w:tc>
      </w:tr>
    </w:tbl>
    <w:p>
      <w:pPr>
        <w:spacing w:after="0" w:line="17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Additionally, on the condensed consolidated statement of cash flows, American reclassified $30 million in deferred financing charges from operating to financing cash flow activities for the six months ended June 30, 2013 in order to conform to the current year financial statement presentation.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Accounting Pronouncements</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May 2014, the Financial Accounting Standards Board (FASB) issued Accounting Standards Update (ASU) 2014-09, “Revenue from Contracts with Customers (Topic 606).” ASU 2014-09 completes the joint effort by the FASB and International Accounting Standards Board (IASB) to improve financial reporting by creating common revenue recognition guidance for U.S. GAAP and International Financial Reporting Standards (IFRS). ASU 2014-09 applies to all companies that enter into contracts with customers to transfer goods or services. ASU 2014-09 is effective for public entities for interim and annual reporting periods beginning after December 15, 2016. Early application is not permitted and entities have the choice to apply ASU 2014-09 either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retrospectively to each reporting period presented or by recognizing the cumulative effect of applying ASU 2014-09 at the date of initial application and not adjusting comparative information. American is currently evaluating the requirements of ASU 2014-09 and has not yet determined its impact on American's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Emergence From Chapter 11</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November 29, 2011 (the Petition Date), AMR, its principal subsidiary, American Airlines, Inc. (American), and certain of AMR's other direct and indirect domestic subsidiaries (collectively, the Debtors), filed voluntary petitions for relief (the Chapter 11 Cases) under Chapter 11 of the United States Bankruptcy Code (the Bankruptcy Code) in the United States Bankruptcy Court for the Southern District of New York (the Bankruptcy Court). On October 21, 2013, the Bankruptcy Court entered an order (the Confirmation Order) approving and confirming the Debtors' fourth amended joint plan of reorganization (as amended, the Plan).</w:t>
      </w:r>
    </w:p>
    <w:p>
      <w:pPr>
        <w:spacing w:after="0" w:line="1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9, 2013 (the Effective Date), the Debtors consummated their reorganization pursuant to the Plan, principally through the transactions contemplated by that certain Agreement and Plan of Merger (as amended, the Merger Agreement), dated as of February 13, 2013, by and among AAG, AMR Merger Sub, Inc. (Merger Sub) and US Airways Group, Inc. (US Airways Group), pursuant to which Merger Sub merged with and into US Airways Group (the Merger), with US Airways Group surviving as a wholly-owned subsidiary of AAG following the Merger. Pursuant to the Merger Agreement, each share of common stock, par value $0.01 per share, of US Airways Group was converted into the right to receive one share of American Airlines Group Inc. common stock, par value $0.01 per share (AAG Common Stock).</w:t>
      </w:r>
    </w:p>
    <w:p>
      <w:pPr>
        <w:spacing w:after="0" w:line="1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From the Petition Date through the Effective Date, pursuant to automatic stay provisions under the Bankruptcy Code and orders granted by the Bankruptcy Court, all actions to enforce or otherwise effect repayment of liabilities preceding the Petition Date as well as all pending litigation against the Debtors generally were stayed. Following the Effective Date, actions to enforce or otherwise effect repayment of liabilities preceding the Petition Date generally have been permanently enjoined. Any unresolved claims will continue to be subject to the claims reconciliation process under the supervision of the Bankruptcy Court. However, certain pending litigation related to pre-petition liabilities may proceed in courts other than the Bankruptcy Court to the extent the parties to such litigation have obtained relief from the permanent injunction.</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Plan of Reorganization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Plan implements the Merger and incorporates a compromise and settlement of certain intercreditor and intercompany claim issues.</w:t>
      </w:r>
    </w:p>
    <w:p>
      <w:pPr>
        <w:spacing w:after="0" w:line="18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Pursuant to the Plan, all shares of AMR common stock outstanding prior to the Effective Date were canceled. AAG's Certificate of Incorporation, which was approved in connection with the Plan, authorizes the issuance of 1.75 billion new shares of AAG Common Stock and 200 million shares of AAG Series A Preferred Stock, par value $0.01 per share (AAG Series A Preferred Stock). Of the authorized AAG Series A Preferred Stock, approximately 168 million were designated "Series A Convertible Preferred Stock," with a stated value $25.00 per share, and issued in accordance with the Plan. AAG Common Stock is listed on the NASDAQ Global Select Market under the symbol "AAL" and began trading on December 9, 2013. AAG Series A Preferred Stock was listed on the NASDAQ Global Select Market under the symbol "AALCP" from December 9, 2013 until its final mandatory conversion on April 8, 2014. In addition, the 2013 Incentive Award Plan (the 2013 IAP) authorizes the grant of awards for the issuance of 40 million shares of AAG Common Stock plus any shares underlying awards granted under the 2013 IAP, or any pre-existing US Airways Group plan, that are forfeited, terminate or are cash settled (in whole or in part) without a payment being made in the form of shares. Any shares that are available for issuance under the US Airways Group 2011 Incentive Award Plan (the 2011 IAP) as of the effective date of the Merger may be used for awards under the 2013 IAP; provided, that awards using such available shares shall not be made after the date awards or grants could have been made under 2011 IAP and shall only be made to individuals who were not providing services to American Airlines Group prior to the Merger.</w:t>
      </w:r>
    </w:p>
    <w:p>
      <w:pPr>
        <w:spacing w:after="0" w:line="12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Plan contains the following provisions relating to the treatment of pre-petition claims against the Debtors and other holders of allowed interests in the Debtors:</w:t>
      </w:r>
    </w:p>
    <w:p>
      <w:pPr>
        <w:spacing w:after="0" w:line="116"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secured claims against the Debtors have been reinstated;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allowed administrative claims, priority claims and convenience claims have been or will be paid in full in cash;</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holders of allowed pre-petition unsecured claims, holders of allowed interests and certain employees of AMR received or will receive 72% of AAG Common Stock (on a fully converted basis) authorized to be issued pursuant to the Plan and in connection with the Merger under the following provisions: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460" w:hanging="723"/>
        <w:spacing w:after="0" w:line="279" w:lineRule="auto"/>
        <w:tabs>
          <w:tab w:leader="none" w:pos="10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all creditors holding general unsecured claims against American that are guaranteed by AAG and general unsecured claims against AAG that are guaranteed by American (Double-Dip Unsecured Claims) were treated the same under the Plan. Holders of Double-Dip Unsecured Claims received, at the Effective Date, their recovery in shares of AAG Series A Preferred Stock with a stated amount equal to the allowed amount of their claims, including post-petition interest at the non-default rate;</w:t>
      </w:r>
    </w:p>
    <w:p>
      <w:pPr>
        <w:spacing w:after="0" w:line="117" w:lineRule="exact"/>
        <w:rPr>
          <w:rFonts w:ascii="Arial" w:cs="Arial" w:eastAsia="Arial" w:hAnsi="Arial"/>
          <w:sz w:val="17"/>
          <w:szCs w:val="17"/>
          <w:color w:val="auto"/>
        </w:rPr>
      </w:pPr>
    </w:p>
    <w:p>
      <w:pPr>
        <w:ind w:left="1460" w:hanging="723"/>
        <w:spacing w:after="0" w:line="297" w:lineRule="auto"/>
        <w:tabs>
          <w:tab w:leader="none" w:pos="10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all creditors holding Single-Dip Unsecured Claims were treated the same regardless of whether the claim was asserted against the AAG Debtors, the American Debtors, or other Debtors. As used herein, "Single-Dip Unsecured Claims" means the general unsecured claims against the Debtors that were not guaranteed by any other Debtor, other than the claims of the Debtors' labor unions representing mainline workers. Holders of Single-Dip Unsecured Claims received a portion of their recovery in shares of AAG Series A Preferred Stock at the Effective Date and their remaining recovery in shares of AAG Common Stock during the 120-day period after the Effective Date;</w:t>
      </w:r>
    </w:p>
    <w:p>
      <w:pPr>
        <w:spacing w:after="0" w:line="104" w:lineRule="exact"/>
        <w:rPr>
          <w:rFonts w:ascii="Arial" w:cs="Arial" w:eastAsia="Arial" w:hAnsi="Arial"/>
          <w:sz w:val="16"/>
          <w:szCs w:val="16"/>
          <w:color w:val="auto"/>
        </w:rPr>
      </w:pPr>
    </w:p>
    <w:p>
      <w:pPr>
        <w:ind w:left="1460" w:hanging="723"/>
        <w:spacing w:after="0" w:line="255" w:lineRule="auto"/>
        <w:tabs>
          <w:tab w:leader="none" w:pos="10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holders of certain labor-related deemed claims and certain non-management, non-union employees as specified in the Plan received, at the Effective Date, the right to receive an allocation of shares of AAG Common Stock representing 23.6% of the total number of shares of AAG Common Stock ultimately distributed to holders of pre-petition general unsecured creditors against the Debtors. On the Effective Date, pursuant to the Plan, an initial allocation of approximately 39 million shares of AAG Common Stock was made related to these labor and employee groups, of which approximately 27 million shares were distributed on the Effective Date and approximately 13 million shares of which were withheld in connection with American making a cash payment of approximately $300 million for certain required withholding taxes;</w:t>
      </w:r>
    </w:p>
    <w:p>
      <w:pPr>
        <w:spacing w:after="0" w:line="135" w:lineRule="exact"/>
        <w:rPr>
          <w:rFonts w:ascii="Arial" w:cs="Arial" w:eastAsia="Arial" w:hAnsi="Arial"/>
          <w:sz w:val="18"/>
          <w:szCs w:val="18"/>
          <w:color w:val="auto"/>
        </w:rPr>
      </w:pPr>
    </w:p>
    <w:p>
      <w:pPr>
        <w:ind w:left="1460" w:hanging="723"/>
        <w:spacing w:after="0" w:line="259" w:lineRule="auto"/>
        <w:tabs>
          <w:tab w:leader="none" w:pos="10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holders of allowed interests in AMR (primarily holders of AMR common stock existing immediately prior to the Effective Date) received, at the Effective Date, a distribution of approximately 26 million shares of AAG Common Stock representing 3.5% of the total number of shares of AAG Common Stock contemplated for issuance pursuant to the Plan and received an additional 267 million shares of AAG Common Stock during the 120-day period after the Effective Date; and</w:t>
      </w:r>
    </w:p>
    <w:p>
      <w:pPr>
        <w:spacing w:after="0" w:line="132" w:lineRule="exact"/>
        <w:rPr>
          <w:rFonts w:ascii="Arial" w:cs="Arial" w:eastAsia="Arial" w:hAnsi="Arial"/>
          <w:sz w:val="18"/>
          <w:szCs w:val="18"/>
          <w:color w:val="auto"/>
        </w:rPr>
      </w:pPr>
    </w:p>
    <w:p>
      <w:pPr>
        <w:ind w:left="1460" w:hanging="723"/>
        <w:spacing w:after="0" w:line="297" w:lineRule="auto"/>
        <w:tabs>
          <w:tab w:leader="none" w:pos="10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holders of disputed claims at the Effective Date, to the extent such disputed claims become allowed Single-Dip Unsecured Claims after the Effective Date, are eligible to receive shares of AAG Common Stock held in reserve (the Disputed Claims Reserve), beginning 180 days after the Effective Date. Disputed claimholders that subsequently become holders of Single-Dip Unsecured Claims will receive, subject to the availability of sufficient shares in the Disputed Claims Reserve, the number of shares of AAG Common Stock that the disputed claimholder would have received had such claimholder been a holder of Single-Dip Unsecured Claims as of the Effective Date.</w:t>
      </w:r>
    </w:p>
    <w:p>
      <w:pPr>
        <w:spacing w:after="0" w:line="1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Plan contemplated the distribution of up to 756 million shares of AAG Common Stock, however this amount has been reduced by approximately 20 million shares because certain tax withholdings for employees were paid in cash as permitted under the Plan. In accordance with the Plan, AAG issued the remaining shares of AAG Common Stock over the 120-day distribution period, except for shares held in the Disputed Claims Reserve. In addition, pursuant to the Plan, approximately 197 million shares of AAG Common Stock were distributed to holders of outstanding shares of US Airways Group common stock.</w:t>
      </w:r>
    </w:p>
    <w:p>
      <w:pPr>
        <w:spacing w:after="0" w:line="21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Pursuant to rulings of the Bankruptcy Court, the Plan has established the Disputed Claims Reserve to hold shares of AAG Common Stock reserved for issuance to disputed claimholders at the Effective Date that ultimately become holders of allowed Single-Dip Unsecured Claims. The shares provided for under the Plan were determined based upon a Disputed Claims Reserve amount of claims of approximately $755 million, representing the maximum amount of additional distributions to subsequently allowed Single-Dip Unsecured Claims under the Plan. As of June 30, 2014 approximately 30.4 million shares of AAG Common Stock were reserved for distribution to holders of disputed Single-Dip general Unsecured Claims (Single-Dip Equity Obligations) whose claims ultimately become allowed as well as to certain AMR labor groups and employees who received a deemed claim amount based upon a fixed percentage of the distributions to be made to general unsecured claimholders. As disputed claims are resolved, the claimants will receive distributions of shares from the Disputed Claims Reserve on the same basis as if such distributions had been made on or about the Effective Date. On July 1, 2014, approximately 2.9 million of the approximately 30.4 million shares held in the Disputed Claims Reserve were distributed to holders of allowed Single-Dip Unsecured Claims, to holders of certain labor-related deemed claims, and to holders of certain non-management, non-union employee deemed claims as specified in the Plan, and shares were withheld or sold on account of related tax obligations. To the extent that any of the reserved shares remain undistributed upon resolution of all remaining disputed claims, such shares will not be returned to AAG but rather will be distributed to former AMR shareholders as of the Effective Date. AAG is not required to distribute additional shares above the limits contemplated by the Plan described above.</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from the Effective Date through June 30, 2014, American made the following cash disbursements under the Plan: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right="14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$385 million in cash to the pension plans in connection with missed contributions to the pension plans during the Chapter 11 Cases and interest and penalty interest thereon;</w:t>
      </w:r>
    </w:p>
    <w:p>
      <w:pPr>
        <w:spacing w:after="0" w:line="116"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$108 million in cash to holders in partial or full satisfaction of their claims, including to holders of administrative claims, and state and local priority tax claims;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$196 million in cure payments to holders of secured debt;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Approximately $542 million for payroll taxes associated with equity distributions to employees.</w:t>
      </w:r>
    </w:p>
    <w:p>
      <w:pPr>
        <w:spacing w:after="0" w:line="25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Several parties have filed appeals seeking reconsideration of the Confirmation Order. Refer to Note 14 for more information.</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noted above, the reconciliation process with respect to the remaining claims will take considerable time post-emergence. American's estimate of the amounts of disputed claims that will ultimately become allowed Single-Dip Unsecured Claims are included in Bankruptcy settlement obligations on American's condensed consolidated balance sheet as of June 30, 2014. As these claims are resolved, or where better information becomes available and is evaluated, American will make adjustments to the liabilities recorded in American's condensed consolidated financial statements as appropriate. Any such adjustments could be material to American's financial position or results of operations in any given period.</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Availability and Utilization of Net Operating Losses</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Upon emergence from bankruptcy, American experienced an "ownership change" as defined in Section 382 of the Internal Revenue Code which could potentially limit the ability to utilize certain tax attributes including American's substantial net operating losses (NOLs). The general limitation rules for a debtor in a bankruptcy case are liberalized where the ownership change occurs upon emergence from bankruptcy. While American anticipates taking advantage of certain special rules for federal income tax purposes that would permit approximately $9.5 billion of the federal NOL Carryforwards to be utilized without regard to the annual limitation generally imposed by Section 382, there can be no assurance that these special rules will apply.</w:t>
      </w:r>
    </w:p>
    <w:p>
      <w:pPr>
        <w:spacing w:after="0" w:line="1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Moreover, an ownership change subsequent to American's emergence from bankruptcy may further limit or effectively eliminate the ability to utilize American's NOL Carryforwards and other tax attributes. To reduce the risk of a potential adverse effect on American's ability to utilize the NOL Carryforwards, AAG's Certificate of Incorporation contains transfer restrictions applicable to certain substantial shareholders. Although the purpose of these transfer restrictions is to prevent an ownership change from occurring, there can be no assurance that an ownership change will not occur even with these transfer restrictions. A copy of AAG's Certificate of Incorporation was attached as Exhibit 3.1 to a Current Report on Form 8-K filed by AAG with the SEC on December 9, 2013.</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Reorganization Items, Net</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Reorganization items refer to revenues, expenses (including professional fees), realized gains and losses and provisions for losses that are realized or incurred in the Chapter 11 Cases. The following table summarizes the components included in reorganization items, net on the condensed consolidated statements of operations for the three and six months ended June 30, 2013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w w:val="99"/>
              </w:rPr>
              <w:t>Three Months Ended June</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w w:val="93"/>
              </w:rPr>
              <w:t>Six Months Ended June 30,</w:t>
            </w:r>
          </w:p>
        </w:tc>
      </w:tr>
      <w:tr>
        <w:trPr>
          <w:trHeight w:val="230"/>
        </w:trPr>
        <w:tc>
          <w:tcPr>
            <w:tcW w:w="6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jc w:val="right"/>
              <w:ind w:right="690"/>
              <w:spacing w:after="0"/>
              <w:rPr>
                <w:sz w:val="20"/>
                <w:szCs w:val="20"/>
                <w:color w:val="auto"/>
              </w:rPr>
            </w:pPr>
            <w:r>
              <w:rPr>
                <w:rFonts w:ascii="Arial" w:cs="Arial" w:eastAsia="Arial" w:hAnsi="Arial"/>
                <w:sz w:val="18"/>
                <w:szCs w:val="18"/>
                <w:color w:val="auto"/>
              </w:rPr>
              <w:t>30, 2013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color w:val="auto"/>
              </w:rPr>
              <w:t>2013</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4"/>
        </w:trPr>
        <w:tc>
          <w:tcPr>
            <w:tcW w:w="69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Aircraft and facility financing renegotiations and rejections </w:t>
            </w:r>
            <w:r>
              <w:rPr>
                <w:rFonts w:ascii="Arial" w:cs="Arial" w:eastAsia="Arial" w:hAnsi="Arial"/>
                <w:sz w:val="25"/>
                <w:szCs w:val="25"/>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21"/>
                <w:szCs w:val="21"/>
                <w:color w:val="auto"/>
              </w:rPr>
            </w:pP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57"/>
        </w:trPr>
        <w:tc>
          <w:tcPr>
            <w:tcW w:w="6980" w:type="dxa"/>
            <w:vAlign w:val="bottom"/>
          </w:tcPr>
          <w:p>
            <w:pPr>
              <w:ind w:left="40"/>
              <w:spacing w:after="0"/>
              <w:rPr>
                <w:sz w:val="20"/>
                <w:szCs w:val="20"/>
                <w:color w:val="auto"/>
              </w:rPr>
            </w:pPr>
            <w:r>
              <w:rPr>
                <w:rFonts w:ascii="Arial" w:cs="Arial" w:eastAsia="Arial" w:hAnsi="Arial"/>
                <w:sz w:val="18"/>
                <w:szCs w:val="18"/>
                <w:color w:val="auto"/>
              </w:rPr>
              <w:t>Total reorganization items,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283</w:t>
            </w:r>
          </w:p>
        </w:tc>
      </w:tr>
      <w:tr>
        <w:trPr>
          <w:trHeight w:val="20"/>
        </w:trPr>
        <w:tc>
          <w:tcPr>
            <w:tcW w:w="6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left="340" w:hanging="332"/>
        <w:spacing w:after="0" w:line="250" w:lineRule="auto"/>
        <w:tabs>
          <w:tab w:leader="none" w:pos="340" w:val="left"/>
        </w:tabs>
        <w:numPr>
          <w:ilvl w:val="0"/>
          <w:numId w:val="19"/>
        </w:numPr>
        <w:rPr>
          <w:rFonts w:ascii="Arial" w:cs="Arial" w:eastAsia="Arial" w:hAnsi="Arial"/>
          <w:sz w:val="24"/>
          <w:szCs w:val="24"/>
          <w:color w:val="auto"/>
          <w:vertAlign w:val="superscript"/>
        </w:rPr>
      </w:pPr>
      <w:r>
        <w:rPr>
          <w:rFonts w:ascii="Arial" w:cs="Arial" w:eastAsia="Arial" w:hAnsi="Arial"/>
          <w:sz w:val="17"/>
          <w:szCs w:val="17"/>
          <w:color w:val="auto"/>
        </w:rPr>
        <w:t>Amounts include allowed claims (claims approved by the Bankruptcy Court) and estimated allowed claims relating to (i) the rejection or modification of financings related to aircraft and (ii) entry of orders treated as unsecured claims with respect to facility agreements supporting certain issuances of special facility revenue bonds. The Debtors recorded an estimated claim associated with the rejection or modification of a financing or facility agreement when the applicable motion was filed with the Bankruptcy Court to reject or modify such financing and the Debtors believed that it was probable the motion would be approved, and there was sufficient information to estimate the claim.</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Bankruptcy Settlement Obligations</w:t>
      </w:r>
    </w:p>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components of Bankruptcy settlement obligations on the condensed consolidated balance sheets are as follows (in millions) and reflect those included in AAG's consolidated financial statements. The settlement of these claims through the issuance of AAG Common Stock will result in an increase in additional paid-in capital for American.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2"/>
          </w:tcPr>
          <w:p>
            <w:pPr>
              <w:ind w:left="240"/>
              <w:spacing w:after="0"/>
              <w:rPr>
                <w:sz w:val="20"/>
                <w:szCs w:val="20"/>
                <w:color w:val="auto"/>
              </w:rPr>
            </w:pPr>
            <w:r>
              <w:rPr>
                <w:rFonts w:ascii="Arial" w:cs="Arial" w:eastAsia="Arial" w:hAnsi="Arial"/>
                <w:sz w:val="18"/>
                <w:szCs w:val="18"/>
                <w:color w:val="auto"/>
                <w:w w:val="99"/>
              </w:rPr>
              <w:t>June 30, 2014</w:t>
            </w: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w w:val="89"/>
              </w:rPr>
              <w:t>December 31, 2013</w:t>
            </w:r>
          </w:p>
        </w:tc>
      </w:tr>
      <w:tr>
        <w:trPr>
          <w:trHeight w:val="27"/>
        </w:trPr>
        <w:tc>
          <w:tcPr>
            <w:tcW w:w="5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Single-Dip and Double-Dip Equity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4,575</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Labor-related deemed claim</w:t>
            </w: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849</w:t>
            </w:r>
          </w:p>
        </w:tc>
      </w:tr>
      <w:tr>
        <w:trPr>
          <w:trHeight w:val="27"/>
        </w:trPr>
        <w:tc>
          <w:tcPr>
            <w:tcW w:w="5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5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5,424</w:t>
            </w:r>
          </w:p>
        </w:tc>
      </w:tr>
      <w:tr>
        <w:trPr>
          <w:trHeight w:val="20"/>
        </w:trPr>
        <w:tc>
          <w:tcPr>
            <w:tcW w:w="5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AAG Series A Preferred Stock, while outstanding, voted and participated in accordance with the terms of the underlying Certificate of Designation. One quarter of the shares of AAG Series A Preferred Stock initially issued was mandatorily convertible on each of the 30th, 60th, 90th and 120th days after the Effective Date, subject to additional voluntary conversions. The initial stated value of each share of AAG Series A Preferred Stock was $25.00 and accrued dividends at 6.25% per annum, calculated daily, while outstanding. Additionally, AAG Series A Preferred Stock converted to AAG Common Stock based upon the volume weighted average price of the shares of AAG Common Stock on the five trading days immediately preceding the conversion date, at a 3.5% fixed discount, subject to a conversion price floor of $10.875 per share and a conversion price cap of $33.8080 per share, below or above which the conversion rate remains fixed. As of April 8, 2014, all shares of AAG Series A Preferred Stock had been converted into AAG Common Stock.</w:t>
      </w:r>
    </w:p>
    <w:p>
      <w:pPr>
        <w:spacing w:after="0" w:line="13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Single-Dip Equity Obligations, while outstanding, do not vote or participate in accordance with the terms of the Plan. These equity obligations, representing the amount of total Single-Dip Unsecured Claims not satisfied through the issuance of AAG Series A Preferred Stock at the Effective Date, represented an unconditional obligation to transfer a variable number of shares of AAG Common Stock based predominantly on a fixed monetary amount known at inception, and, as such, were not treated as equity, but rather as liabilities, until the 120th day after emergence, which was April 8, 2014. As of April 8, 2014, AAG has issued shares of AAG Common Stock to satisfy the obligation amount at emergence, plus accrued dividends of 12% per annum, calculated daily, through such date, based on the volume weighted average price of the shares of AAG Common Stock, at a 3.5% discount, as specified in the Plan. The remaining Single-Dip Equity Obligations at June 30, 2014 is American’s estimate of its obligation for disputed claims of $317 million and is calculated based on the fair value of the shares expected to be issued, measured as if the obligations were settled using the closing price of AAG Common Stock at June 30, 2014. Additional allowed claims will receive 30.7553 shares, subject to reduction for expenses of the Disputed Claims Reserve, including tax liabilities, for each $1,000 of allowed claims. For accounting purposes, the value of the shares expected to be issued are marked-to market each period until issued. Accordingly, changes in the value of AAG Common Stock could result in future increases and decreases in this obligation.</w:t>
      </w:r>
    </w:p>
    <w:p>
      <w:pPr>
        <w:spacing w:after="0" w:line="11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exchange for employees' contributions to the successful reorganization of AAG, including agreeing to reductions in pay and benefits, AAG and American agreed in the Plan to provide each employee group a deemed claim which was used to provide a distribution of a portion of the equity of the reorganized entity to those employees. Each employee group received a deemed claim amount based upon a fixed percentage of the distributions to be made to general unsecured claimholders. The fair value based on the expected number of shares to be distributed to satisfy this deemed claim, as adjusted, was approximately $1.5 billion. From the Effective Date through June 30, 2014, AAG has made distributions of $961 million in AAG Common Stock and paid approximately $542 million in cash to cover payroll taxes related to the equity distributions. As of June 30, 2014, the liability to certain AMR labor groups and employees of $98 million represents the estimated fair value of the remaining shares expected to be issued in satisfaction of such obligation, measured as if the obligation were settled using the closing price of AAG Common Stock at June 30, 2014. For accounting purposes, the value of the remaining shares expected to be issued to satisfy the labor claim are marked-to market each period until issued. Accordingly, changes in the value of AAG Common Stock could result in future increases and decreases in this obligation.</w:t>
      </w:r>
    </w:p>
    <w:p>
      <w:pPr>
        <w:spacing w:after="0" w:line="1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July 1, 2014, approximately 2.9 million of the approximately 30.4 million shares of AAG Common Stock held in the Disputed Claims Reserve were distributed to holders of allowed Single-Dip Unsecured Claims, to holders of certain labor-related deemed claims and to holders of certain non-management, non-union employee deemed claims as specified in the Plan, and shares were withheld or sold on account of related tax obligations. The next planned distribution date is October 1, 2014 for any disputed Single-Dip Unsecured Claims that become allowed after July 1, 2014.</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Slot Divestiture</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stipulation for the Merger to be approved by the Department of Justice (DOJ), American was required to divest certain slots at Ronald Reagan Washington National Airport (DCA). As of December 31, 2013, the DCA slots to be divested were recorded as assets held for sale and included in Prepaid expenses and other on the consolidated balance sheet. In the first quarter of 2014, American divested the required DCA slots and received $299 million in cash as well as 24 slots at John F. Kennedy Airport. American recognized a gain of $305 million related to the divestiture, which has been included in Special items, net in the condensed consolidated statement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Special Items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Special items, net on the condensed consolidated statements of operations are as follows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5"/>
          </w:tcPr>
          <w:p>
            <w:pPr>
              <w:ind w:left="40"/>
              <w:spacing w:after="0"/>
              <w:rPr>
                <w:sz w:val="20"/>
                <w:szCs w:val="20"/>
                <w:color w:val="auto"/>
              </w:rPr>
            </w:pPr>
            <w:r>
              <w:rPr>
                <w:rFonts w:ascii="Arial" w:cs="Arial" w:eastAsia="Arial" w:hAnsi="Arial"/>
                <w:sz w:val="18"/>
                <w:szCs w:val="18"/>
                <w:color w:val="auto"/>
                <w:w w:val="99"/>
              </w:rPr>
              <w:t>Three Months Ended June 30,</w:t>
            </w:r>
          </w:p>
        </w:tc>
        <w:tc>
          <w:tcPr>
            <w:tcW w:w="200" w:type="dxa"/>
            <w:vAlign w:val="bottom"/>
          </w:tcPr>
          <w:p>
            <w:pPr>
              <w:spacing w:after="0"/>
              <w:rPr>
                <w:sz w:val="20"/>
                <w:szCs w:val="20"/>
                <w:color w:val="auto"/>
              </w:rPr>
            </w:pPr>
          </w:p>
        </w:tc>
        <w:tc>
          <w:tcPr>
            <w:tcW w:w="2320" w:type="dxa"/>
            <w:vAlign w:val="bottom"/>
            <w:gridSpan w:val="4"/>
          </w:tcPr>
          <w:p>
            <w:pPr>
              <w:jc w:val="right"/>
              <w:ind w:right="170"/>
              <w:spacing w:after="0"/>
              <w:rPr>
                <w:sz w:val="20"/>
                <w:szCs w:val="20"/>
                <w:color w:val="auto"/>
              </w:rPr>
            </w:pPr>
            <w:r>
              <w:rPr>
                <w:rFonts w:ascii="Arial" w:cs="Arial" w:eastAsia="Arial" w:hAnsi="Arial"/>
                <w:sz w:val="18"/>
                <w:szCs w:val="18"/>
                <w:color w:val="auto"/>
                <w:w w:val="92"/>
              </w:rPr>
              <w:t>Six Months Ended June 30,</w:t>
            </w:r>
          </w:p>
        </w:tc>
      </w:tr>
      <w:tr>
        <w:trPr>
          <w:trHeight w:val="27"/>
        </w:trPr>
        <w:tc>
          <w:tcPr>
            <w:tcW w:w="3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2013</w:t>
            </w:r>
          </w:p>
        </w:tc>
      </w:tr>
      <w:tr>
        <w:trPr>
          <w:trHeight w:val="27"/>
        </w:trPr>
        <w:tc>
          <w:tcPr>
            <w:tcW w:w="3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39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Mainline operating special items, net </w:t>
            </w:r>
            <w:r>
              <w:rPr>
                <w:rFonts w:ascii="Arial" w:cs="Arial" w:eastAsia="Arial" w:hAnsi="Arial"/>
                <w:sz w:val="25"/>
                <w:szCs w:val="25"/>
                <w:color w:val="auto"/>
                <w:vertAlign w:val="superscript"/>
              </w:rPr>
              <w:t>(a)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bl>
    <w:p>
      <w:pPr>
        <w:spacing w:after="0" w:line="40" w:lineRule="exact"/>
        <w:rPr>
          <w:sz w:val="20"/>
          <w:szCs w:val="20"/>
          <w:color w:val="auto"/>
        </w:rPr>
      </w:pPr>
    </w:p>
    <w:p>
      <w:pPr>
        <w:jc w:val="both"/>
        <w:ind w:left="340" w:hanging="332"/>
        <w:spacing w:after="0" w:line="241" w:lineRule="auto"/>
        <w:tabs>
          <w:tab w:leader="none" w:pos="34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The 2014 second quarter mainline operating special items totaled a net charge of $179 million, which principally included $99 million of merger integration expenses related to information technology, professional fees, severance, re-branding of aircraft and airport facilities, relocation and training as well as a net $40 million charge for bankruptcy related items primarily reflecting fair value adjustments for bankruptcy settlement obligations and $26 million in charges relating to the buyout of leases associated with certain aircraft. The 2014 six month period mainline operating special items totaled a net credit of $37 million, which principally included a $305 million gain on the sale of slots at DCA and a net $16 million credit for bankruptcy related items primarily reflecting fair value adjustments for bankruptcy settlement obligations. These special credits were offset in part by $234 million of merger integration expenses as described above as well as $29 million in charges primarily relating to the buyout of leases associated with certain aircraft.</w:t>
      </w:r>
    </w:p>
    <w:p>
      <w:pPr>
        <w:spacing w:after="0" w:line="39" w:lineRule="exact"/>
        <w:rPr>
          <w:rFonts w:ascii="Arial" w:cs="Arial" w:eastAsia="Arial" w:hAnsi="Arial"/>
          <w:sz w:val="25"/>
          <w:szCs w:val="25"/>
          <w:color w:val="auto"/>
          <w:vertAlign w:val="superscript"/>
        </w:rPr>
      </w:pPr>
    </w:p>
    <w:p>
      <w:pPr>
        <w:ind w:left="340"/>
        <w:spacing w:after="0" w:line="277" w:lineRule="auto"/>
        <w:rPr>
          <w:rFonts w:ascii="Arial" w:cs="Arial" w:eastAsia="Arial" w:hAnsi="Arial"/>
          <w:sz w:val="25"/>
          <w:szCs w:val="25"/>
          <w:color w:val="auto"/>
          <w:vertAlign w:val="superscript"/>
        </w:rPr>
      </w:pPr>
      <w:r>
        <w:rPr>
          <w:rFonts w:ascii="Arial" w:cs="Arial" w:eastAsia="Arial" w:hAnsi="Arial"/>
          <w:sz w:val="18"/>
          <w:szCs w:val="18"/>
          <w:color w:val="auto"/>
        </w:rPr>
        <w:t>The 2013 second quarter mainline operating special items primarily consisted of merger related expenses. The 2013 six month period included $40 million in merger related expenses and a $43 million charge for workers' compensation claims.</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The following additional amounts are also included in the condensed consolidated statements of operations as follows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2760" w:type="dxa"/>
            <w:vAlign w:val="bottom"/>
            <w:gridSpan w:val="7"/>
          </w:tcPr>
          <w:p>
            <w:pPr>
              <w:ind w:left="160"/>
              <w:spacing w:after="0"/>
              <w:rPr>
                <w:sz w:val="20"/>
                <w:szCs w:val="20"/>
                <w:color w:val="auto"/>
              </w:rPr>
            </w:pPr>
            <w:r>
              <w:rPr>
                <w:rFonts w:ascii="Arial" w:cs="Arial" w:eastAsia="Arial" w:hAnsi="Arial"/>
                <w:sz w:val="18"/>
                <w:szCs w:val="18"/>
                <w:color w:val="auto"/>
              </w:rPr>
              <w:t>Three Months Ended June 30,</w:t>
            </w:r>
          </w:p>
        </w:tc>
        <w:tc>
          <w:tcPr>
            <w:tcW w:w="2280" w:type="dxa"/>
            <w:vAlign w:val="bottom"/>
            <w:gridSpan w:val="4"/>
          </w:tcPr>
          <w:p>
            <w:pPr>
              <w:jc w:val="right"/>
              <w:ind w:right="130"/>
              <w:spacing w:after="0"/>
              <w:rPr>
                <w:sz w:val="20"/>
                <w:szCs w:val="20"/>
                <w:color w:val="auto"/>
              </w:rPr>
            </w:pPr>
            <w:r>
              <w:rPr>
                <w:rFonts w:ascii="Arial" w:cs="Arial" w:eastAsia="Arial" w:hAnsi="Arial"/>
                <w:sz w:val="18"/>
                <w:szCs w:val="18"/>
                <w:color w:val="auto"/>
                <w:w w:val="92"/>
              </w:rPr>
              <w:t>Six Months Ended June 30,</w:t>
            </w:r>
          </w:p>
        </w:tc>
      </w:tr>
      <w:tr>
        <w:trPr>
          <w:trHeight w:val="27"/>
        </w:trPr>
        <w:tc>
          <w:tcPr>
            <w:tcW w:w="39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2014</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2013</w:t>
            </w:r>
          </w:p>
        </w:tc>
      </w:tr>
      <w:tr>
        <w:trPr>
          <w:trHeight w:val="27"/>
        </w:trPr>
        <w:tc>
          <w:tcPr>
            <w:tcW w:w="39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Regional operating special items, net</w:t>
            </w:r>
          </w:p>
        </w:tc>
        <w:tc>
          <w:tcPr>
            <w:tcW w:w="8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9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Nonoperating special items, net </w:t>
            </w:r>
            <w:r>
              <w:rPr>
                <w:rFonts w:ascii="Arial" w:cs="Arial" w:eastAsia="Arial" w:hAnsi="Arial"/>
                <w:sz w:val="25"/>
                <w:szCs w:val="25"/>
                <w:color w:val="auto"/>
                <w:vertAlign w:val="superscript"/>
              </w:rPr>
              <w:t>(b)</w:t>
            </w:r>
          </w:p>
        </w:tc>
        <w:tc>
          <w:tcPr>
            <w:tcW w:w="8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39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Reorganization items, net </w:t>
            </w:r>
            <w:r>
              <w:rPr>
                <w:rFonts w:ascii="Arial" w:cs="Arial" w:eastAsia="Arial" w:hAnsi="Arial"/>
                <w:sz w:val="25"/>
                <w:szCs w:val="25"/>
                <w:color w:val="auto"/>
                <w:vertAlign w:val="superscript"/>
              </w:rPr>
              <w:t>(c)</w:t>
            </w:r>
          </w:p>
        </w:tc>
        <w:tc>
          <w:tcPr>
            <w:tcW w:w="80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320"/>
        </w:trPr>
        <w:tc>
          <w:tcPr>
            <w:tcW w:w="3960" w:type="dxa"/>
            <w:vAlign w:val="bottom"/>
          </w:tcPr>
          <w:p>
            <w:pPr>
              <w:ind w:left="40"/>
              <w:spacing w:after="0"/>
              <w:rPr>
                <w:sz w:val="20"/>
                <w:szCs w:val="20"/>
                <w:color w:val="auto"/>
              </w:rPr>
            </w:pPr>
            <w:r>
              <w:rPr>
                <w:rFonts w:ascii="Arial" w:cs="Arial" w:eastAsia="Arial" w:hAnsi="Arial"/>
                <w:sz w:val="18"/>
                <w:szCs w:val="18"/>
                <w:color w:val="auto"/>
              </w:rPr>
              <w:t xml:space="preserve">Income tax special items, net </w:t>
            </w:r>
            <w:r>
              <w:rPr>
                <w:rFonts w:ascii="Arial" w:cs="Arial" w:eastAsia="Arial" w:hAnsi="Arial"/>
                <w:sz w:val="25"/>
                <w:szCs w:val="25"/>
                <w:color w:val="auto"/>
                <w:vertAlign w:val="superscript"/>
              </w:rPr>
              <w:t>(d)</w:t>
            </w:r>
          </w:p>
        </w:tc>
        <w:tc>
          <w:tcPr>
            <w:tcW w:w="800" w:type="dxa"/>
            <w:vAlign w:val="bottom"/>
          </w:tcPr>
          <w:p>
            <w:pPr>
              <w:spacing w:after="0"/>
              <w:rPr>
                <w:sz w:val="24"/>
                <w:szCs w:val="24"/>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335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bl>
    <w:p>
      <w:pPr>
        <w:ind w:left="340" w:hanging="332"/>
        <w:spacing w:after="0" w:line="211" w:lineRule="auto"/>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The 2014 six month period nonoperating special items of $40 million were principally due to non-cash interest accretion on the bankruptcy settlement obligations.</w:t>
      </w:r>
    </w:p>
    <w:p>
      <w:pPr>
        <w:spacing w:after="0" w:line="41" w:lineRule="exact"/>
        <w:rPr>
          <w:rFonts w:ascii="Arial" w:cs="Arial" w:eastAsia="Arial" w:hAnsi="Arial"/>
          <w:sz w:val="25"/>
          <w:szCs w:val="25"/>
          <w:color w:val="auto"/>
          <w:vertAlign w:val="superscript"/>
        </w:rPr>
      </w:pPr>
    </w:p>
    <w:p>
      <w:pPr>
        <w:ind w:left="340" w:right="20"/>
        <w:spacing w:after="0" w:line="277" w:lineRule="auto"/>
        <w:rPr>
          <w:rFonts w:ascii="Arial" w:cs="Arial" w:eastAsia="Arial" w:hAnsi="Arial"/>
          <w:sz w:val="25"/>
          <w:szCs w:val="25"/>
          <w:color w:val="auto"/>
          <w:vertAlign w:val="superscript"/>
        </w:rPr>
      </w:pPr>
      <w:r>
        <w:rPr>
          <w:rFonts w:ascii="Arial" w:cs="Arial" w:eastAsia="Arial" w:hAnsi="Arial"/>
          <w:sz w:val="18"/>
          <w:szCs w:val="18"/>
          <w:color w:val="auto"/>
        </w:rPr>
        <w:t>The 2013 six month period nonoperating special items consisted of interest charges to recognize post-petition interest expense on unsecured obligations pursuant to the Plan.</w:t>
      </w:r>
    </w:p>
    <w:p>
      <w:pPr>
        <w:spacing w:after="0" w:line="8"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In the 2013 second quarter and six month period, American recognized reorganization expenses as a result of the filing of the Chapter 11 Cases. These amounts consisted primarily of estimated allowed claim amounts and professional fees.</w:t>
      </w:r>
    </w:p>
    <w:p>
      <w:pPr>
        <w:spacing w:after="0" w:line="41" w:lineRule="exact"/>
        <w:rPr>
          <w:rFonts w:ascii="Arial" w:cs="Arial" w:eastAsia="Arial" w:hAnsi="Arial"/>
          <w:sz w:val="25"/>
          <w:szCs w:val="25"/>
          <w:color w:val="auto"/>
          <w:vertAlign w:val="superscript"/>
        </w:rPr>
      </w:pPr>
    </w:p>
    <w:p>
      <w:pPr>
        <w:jc w:val="both"/>
        <w:ind w:left="340" w:hanging="332"/>
        <w:spacing w:after="0" w:line="256" w:lineRule="auto"/>
        <w:tabs>
          <w:tab w:leader="none" w:pos="340" w:val="left"/>
        </w:tabs>
        <w:numPr>
          <w:ilvl w:val="0"/>
          <w:numId w:val="21"/>
        </w:numPr>
        <w:rPr>
          <w:rFonts w:ascii="Arial" w:cs="Arial" w:eastAsia="Arial" w:hAnsi="Arial"/>
          <w:sz w:val="24"/>
          <w:szCs w:val="24"/>
          <w:color w:val="auto"/>
          <w:vertAlign w:val="superscript"/>
        </w:rPr>
      </w:pPr>
      <w:r>
        <w:rPr>
          <w:rFonts w:ascii="Arial" w:cs="Arial" w:eastAsia="Arial" w:hAnsi="Arial"/>
          <w:sz w:val="17"/>
          <w:szCs w:val="17"/>
          <w:color w:val="auto"/>
        </w:rPr>
        <w:t>During the second quarter, American sold its portfolio of fuel hedging contracts that were scheduled to settle on or after June 30, 2014. In connection with this sale, American recorded a special non-cash tax provision of $328 million in the statement of operations for the second quarter of 2014 that reverses the non-cash tax provision which was recorded in Other Comprehensive Income (OCI), a subset of stockholders’ equity, principally in 2009. This provision represents the tax effect associated with gains recorded in OCI principally in 2009 due to a net increase in the fair value of American's fuel hedging contracts. In accordance with GAAP, American retained the $328 million tax provision in OCI until the last contract was settled or terminated. In addition, American recorded $7 million in non-cash deferred income tax provision related to certain indefinite-lived intangible assets in the 2014 second quarter. The 2014 six month period included the $328 million non-cash tax provision related to the settlement of fuel hedges discussed above as well as $14 million in non-cash deferred income tax provision related to certain indefinite-lived intangible assets.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and capital lease obligations included in the condensed consolidated balance sheets consisted of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ind w:left="220"/>
              <w:spacing w:after="0"/>
              <w:rPr>
                <w:sz w:val="20"/>
                <w:szCs w:val="20"/>
                <w:color w:val="auto"/>
              </w:rPr>
            </w:pPr>
            <w:r>
              <w:rPr>
                <w:rFonts w:ascii="Arial" w:cs="Arial" w:eastAsia="Arial" w:hAnsi="Arial"/>
                <w:sz w:val="16"/>
                <w:szCs w:val="16"/>
                <w:color w:val="auto"/>
              </w:rPr>
              <w:t>June 30,</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6"/>
        </w:trPr>
        <w:tc>
          <w:tcPr>
            <w:tcW w:w="8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ind w:right="579"/>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w w:val="89"/>
              </w:rPr>
              <w:t>December 31, 2013</w:t>
            </w:r>
          </w:p>
        </w:tc>
      </w:tr>
      <w:tr>
        <w:trPr>
          <w:trHeight w:val="33"/>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Secured</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w w:val="99"/>
              </w:rPr>
              <w:t>Secured indebtedness, fixed and variable interest rates ranging from 1.43% to 8.10%, maturing from 2014 to 2026</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1,862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2,140</w:t>
            </w:r>
          </w:p>
        </w:tc>
      </w:tr>
      <w:tr>
        <w:trPr>
          <w:trHeight w:val="33"/>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Aircraft enhanced equipment trust certificates (EETCs), fixed interest rates ranging from 4.00% to 7.00%, maturing from</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 to 2025</w:t>
            </w:r>
          </w:p>
        </w:tc>
        <w:tc>
          <w:tcPr>
            <w:tcW w:w="3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3,415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3,516</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Special facility revenue bonds, fixed interest rates ranging from 7.125% to 8.50%, maturing from 2016 to 2031</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1,313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1,313</w:t>
            </w:r>
          </w:p>
        </w:tc>
      </w:tr>
      <w:tr>
        <w:trPr>
          <w:trHeight w:val="33"/>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secured credit facility, variable interest rate of 3.75%, installments through 2019</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1,891</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7.50% senior secured notes, interest only payments until due in 2016</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1,000</w:t>
            </w:r>
          </w:p>
        </w:tc>
      </w:tr>
      <w:tr>
        <w:trPr>
          <w:trHeight w:val="33"/>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AAdvantage Miles advance purchase, effective rate of 8.30%, installments through 2017</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611</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Other secured obligations, fixed interest rates ranging from 4.19% to 12.24%, maturing from 2014 to 2035</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380</w:t>
            </w:r>
          </w:p>
        </w:tc>
      </w:tr>
      <w:tr>
        <w:trPr>
          <w:trHeight w:val="33"/>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10,851</w:t>
            </w: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i w:val="1"/>
                <w:iCs w:val="1"/>
                <w:color w:val="auto"/>
              </w:rPr>
              <w:t>Unsecured</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47"/>
        </w:trPr>
        <w:tc>
          <w:tcPr>
            <w:tcW w:w="8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Affiliate unsecured obligations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r>
      <w:tr>
        <w:trPr>
          <w:trHeight w:val="217"/>
        </w:trPr>
        <w:tc>
          <w:tcPr>
            <w:tcW w:w="8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w:t>
            </w:r>
          </w:p>
        </w:tc>
      </w:tr>
      <w:tr>
        <w:trPr>
          <w:trHeight w:val="33"/>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long-term debt and capital lease obligations</w:t>
            </w:r>
          </w:p>
        </w:tc>
        <w:tc>
          <w:tcPr>
            <w:tcW w:w="3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10,878</w:t>
            </w:r>
          </w:p>
        </w:tc>
      </w:tr>
      <w:tr>
        <w:trPr>
          <w:trHeight w:val="237"/>
        </w:trPr>
        <w:tc>
          <w:tcPr>
            <w:tcW w:w="8120" w:type="dxa"/>
            <w:vAlign w:val="bottom"/>
          </w:tcPr>
          <w:p>
            <w:pPr>
              <w:ind w:left="280"/>
              <w:spacing w:after="0"/>
              <w:rPr>
                <w:sz w:val="20"/>
                <w:szCs w:val="20"/>
                <w:color w:val="auto"/>
              </w:rPr>
            </w:pPr>
            <w:r>
              <w:rPr>
                <w:rFonts w:ascii="Arial" w:cs="Arial" w:eastAsia="Arial" w:hAnsi="Arial"/>
                <w:sz w:val="16"/>
                <w:szCs w:val="16"/>
                <w:color w:val="auto"/>
              </w:rPr>
              <w:t>Less: total unamortized debt discount</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69</w:t>
            </w:r>
          </w:p>
        </w:tc>
      </w:tr>
      <w:tr>
        <w:trPr>
          <w:trHeight w:val="33"/>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Less: current maturities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957</w:t>
            </w:r>
          </w:p>
        </w:tc>
      </w:tr>
      <w:tr>
        <w:trPr>
          <w:trHeight w:val="217"/>
        </w:trPr>
        <w:tc>
          <w:tcPr>
            <w:tcW w:w="8120" w:type="dxa"/>
            <w:vAlign w:val="bottom"/>
          </w:tcPr>
          <w:p>
            <w:pPr>
              <w:ind w:left="500"/>
              <w:spacing w:after="0"/>
              <w:rPr>
                <w:sz w:val="20"/>
                <w:szCs w:val="20"/>
                <w:color w:val="auto"/>
              </w:rPr>
            </w:pPr>
            <w:r>
              <w:rPr>
                <w:rFonts w:ascii="Arial" w:cs="Arial" w:eastAsia="Arial" w:hAnsi="Arial"/>
                <w:sz w:val="16"/>
                <w:szCs w:val="16"/>
                <w:color w:val="auto"/>
              </w:rPr>
              <w:t>Long-term debt and capital lease obligations, net of current maturities</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9,585</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9,852</w:t>
            </w:r>
          </w:p>
        </w:tc>
      </w:tr>
      <w:tr>
        <w:trPr>
          <w:trHeight w:val="33"/>
        </w:trPr>
        <w:tc>
          <w:tcPr>
            <w:tcW w:w="8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Secured Indebtedness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May 2014, American prepaid $61 million principal amount of outstanding debt secured by certain aircraft.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June 2014, American entered into a loan agreement to borrow $53 million in connection with financing certain aircraft deliveries. The notes mature in 2026 and bear interest at a rate of LIBOR plus an applicable margin.</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Senior Secured Notes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March 2014, American prepaid $100 million of its 7.50% senior secured notes at a redemption price of 103% of principal amount plus accrued and unpaid interest.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Obligations Associated with Special Facility Revenue Bonds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June 2014, American gave notice that it intends to prepay $98 million of obligations, of which $62 million is reflected as debt on its balance sheet, associated with special facility revenue bonds issued by municipalities to build or improve certain airport and maintenance facilities. The off-balance sheet portion of these obligations are accounted for as operating leases.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emergence from bankruptcy resulted in a statutory "ownership change" on December 9, 2013, as defined in Section 382 of the Internal Revenue Code of 1986, as amended (Section 382), which limits American's future ability to utilize NOLs generated before the ownership change and certain subsequently recognized "built-in" losses and deductions, if any, existing as of the date of the ownership change. The general limitation rules for a debtor in a bankruptcy case are liberalized where an ownership change occurs upon emergence from bankruptcy. American's ability to utilize any new NOLs arising after the ownership change is not affected.</w:t>
      </w:r>
    </w:p>
    <w:p>
      <w:pPr>
        <w:spacing w:after="0" w:line="13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December 31, 2013, American had approximately $9.5 billion of gross NOLs to reduce future federal taxable income, the majority of which are expected to be available for use in 2014, subject to the Section 382 limitation described above.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federal NOLs will expire beginning in 2022 if unused. These NOLs include an unrealized tax benefit of $647 million related to the implementation of share-based compensation accounting guidance that will be recorded in equity when realized. American also had approximately $3.8 billion of gross NOLs to reduce future state taxable income at December 31, 2013, which will expire in years 2014 through 2033 if unused. At December 31, 2013, American had an Alternative Minimum Tax (AMT) credit carryforward of approximately $467 million available for federal income tax purposes, which is available for an indefinite period. American's net deferred tax assets, which include the NOLs, are subject to a full valuation allowance. At December 31, 2013, the federal and state valuation allowances were $4.9 billion and $378 million, respectively. In accordance with GAAP, utilization of the NOLs after December 9, 2013 will result in a corresponding decrease in the valuation allowance and offset American's tax provision dollar for dollar.</w:t>
      </w:r>
    </w:p>
    <w:p>
      <w:pPr>
        <w:spacing w:after="0" w:line="1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During the second quarter of 2014, American sold its portfolio of fuel hedging contracts that were scheduled to settle on or after June 30, 2014. In connection with this sale, American recorded a special non-cash tax provision of $328 million in the statement of operations for the second quarter of 2014 that reverses the non-cash tax provision which was recorded in OCI, a subset of stockholders’ equity, principally in 2009. This provision represents the tax effect associated with gains recorded in OCI principally in 2009 due to a net increase in the fair value of American's fuel hedging contracts. In accordance with GAAP, American retained the $328 million tax provision in OCI until the last contract was settled or terminated. In addition, American recorded a special $7 million non-cash deferred income tax provision related to certain indefinite-lived intangible assets in the 2014 second quarter. The 2014 six month period included the $328 million non-cash tax provision related to the settlement of fuel hedges discussed above as well as a special $14 million non-cash deferred income tax provision related to certain indefinite-lived intangible assets.</w:t>
      </w:r>
    </w:p>
    <w:p>
      <w:pPr>
        <w:spacing w:after="0" w:line="1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and six months ended June 30, 2014, American recorded $1 million and $5 million, respectively, of state and international income tax expense related to certain states and countries where NOLs were limited or unavailable to be used.</w:t>
      </w:r>
    </w:p>
    <w:p>
      <w:pPr>
        <w:spacing w:after="0" w:line="11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American did not record an income tax provision in the 2013 second quarter. For the six months ended June 30, 2013, American reported a loss before income taxes and recorded an income tax benefit of approximately $30 million as a result of the American Taxpayer Relief Act of 2012.</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American utilizes the market approach to measure fair value for its financial assets and liabilities. The market approach uses prices and other relevant information generated by market transactions involving identical or comparable assets or liabilities. American's short-term investments classified as Level 2 primarily utilize broker quotes in a non-active market for valuation of these securities. No changes in valuation techniques or inputs occurred during the six months ended June 30, 2014.</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Assets and liabilities measured at fair value on a recurring basis are summarized below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340" w:type="dxa"/>
            <w:vAlign w:val="bottom"/>
            <w:gridSpan w:val="8"/>
          </w:tcPr>
          <w:p>
            <w:pPr>
              <w:ind w:left="60"/>
              <w:spacing w:after="0"/>
              <w:rPr>
                <w:sz w:val="20"/>
                <w:szCs w:val="20"/>
                <w:color w:val="auto"/>
              </w:rPr>
            </w:pPr>
            <w:r>
              <w:rPr>
                <w:rFonts w:ascii="Arial" w:cs="Arial" w:eastAsia="Arial" w:hAnsi="Arial"/>
                <w:sz w:val="18"/>
                <w:szCs w:val="18"/>
                <w:color w:val="auto"/>
                <w:w w:val="88"/>
              </w:rPr>
              <w:t>Fair Value Measurements as of June 30, 2014</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Level 2</w:t>
            </w:r>
          </w:p>
        </w:tc>
        <w:tc>
          <w:tcPr>
            <w:tcW w:w="300" w:type="dxa"/>
            <w:vAlign w:val="bottom"/>
          </w:tcPr>
          <w:p>
            <w:pPr>
              <w:spacing w:after="0"/>
              <w:rPr>
                <w:sz w:val="20"/>
                <w:szCs w:val="20"/>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Level 3</w:t>
            </w:r>
          </w:p>
        </w:tc>
      </w:tr>
      <w:tr>
        <w:trPr>
          <w:trHeight w:val="27"/>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1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5"/>
                <w:szCs w:val="25"/>
                <w:color w:val="auto"/>
                <w:vertAlign w:val="superscript"/>
              </w:rPr>
              <w:t>(1), (2)</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192</w:t>
            </w:r>
          </w:p>
        </w:tc>
        <w:tc>
          <w:tcPr>
            <w:tcW w:w="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Government agency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Repurchase agreements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Bank notes / Certificates of deposit / Time deposits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70"/>
        </w:trPr>
        <w:tc>
          <w:tcPr>
            <w:tcW w:w="51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5"/>
                <w:szCs w:val="25"/>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ind w:left="880"/>
              <w:spacing w:after="0"/>
              <w:rPr>
                <w:sz w:val="20"/>
                <w:szCs w:val="20"/>
                <w:color w:val="auto"/>
              </w:rPr>
            </w:pPr>
            <w:r>
              <w:rPr>
                <w:rFonts w:ascii="Arial" w:cs="Arial" w:eastAsia="Arial" w:hAnsi="Arial"/>
                <w:sz w:val="18"/>
                <w:szCs w:val="18"/>
                <w:color w:val="auto"/>
              </w:rPr>
              <w:t>—</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5,472</w:t>
            </w:r>
          </w:p>
        </w:tc>
        <w:tc>
          <w:tcPr>
            <w:tcW w:w="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4,662</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8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17145</wp:posOffset>
            </wp:positionV>
            <wp:extent cx="39706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33" w:lineRule="exact"/>
        <w:rPr>
          <w:sz w:val="20"/>
          <w:szCs w:val="20"/>
          <w:color w:val="auto"/>
        </w:rPr>
      </w:pPr>
    </w:p>
    <w:p>
      <w:pPr>
        <w:ind w:left="540" w:hanging="532"/>
        <w:spacing w:after="0" w:line="216" w:lineRule="auto"/>
        <w:tabs>
          <w:tab w:leader="none" w:pos="216"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Unrealized gains or losses on short-term investments and restricted cash and short-term investments are recorded in Accumulated other comprehensive income (loss) at each measurement date.</w:t>
      </w:r>
    </w:p>
    <w:p>
      <w:pPr>
        <w:spacing w:after="0" w:line="1" w:lineRule="exact"/>
        <w:rPr>
          <w:rFonts w:ascii="Arial" w:cs="Arial" w:eastAsia="Arial" w:hAnsi="Arial"/>
          <w:sz w:val="25"/>
          <w:szCs w:val="25"/>
          <w:color w:val="auto"/>
          <w:vertAlign w:val="superscript"/>
        </w:rPr>
      </w:pPr>
    </w:p>
    <w:p>
      <w:pPr>
        <w:ind w:left="540" w:hanging="532"/>
        <w:spacing w:after="0" w:line="209" w:lineRule="auto"/>
        <w:tabs>
          <w:tab w:leader="none" w:pos="216"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American's short-term investments mature in one year or less except for $1.7 billion of corporate obligations, $469 million of U.S. government agency investments and $200 million of Bank notes/Certificates of deposit/Time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-555625</wp:posOffset>
            </wp:positionV>
            <wp:extent cx="39706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1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were no Level 1 to Level 2 transfers during the six months ended June 30, 2014. American's policy regarding the recording of transfers between levels is to reflect any such transfers at the end of the reporting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of American's short-term investments are classified as available-for-sale and stated at fair value. Unrealized gains and losses are reflected as a component of Accumulated other comprehensive income (loss).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Venezuela Cash and Short-term Investments</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of June 30, 2014, approximately $791 million of American's unrestricted cash balance was held in Venezuelan bolivars, valued at the weighted average applicable exchange rate of 6.53 bolivars to the dollar. This includes approximately $94 million valued at 4.3 bolivars, approximately $611 million valued at 6.3 bolivars, and approximately $86 million valued at 10.6 bolivars, with the rate depending on the date American submitted its repatriation request to the Venezuelan government. In the first quarter of 2014, the Venezuelan government announced that a newly-implemented system (SICAD I) will determine the exchange rate (which fluctuates as determined by weekly auctions and at June 30, 2014 was 10.6 bolivars to the dollar) for repatriation of cash proceeds from ticket sales after January 1, 2014, and introduced new procedures for approval of repatriation of local currency. American is continuing to work with Venezuelan authorities regarding the timing and exchange rate applicable to the repatriation of funds held in local currency. However, pending further repatriation of funds, and due to the significant decrease in demand for air travel resulting from the effective devaluation of the bolivar, American recently significantly reduced capacity in this market. American is monitoring this situation closely and continues to evaluate its holdings of Venezuelan bolivars for potential impairment. See Part II, Item 1A - Risk Factors "</w:t>
      </w:r>
      <w:r>
        <w:rPr>
          <w:rFonts w:ascii="Arial" w:cs="Arial" w:eastAsia="Arial" w:hAnsi="Arial"/>
          <w:sz w:val="17"/>
          <w:szCs w:val="17"/>
          <w:i w:val="1"/>
          <w:iCs w:val="1"/>
          <w:color w:val="auto"/>
        </w:rPr>
        <w:t>We operate a global business with international operations that are subject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economic and political instability and have been, and in the future may continue to be, adversely affected by numerous events, circumstances or government actions beyond our control" </w:t>
      </w:r>
      <w:r>
        <w:rPr>
          <w:rFonts w:ascii="Arial" w:cs="Arial" w:eastAsia="Arial" w:hAnsi="Arial"/>
          <w:sz w:val="17"/>
          <w:szCs w:val="17"/>
          <w:color w:val="auto"/>
        </w:rPr>
        <w:t>for additional discussion of these and other currency risks.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Debt</w:t>
      </w:r>
    </w:p>
    <w:p>
      <w:pPr>
        <w:spacing w:after="0" w:line="17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fair values of American’s long-term debt were estimated using quoted market prices or discounted cash flow analyses, based on American's current estimated incremental borrowing rates for similar types of borrowing arrangements. If American's long-term debt was measured at fair value, it would have been classified as Level 2 in the fair value hierarchy.</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value and estimated fair value of American’s long-term debt, including current maturities, were as follows (in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June 30, 2014</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4"/>
          </w:tcPr>
          <w:p>
            <w:pPr>
              <w:jc w:val="right"/>
              <w:ind w:right="830"/>
              <w:spacing w:after="0"/>
              <w:rPr>
                <w:sz w:val="20"/>
                <w:szCs w:val="20"/>
                <w:color w:val="auto"/>
              </w:rPr>
            </w:pPr>
            <w:r>
              <w:rPr>
                <w:rFonts w:ascii="Arial" w:cs="Arial" w:eastAsia="Arial" w:hAnsi="Arial"/>
                <w:sz w:val="18"/>
                <w:szCs w:val="18"/>
                <w:color w:val="auto"/>
              </w:rPr>
              <w:t>December 31, 2013</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2"/>
        </w:trPr>
        <w:tc>
          <w:tcPr>
            <w:tcW w:w="4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Carrying</w:t>
            </w:r>
          </w:p>
        </w:tc>
        <w:tc>
          <w:tcPr>
            <w:tcW w:w="520" w:type="dxa"/>
            <w:vAlign w:val="bottom"/>
          </w:tcPr>
          <w:p>
            <w:pPr>
              <w:spacing w:after="0"/>
              <w:rPr>
                <w:sz w:val="19"/>
                <w:szCs w:val="19"/>
                <w:color w:val="auto"/>
              </w:rPr>
            </w:pPr>
          </w:p>
        </w:tc>
        <w:tc>
          <w:tcPr>
            <w:tcW w:w="1180" w:type="dxa"/>
            <w:vAlign w:val="bottom"/>
            <w:gridSpan w:val="2"/>
          </w:tcPr>
          <w:p>
            <w:pPr>
              <w:jc w:val="center"/>
              <w:ind w:right="620"/>
              <w:spacing w:after="0"/>
              <w:rPr>
                <w:sz w:val="20"/>
                <w:szCs w:val="20"/>
                <w:color w:val="auto"/>
              </w:rPr>
            </w:pPr>
            <w:r>
              <w:rPr>
                <w:rFonts w:ascii="Arial" w:cs="Arial" w:eastAsia="Arial" w:hAnsi="Arial"/>
                <w:sz w:val="18"/>
                <w:szCs w:val="18"/>
                <w:color w:val="auto"/>
                <w:w w:val="90"/>
              </w:rPr>
              <w:t>Fair</w:t>
            </w:r>
          </w:p>
        </w:tc>
        <w:tc>
          <w:tcPr>
            <w:tcW w:w="300" w:type="dxa"/>
            <w:vAlign w:val="bottom"/>
          </w:tcPr>
          <w:p>
            <w:pPr>
              <w:spacing w:after="0"/>
              <w:rPr>
                <w:sz w:val="19"/>
                <w:szCs w:val="19"/>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94"/>
              </w:rPr>
              <w:t>Carrying</w:t>
            </w:r>
          </w:p>
        </w:tc>
        <w:tc>
          <w:tcPr>
            <w:tcW w:w="360" w:type="dxa"/>
            <w:vAlign w:val="bottom"/>
          </w:tcPr>
          <w:p>
            <w:pPr>
              <w:spacing w:after="0"/>
              <w:rPr>
                <w:sz w:val="19"/>
                <w:szCs w:val="19"/>
                <w:color w:val="auto"/>
              </w:rPr>
            </w:pPr>
          </w:p>
        </w:tc>
        <w:tc>
          <w:tcPr>
            <w:tcW w:w="1240" w:type="dxa"/>
            <w:vAlign w:val="bottom"/>
          </w:tcPr>
          <w:p>
            <w:pPr>
              <w:jc w:val="center"/>
              <w:ind w:right="270"/>
              <w:spacing w:after="0"/>
              <w:rPr>
                <w:sz w:val="20"/>
                <w:szCs w:val="20"/>
                <w:color w:val="auto"/>
              </w:rPr>
            </w:pPr>
            <w:r>
              <w:rPr>
                <w:rFonts w:ascii="Arial" w:cs="Arial" w:eastAsia="Arial" w:hAnsi="Arial"/>
                <w:sz w:val="18"/>
                <w:szCs w:val="18"/>
                <w:color w:val="auto"/>
                <w:w w:val="90"/>
              </w:rPr>
              <w:t>Fair</w:t>
            </w:r>
          </w:p>
        </w:tc>
      </w:tr>
      <w:tr>
        <w:trPr>
          <w:trHeight w:val="230"/>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Value</w:t>
            </w:r>
          </w:p>
        </w:tc>
        <w:tc>
          <w:tcPr>
            <w:tcW w:w="520" w:type="dxa"/>
            <w:vAlign w:val="bottom"/>
          </w:tcPr>
          <w:p>
            <w:pPr>
              <w:spacing w:after="0"/>
              <w:rPr>
                <w:sz w:val="20"/>
                <w:szCs w:val="20"/>
                <w:color w:val="auto"/>
              </w:rPr>
            </w:pPr>
          </w:p>
        </w:tc>
        <w:tc>
          <w:tcPr>
            <w:tcW w:w="1180" w:type="dxa"/>
            <w:vAlign w:val="bottom"/>
            <w:gridSpan w:val="2"/>
          </w:tcPr>
          <w:p>
            <w:pPr>
              <w:jc w:val="center"/>
              <w:ind w:right="620"/>
              <w:spacing w:after="0"/>
              <w:rPr>
                <w:sz w:val="20"/>
                <w:szCs w:val="20"/>
                <w:color w:val="auto"/>
              </w:rPr>
            </w:pPr>
            <w:r>
              <w:rPr>
                <w:rFonts w:ascii="Arial" w:cs="Arial" w:eastAsia="Arial" w:hAnsi="Arial"/>
                <w:sz w:val="18"/>
                <w:szCs w:val="18"/>
                <w:color w:val="auto"/>
                <w:w w:val="86"/>
              </w:rPr>
              <w:t>Value</w:t>
            </w:r>
          </w:p>
        </w:tc>
        <w:tc>
          <w:tcPr>
            <w:tcW w:w="30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Value</w:t>
            </w:r>
          </w:p>
        </w:tc>
        <w:tc>
          <w:tcPr>
            <w:tcW w:w="360" w:type="dxa"/>
            <w:vAlign w:val="bottom"/>
          </w:tcPr>
          <w:p>
            <w:pPr>
              <w:spacing w:after="0"/>
              <w:rPr>
                <w:sz w:val="20"/>
                <w:szCs w:val="20"/>
                <w:color w:val="auto"/>
              </w:rPr>
            </w:pPr>
          </w:p>
        </w:tc>
        <w:tc>
          <w:tcPr>
            <w:tcW w:w="1240" w:type="dxa"/>
            <w:vAlign w:val="bottom"/>
          </w:tcPr>
          <w:p>
            <w:pPr>
              <w:jc w:val="center"/>
              <w:ind w:right="270"/>
              <w:spacing w:after="0"/>
              <w:rPr>
                <w:sz w:val="20"/>
                <w:szCs w:val="20"/>
                <w:color w:val="auto"/>
              </w:rPr>
            </w:pPr>
            <w:r>
              <w:rPr>
                <w:rFonts w:ascii="Arial" w:cs="Arial" w:eastAsia="Arial" w:hAnsi="Arial"/>
                <w:sz w:val="18"/>
                <w:szCs w:val="18"/>
                <w:color w:val="auto"/>
                <w:w w:val="86"/>
              </w:rPr>
              <w:t>Value</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10,588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11,113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11,045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Retirement Benefits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provide the components of net periodic benefit cost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w w:val="91"/>
              </w:rPr>
              <w:t>Pension Benefits</w:t>
            </w: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60" w:type="dxa"/>
            <w:vAlign w:val="bottom"/>
            <w:gridSpan w:val="6"/>
          </w:tcPr>
          <w:p>
            <w:pPr>
              <w:jc w:val="right"/>
              <w:ind w:right="330"/>
              <w:spacing w:after="0"/>
              <w:rPr>
                <w:sz w:val="20"/>
                <w:szCs w:val="20"/>
                <w:color w:val="auto"/>
              </w:rPr>
            </w:pPr>
            <w:r>
              <w:rPr>
                <w:rFonts w:ascii="Arial" w:cs="Arial" w:eastAsia="Arial" w:hAnsi="Arial"/>
                <w:sz w:val="18"/>
                <w:szCs w:val="18"/>
                <w:color w:val="auto"/>
                <w:w w:val="97"/>
              </w:rPr>
              <w:t>Retiree Medical and Other Benefits</w:t>
            </w:r>
          </w:p>
        </w:tc>
        <w:tc>
          <w:tcPr>
            <w:tcW w:w="0" w:type="dxa"/>
            <w:vAlign w:val="bottom"/>
          </w:tcPr>
          <w:p>
            <w:pPr>
              <w:spacing w:after="0"/>
              <w:rPr>
                <w:sz w:val="1"/>
                <w:szCs w:val="1"/>
                <w:color w:val="auto"/>
              </w:rPr>
            </w:pPr>
          </w:p>
        </w:tc>
      </w:tr>
      <w:tr>
        <w:trPr>
          <w:trHeight w:val="27"/>
        </w:trPr>
        <w:tc>
          <w:tcPr>
            <w:tcW w:w="44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Three Months Ended June 30,</w:t>
            </w: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jc w:val="right"/>
              <w:ind w:right="550"/>
              <w:spacing w:after="0"/>
              <w:rPr>
                <w:sz w:val="20"/>
                <w:szCs w:val="20"/>
                <w:color w:val="auto"/>
              </w:rPr>
            </w:pPr>
            <w:r>
              <w:rPr>
                <w:rFonts w:ascii="Arial" w:cs="Arial" w:eastAsia="Arial" w:hAnsi="Arial"/>
                <w:sz w:val="18"/>
                <w:szCs w:val="18"/>
                <w:color w:val="auto"/>
                <w:w w:val="89"/>
              </w:rPr>
              <w:t>2013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57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4460" w:type="dxa"/>
            <w:vAlign w:val="bottom"/>
            <w:gridSpan w:val="3"/>
            <w:vMerge w:val="restart"/>
          </w:tcPr>
          <w:p>
            <w:pPr>
              <w:ind w:left="40"/>
              <w:spacing w:after="0"/>
              <w:rPr>
                <w:sz w:val="20"/>
                <w:szCs w:val="20"/>
                <w:color w:val="auto"/>
              </w:rPr>
            </w:pPr>
            <w:r>
              <w:rPr>
                <w:rFonts w:ascii="Arial" w:cs="Arial" w:eastAsia="Arial" w:hAnsi="Arial"/>
                <w:sz w:val="18"/>
                <w:szCs w:val="18"/>
                <w:color w:val="auto"/>
              </w:rPr>
              <w:t>Components of net periodic benefit cost:</w:t>
            </w: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4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920" w:type="dxa"/>
            <w:vAlign w:val="bottom"/>
            <w:tcBorders>
              <w:top w:val="single" w:sz="8" w:color="auto"/>
            </w:tcBorders>
          </w:tcPr>
          <w:p>
            <w:pPr>
              <w:spacing w:after="0"/>
              <w:rPr>
                <w:sz w:val="5"/>
                <w:szCs w:val="5"/>
                <w:color w:val="auto"/>
              </w:rPr>
            </w:pPr>
          </w:p>
        </w:tc>
        <w:tc>
          <w:tcPr>
            <w:tcW w:w="1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Service cost</w:t>
            </w:r>
          </w:p>
        </w:tc>
        <w:tc>
          <w:tcPr>
            <w:tcW w:w="1060" w:type="dxa"/>
            <w:vAlign w:val="bottom"/>
            <w:tcBorders>
              <w:bottom w:val="single" w:sz="8" w:color="CCEEFF"/>
            </w:tcBorders>
            <w:gridSpan w:val="2"/>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Expected return on assets</w:t>
            </w: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5"/>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Settlements</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Amortization of:</w:t>
            </w: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20" w:type="dxa"/>
            <w:vAlign w:val="bottom"/>
            <w:gridSpan w:val="2"/>
          </w:tcPr>
          <w:p>
            <w:pPr>
              <w:ind w:left="460"/>
              <w:spacing w:after="0"/>
              <w:rPr>
                <w:sz w:val="20"/>
                <w:szCs w:val="20"/>
                <w:color w:val="auto"/>
              </w:rPr>
            </w:pPr>
            <w:r>
              <w:rPr>
                <w:rFonts w:ascii="Arial" w:cs="Arial" w:eastAsia="Arial" w:hAnsi="Arial"/>
                <w:sz w:val="18"/>
                <w:szCs w:val="18"/>
                <w:color w:val="auto"/>
              </w:rPr>
              <w:t>Prior service cost (benefit)</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4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Unrecognized net loss (gain)</w:t>
            </w:r>
          </w:p>
        </w:tc>
        <w:tc>
          <w:tcPr>
            <w:tcW w:w="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Net periodic benefit cost</w:t>
            </w:r>
          </w:p>
        </w:tc>
        <w:tc>
          <w:tcPr>
            <w:tcW w:w="1060" w:type="dxa"/>
            <w:vAlign w:val="bottom"/>
            <w:tcBorders>
              <w:top w:val="single" w:sz="8" w:color="auto"/>
            </w:tcBorders>
            <w:gridSpan w:val="2"/>
          </w:tcPr>
          <w:p>
            <w:pPr>
              <w:jc w:val="right"/>
              <w:ind w:right="85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620" w:type="dxa"/>
            <w:vAlign w:val="bottom"/>
            <w:tcBorders>
              <w:top w:val="single" w:sz="8" w:color="auto"/>
            </w:tcBorders>
            <w:gridSpan w:val="2"/>
          </w:tcPr>
          <w:p>
            <w:pPr>
              <w:jc w:val="right"/>
              <w:ind w:right="4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top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w w:val="93"/>
              </w:rPr>
              <w:t>Pension Benefits</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60" w:type="dxa"/>
            <w:vAlign w:val="bottom"/>
            <w:gridSpan w:val="6"/>
          </w:tcPr>
          <w:p>
            <w:pPr>
              <w:jc w:val="right"/>
              <w:ind w:right="330"/>
              <w:spacing w:after="0"/>
              <w:rPr>
                <w:sz w:val="20"/>
                <w:szCs w:val="20"/>
                <w:color w:val="auto"/>
              </w:rPr>
            </w:pPr>
            <w:r>
              <w:rPr>
                <w:rFonts w:ascii="Arial" w:cs="Arial" w:eastAsia="Arial" w:hAnsi="Arial"/>
                <w:sz w:val="18"/>
                <w:szCs w:val="18"/>
                <w:color w:val="auto"/>
                <w:w w:val="97"/>
              </w:rPr>
              <w:t>Retiree Medical and Other Benefits</w:t>
            </w:r>
          </w:p>
        </w:tc>
        <w:tc>
          <w:tcPr>
            <w:tcW w:w="0" w:type="dxa"/>
            <w:vAlign w:val="bottom"/>
          </w:tcPr>
          <w:p>
            <w:pPr>
              <w:spacing w:after="0"/>
              <w:rPr>
                <w:sz w:val="1"/>
                <w:szCs w:val="1"/>
                <w:color w:val="auto"/>
              </w:rPr>
            </w:pPr>
          </w:p>
        </w:tc>
      </w:tr>
      <w:tr>
        <w:trPr>
          <w:trHeight w:val="27"/>
        </w:trPr>
        <w:tc>
          <w:tcPr>
            <w:tcW w:w="44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Six Months Ended June 30,</w:t>
            </w:r>
          </w:p>
        </w:tc>
        <w:tc>
          <w:tcPr>
            <w:tcW w:w="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60" w:type="dxa"/>
            <w:vAlign w:val="bottom"/>
            <w:gridSpan w:val="3"/>
            <w:vMerge w:val="continue"/>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jc w:val="right"/>
              <w:ind w:right="530"/>
              <w:spacing w:after="0"/>
              <w:rPr>
                <w:sz w:val="20"/>
                <w:szCs w:val="20"/>
                <w:color w:val="auto"/>
              </w:rPr>
            </w:pPr>
            <w:r>
              <w:rPr>
                <w:rFonts w:ascii="Arial" w:cs="Arial" w:eastAsia="Arial" w:hAnsi="Arial"/>
                <w:sz w:val="18"/>
                <w:szCs w:val="18"/>
                <w:color w:val="auto"/>
                <w:w w:val="94"/>
              </w:rPr>
              <w:t>2013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4460" w:type="dxa"/>
            <w:vAlign w:val="bottom"/>
            <w:gridSpan w:val="3"/>
            <w:vMerge w:val="restart"/>
          </w:tcPr>
          <w:p>
            <w:pPr>
              <w:ind w:left="40"/>
              <w:spacing w:after="0"/>
              <w:rPr>
                <w:sz w:val="20"/>
                <w:szCs w:val="20"/>
                <w:color w:val="auto"/>
              </w:rPr>
            </w:pPr>
            <w:r>
              <w:rPr>
                <w:rFonts w:ascii="Arial" w:cs="Arial" w:eastAsia="Arial" w:hAnsi="Arial"/>
                <w:sz w:val="18"/>
                <w:szCs w:val="18"/>
                <w:color w:val="auto"/>
              </w:rPr>
              <w:t>Components of net periodic benefit cost:</w:t>
            </w:r>
          </w:p>
        </w:tc>
        <w:tc>
          <w:tcPr>
            <w:tcW w:w="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4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920" w:type="dxa"/>
            <w:vAlign w:val="bottom"/>
            <w:tcBorders>
              <w:top w:val="single" w:sz="8" w:color="auto"/>
            </w:tcBorders>
          </w:tcPr>
          <w:p>
            <w:pPr>
              <w:spacing w:after="0"/>
              <w:rPr>
                <w:sz w:val="5"/>
                <w:szCs w:val="5"/>
                <w:color w:val="auto"/>
              </w:rPr>
            </w:pPr>
          </w:p>
        </w:tc>
        <w:tc>
          <w:tcPr>
            <w:tcW w:w="1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Service cost</w:t>
            </w:r>
          </w:p>
        </w:tc>
        <w:tc>
          <w:tcPr>
            <w:tcW w:w="1060" w:type="dxa"/>
            <w:vAlign w:val="bottom"/>
            <w:tcBorders>
              <w:bottom w:val="single" w:sz="8" w:color="CCEEFF"/>
            </w:tcBorders>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Expected return on assets</w:t>
            </w: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Settlements</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Amortization of:</w:t>
            </w:r>
          </w:p>
        </w:tc>
        <w:tc>
          <w:tcPr>
            <w:tcW w:w="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420" w:type="dxa"/>
            <w:vAlign w:val="bottom"/>
            <w:gridSpan w:val="2"/>
          </w:tcPr>
          <w:p>
            <w:pPr>
              <w:ind w:left="460"/>
              <w:spacing w:after="0"/>
              <w:rPr>
                <w:sz w:val="20"/>
                <w:szCs w:val="20"/>
                <w:color w:val="auto"/>
              </w:rPr>
            </w:pPr>
            <w:r>
              <w:rPr>
                <w:rFonts w:ascii="Arial" w:cs="Arial" w:eastAsia="Arial" w:hAnsi="Arial"/>
                <w:sz w:val="18"/>
                <w:szCs w:val="18"/>
                <w:color w:val="auto"/>
              </w:rPr>
              <w:t>Prior service cost (benefit)</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4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Unrecognized net loss (gain)</w:t>
            </w:r>
          </w:p>
        </w:tc>
        <w:tc>
          <w:tcPr>
            <w:tcW w:w="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Net periodic benefit cost</w:t>
            </w:r>
          </w:p>
        </w:tc>
        <w:tc>
          <w:tcPr>
            <w:tcW w:w="20" w:type="dxa"/>
            <w:vAlign w:val="bottom"/>
          </w:tcPr>
          <w:p>
            <w:pPr>
              <w:spacing w:after="0"/>
              <w:rPr>
                <w:sz w:val="20"/>
                <w:szCs w:val="20"/>
                <w:color w:val="auto"/>
              </w:rPr>
            </w:pPr>
          </w:p>
        </w:tc>
        <w:tc>
          <w:tcPr>
            <w:tcW w:w="104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(104)</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Effective November 1, 2012, American's defined benefit pension plans were frozen.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American is required to make minimum contributions to its defined benefit pension plans under the minimum funding requirements of ERISA, the Pension Funding Equity Act of 2004, the Pension Protection Act of 2006, the Pension Relief Act of 2010, and the Moving Ahead for Progress in the 21st Century Act of 2012. During the first six months of 2014, American contributed $71 million to its defined benefit pension plans. On July 15, 2014, American contributed an additional $37 million to its defined benefit pension plans.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Instruments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Fuel Hedging Contracts</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American has not entered into any fuel hedges since December 9, 2013. As of June 30, 2014, American does not have any fuel hedging contracts outstanding. During the second quarter of 2014, American sold its portfolio of fuel hedging contracts that were scheduled to settle on or after June 30, 2014. The cash proceeds on these sales totaled $71 million which exceeded the current value of the portfolio. Approximately $25 million of the resulting gain was credited to OCI and will be recognized as a credit to fuel expense in the period the hedged fuel is scheduled to be consumed (the third quarter of 2014 through the second quarter of 2015). For the three months ended June 30, 2014 and 2013, American recognized a net gain of approximately $2 million and a net loss of approximately $31 million, respectively, and for the six months ended June 30, 2014 and 2013, American recognized a net gain of less than one million and a net loss of approximately $23 million, respectively, as a component of aircraft fuel expense on the accompanying condensed consolidated statements of operations related to its fuel hedging agreements, including the ineffective portion of the hedges. The impact of aircraft fuel derivative instruments on American's condensed consolidated statements of operations is depicted below (in millions):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0"/>
        <w:spacing w:after="0" w:line="304" w:lineRule="auto"/>
        <w:rPr>
          <w:sz w:val="20"/>
          <w:szCs w:val="20"/>
          <w:color w:val="auto"/>
        </w:rPr>
      </w:pPr>
      <w:r>
        <w:rPr>
          <w:rFonts w:ascii="Arial" w:cs="Arial" w:eastAsia="Arial" w:hAnsi="Arial"/>
          <w:sz w:val="14"/>
          <w:szCs w:val="14"/>
          <w:color w:val="auto"/>
        </w:rPr>
        <w:t>Amount of gain (loss) reclassified from accumulated OCI into income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45" w:lineRule="exact"/>
        <w:rPr>
          <w:sz w:val="20"/>
          <w:szCs w:val="20"/>
          <w:color w:val="auto"/>
        </w:rPr>
      </w:pPr>
    </w:p>
    <w:p>
      <w:pPr>
        <w:ind w:left="40" w:right="120"/>
        <w:spacing w:after="0" w:line="308" w:lineRule="auto"/>
        <w:rPr>
          <w:sz w:val="20"/>
          <w:szCs w:val="20"/>
          <w:color w:val="auto"/>
        </w:rPr>
      </w:pPr>
      <w:r>
        <w:rPr>
          <w:rFonts w:ascii="Arial" w:cs="Arial" w:eastAsia="Arial" w:hAnsi="Arial"/>
          <w:sz w:val="14"/>
          <w:szCs w:val="14"/>
          <w:color w:val="auto"/>
        </w:rPr>
        <w:t xml:space="preserve">Amount of gain (loss) recognized in income on derivative </w:t>
      </w:r>
      <w:r>
        <w:rPr>
          <w:rFonts w:ascii="Arial" w:cs="Arial" w:eastAsia="Arial" w:hAnsi="Arial"/>
          <w:sz w:val="18"/>
          <w:szCs w:val="18"/>
          <w:color w:val="auto"/>
          <w:vertAlign w:val="superscript"/>
        </w:rPr>
        <w:t>(2)</w:t>
      </w:r>
    </w:p>
    <w:p>
      <w:pPr>
        <w:spacing w:after="0" w:line="1" w:lineRule="exact"/>
        <w:rPr>
          <w:sz w:val="20"/>
          <w:szCs w:val="20"/>
          <w:color w:val="auto"/>
        </w:rPr>
      </w:pPr>
    </w:p>
    <w:p>
      <w:pPr>
        <w:ind w:left="40" w:right="120"/>
        <w:spacing w:after="0" w:line="284" w:lineRule="auto"/>
        <w:rPr>
          <w:sz w:val="20"/>
          <w:szCs w:val="20"/>
          <w:color w:val="auto"/>
        </w:rPr>
      </w:pPr>
      <w:r>
        <w:rPr>
          <w:rFonts w:ascii="Arial" w:cs="Arial" w:eastAsia="Arial" w:hAnsi="Arial"/>
          <w:sz w:val="14"/>
          <w:szCs w:val="14"/>
          <w:color w:val="auto"/>
        </w:rPr>
        <w:t xml:space="preserve">Amount of gain (loss) recognized in condensed consolidated statements of operations </w:t>
      </w:r>
      <w:r>
        <w:rPr>
          <w:rFonts w:ascii="Arial" w:cs="Arial" w:eastAsia="Arial" w:hAnsi="Arial"/>
          <w:sz w:val="18"/>
          <w:szCs w:val="18"/>
          <w:color w:val="auto"/>
          <w:vertAlign w:val="superscript"/>
        </w:rPr>
        <w:t>(3)</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Location in condensed</w:t>
            </w:r>
          </w:p>
        </w:tc>
        <w:tc>
          <w:tcPr>
            <w:tcW w:w="180" w:type="dxa"/>
            <w:vAlign w:val="bottom"/>
          </w:tcPr>
          <w:p>
            <w:pPr>
              <w:spacing w:after="0"/>
              <w:rPr>
                <w:sz w:val="16"/>
                <w:szCs w:val="16"/>
                <w:color w:val="auto"/>
              </w:rPr>
            </w:pPr>
          </w:p>
        </w:tc>
        <w:tc>
          <w:tcPr>
            <w:tcW w:w="2380" w:type="dxa"/>
            <w:vAlign w:val="bottom"/>
            <w:gridSpan w:val="5"/>
          </w:tcPr>
          <w:p>
            <w:pPr>
              <w:ind w:left="80"/>
              <w:spacing w:after="0"/>
              <w:rPr>
                <w:sz w:val="20"/>
                <w:szCs w:val="20"/>
                <w:color w:val="auto"/>
              </w:rPr>
            </w:pPr>
            <w:r>
              <w:rPr>
                <w:rFonts w:ascii="Arial" w:cs="Arial" w:eastAsia="Arial" w:hAnsi="Arial"/>
                <w:sz w:val="16"/>
                <w:szCs w:val="16"/>
                <w:color w:val="auto"/>
              </w:rPr>
              <w:t>Three Months Ended June 30,</w:t>
            </w:r>
          </w:p>
        </w:tc>
        <w:tc>
          <w:tcPr>
            <w:tcW w:w="240" w:type="dxa"/>
            <w:vAlign w:val="bottom"/>
          </w:tcPr>
          <w:p>
            <w:pPr>
              <w:spacing w:after="0"/>
              <w:rPr>
                <w:sz w:val="16"/>
                <w:szCs w:val="16"/>
                <w:color w:val="auto"/>
              </w:rPr>
            </w:pPr>
          </w:p>
        </w:tc>
        <w:tc>
          <w:tcPr>
            <w:tcW w:w="2220" w:type="dxa"/>
            <w:vAlign w:val="bottom"/>
            <w:gridSpan w:val="4"/>
          </w:tcPr>
          <w:p>
            <w:pPr>
              <w:jc w:val="right"/>
              <w:ind w:right="239"/>
              <w:spacing w:after="0"/>
              <w:rPr>
                <w:sz w:val="20"/>
                <w:szCs w:val="20"/>
                <w:color w:val="auto"/>
              </w:rPr>
            </w:pPr>
            <w:r>
              <w:rPr>
                <w:rFonts w:ascii="Arial" w:cs="Arial" w:eastAsia="Arial" w:hAnsi="Arial"/>
                <w:sz w:val="16"/>
                <w:szCs w:val="16"/>
                <w:color w:val="auto"/>
                <w:w w:val="96"/>
              </w:rPr>
              <w:t>Six Months Ended June 30,</w:t>
            </w:r>
          </w:p>
        </w:tc>
        <w:tc>
          <w:tcPr>
            <w:tcW w:w="0" w:type="dxa"/>
            <w:vAlign w:val="bottom"/>
          </w:tcPr>
          <w:p>
            <w:pPr>
              <w:spacing w:after="0"/>
              <w:rPr>
                <w:sz w:val="1"/>
                <w:szCs w:val="1"/>
                <w:color w:val="auto"/>
              </w:rPr>
            </w:pPr>
          </w:p>
        </w:tc>
      </w:tr>
      <w:tr>
        <w:trPr>
          <w:trHeight w:val="59"/>
        </w:trPr>
        <w:tc>
          <w:tcPr>
            <w:tcW w:w="16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color w:val="auto"/>
                <w:w w:val="91"/>
              </w:rPr>
              <w:t>consolidated statements</w:t>
            </w:r>
          </w:p>
        </w:tc>
        <w:tc>
          <w:tcPr>
            <w:tcW w:w="1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16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vMerge w:val="restart"/>
          </w:tcPr>
          <w:p>
            <w:pPr>
              <w:jc w:val="right"/>
              <w:ind w:right="359"/>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vMerge w:val="restart"/>
          </w:tcPr>
          <w:p>
            <w:pPr>
              <w:jc w:val="right"/>
              <w:ind w:right="339"/>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vMerge w:val="restart"/>
          </w:tcPr>
          <w:p>
            <w:pPr>
              <w:jc w:val="right"/>
              <w:ind w:right="339"/>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vMerge w:val="restart"/>
          </w:tcPr>
          <w:p>
            <w:pPr>
              <w:jc w:val="right"/>
              <w:ind w:right="339"/>
              <w:spacing w:after="0"/>
              <w:rPr>
                <w:sz w:val="20"/>
                <w:szCs w:val="20"/>
                <w:color w:val="auto"/>
              </w:rPr>
            </w:pPr>
            <w:r>
              <w:rPr>
                <w:rFonts w:ascii="Arial" w:cs="Arial" w:eastAsia="Arial" w:hAnsi="Arial"/>
                <w:sz w:val="16"/>
                <w:szCs w:val="16"/>
                <w:color w:val="auto"/>
              </w:rPr>
              <w:t>2013</w:t>
            </w:r>
          </w:p>
        </w:tc>
        <w:tc>
          <w:tcPr>
            <w:tcW w:w="0" w:type="dxa"/>
            <w:vAlign w:val="bottom"/>
          </w:tcPr>
          <w:p>
            <w:pPr>
              <w:spacing w:after="0"/>
              <w:rPr>
                <w:sz w:val="1"/>
                <w:szCs w:val="1"/>
                <w:color w:val="auto"/>
              </w:rPr>
            </w:pPr>
          </w:p>
        </w:tc>
      </w:tr>
      <w:tr>
        <w:trPr>
          <w:trHeight w:val="188"/>
        </w:trPr>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of operations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7"/>
        </w:trPr>
        <w:tc>
          <w:tcPr>
            <w:tcW w:w="168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Aircraft fuel and</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related taxes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53"/>
        </w:trPr>
        <w:tc>
          <w:tcPr>
            <w:tcW w:w="168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Aircraft fuel and</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related taxes</w:t>
            </w:r>
          </w:p>
        </w:tc>
        <w:tc>
          <w:tcPr>
            <w:tcW w:w="180" w:type="dxa"/>
            <w:vAlign w:val="bottom"/>
          </w:tcPr>
          <w:p>
            <w:pPr>
              <w:spacing w:after="0"/>
              <w:rPr>
                <w:sz w:val="17"/>
                <w:szCs w:val="17"/>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168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6"/>
              </w:rPr>
              <w:t>Aircraft fuel and</w:t>
            </w: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2"/>
        </w:trPr>
        <w:tc>
          <w:tcPr>
            <w:tcW w:w="16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related taxes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-1059180</wp:posOffset>
            </wp:positionV>
            <wp:extent cx="5763260" cy="3689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63260" cy="36893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-398780</wp:posOffset>
            </wp:positionV>
            <wp:extent cx="5763260" cy="420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63260" cy="420370"/>
                    </a:xfrm>
                    <a:prstGeom prst="rect">
                      <a:avLst/>
                    </a:prstGeom>
                    <a:noFill/>
                  </pic:spPr>
                </pic:pic>
              </a:graphicData>
            </a:graphic>
          </wp:anchor>
        </w:drawing>
      </w:r>
    </w:p>
    <w:p>
      <w:pPr>
        <w:spacing w:after="0" w:line="29" w:lineRule="exact"/>
        <w:rPr>
          <w:sz w:val="20"/>
          <w:szCs w:val="20"/>
          <w:color w:val="auto"/>
        </w:rPr>
      </w:pPr>
    </w:p>
    <w:p>
      <w:pPr>
        <w:sectPr>
          <w:pgSz w:w="11900" w:h="16838" w:orient="portrait"/>
          <w:cols w:equalWidth="0" w:num="2">
            <w:col w:w="2340" w:space="40"/>
            <w:col w:w="9040"/>
          </w:cols>
          <w:pgMar w:left="240" w:top="125" w:right="239" w:bottom="1440" w:gutter="0" w:footer="0" w:header="0"/>
          <w:type w:val="continuous"/>
        </w:sectPr>
      </w:pPr>
    </w:p>
    <w:p>
      <w:pPr>
        <w:ind w:left="340" w:hanging="332"/>
        <w:spacing w:after="0" w:line="184" w:lineRule="auto"/>
        <w:tabs>
          <w:tab w:leader="none" w:pos="34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Includes the effective portion of hedge gain (loss)</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23"/>
        </w:numPr>
        <w:rPr>
          <w:rFonts w:ascii="Arial" w:cs="Arial" w:eastAsia="Arial" w:hAnsi="Arial"/>
          <w:sz w:val="24"/>
          <w:szCs w:val="24"/>
          <w:color w:val="auto"/>
          <w:vertAlign w:val="superscript"/>
        </w:rPr>
      </w:pPr>
      <w:r>
        <w:rPr>
          <w:rFonts w:ascii="Arial" w:cs="Arial" w:eastAsia="Arial" w:hAnsi="Arial"/>
          <w:sz w:val="17"/>
          <w:szCs w:val="17"/>
          <w:color w:val="auto"/>
        </w:rPr>
        <w:t>Includes the ineffective portion of hedge gain (loss)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23"/>
        </w:numPr>
        <w:rPr>
          <w:rFonts w:ascii="Arial" w:cs="Arial" w:eastAsia="Arial" w:hAnsi="Arial"/>
          <w:sz w:val="24"/>
          <w:szCs w:val="24"/>
          <w:color w:val="auto"/>
          <w:vertAlign w:val="superscript"/>
        </w:rPr>
      </w:pPr>
      <w:r>
        <w:rPr>
          <w:rFonts w:ascii="Arial" w:cs="Arial" w:eastAsia="Arial" w:hAnsi="Arial"/>
          <w:sz w:val="17"/>
          <w:szCs w:val="17"/>
          <w:color w:val="auto"/>
        </w:rPr>
        <w:t>Includes the effective and ineffective portion of hedge gain (loss)</w:t>
      </w:r>
    </w:p>
    <w:p>
      <w:pPr>
        <w:spacing w:after="0" w:line="20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impact of aircraft fuel derivative instruments on American's condensed consolidated statements of comprehensive income (loss) is depicted below (in millions):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00" w:type="dxa"/>
            <w:vAlign w:val="bottom"/>
            <w:gridSpan w:val="5"/>
          </w:tcPr>
          <w:p>
            <w:pPr>
              <w:ind w:left="60"/>
              <w:spacing w:after="0"/>
              <w:rPr>
                <w:sz w:val="20"/>
                <w:szCs w:val="20"/>
                <w:color w:val="auto"/>
              </w:rPr>
            </w:pPr>
            <w:r>
              <w:rPr>
                <w:rFonts w:ascii="Arial" w:cs="Arial" w:eastAsia="Arial" w:hAnsi="Arial"/>
                <w:sz w:val="16"/>
                <w:szCs w:val="16"/>
                <w:color w:val="auto"/>
              </w:rPr>
              <w:t>Three Months Ended June 30,</w:t>
            </w:r>
          </w:p>
        </w:tc>
        <w:tc>
          <w:tcPr>
            <w:tcW w:w="240" w:type="dxa"/>
            <w:vAlign w:val="bottom"/>
          </w:tcPr>
          <w:p>
            <w:pPr>
              <w:spacing w:after="0"/>
              <w:rPr>
                <w:sz w:val="17"/>
                <w:szCs w:val="17"/>
                <w:color w:val="auto"/>
              </w:rPr>
            </w:pPr>
          </w:p>
        </w:tc>
        <w:tc>
          <w:tcPr>
            <w:tcW w:w="2280" w:type="dxa"/>
            <w:vAlign w:val="bottom"/>
            <w:gridSpan w:val="4"/>
          </w:tcPr>
          <w:p>
            <w:pPr>
              <w:jc w:val="right"/>
              <w:ind w:right="279"/>
              <w:spacing w:after="0"/>
              <w:rPr>
                <w:sz w:val="20"/>
                <w:szCs w:val="20"/>
                <w:color w:val="auto"/>
              </w:rPr>
            </w:pPr>
            <w:r>
              <w:rPr>
                <w:rFonts w:ascii="Arial" w:cs="Arial" w:eastAsia="Arial" w:hAnsi="Arial"/>
                <w:sz w:val="16"/>
                <w:szCs w:val="16"/>
                <w:color w:val="auto"/>
                <w:w w:val="97"/>
              </w:rPr>
              <w:t>Six Months Ended June 30,</w:t>
            </w:r>
          </w:p>
        </w:tc>
      </w:tr>
      <w:tr>
        <w:trPr>
          <w:trHeight w:val="33"/>
        </w:trPr>
        <w:tc>
          <w:tcPr>
            <w:tcW w:w="2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2900" w:type="dxa"/>
            <w:vAlign w:val="bottom"/>
          </w:tcPr>
          <w:p>
            <w:pPr>
              <w:spacing w:after="0"/>
              <w:rPr>
                <w:sz w:val="20"/>
                <w:szCs w:val="20"/>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Location</w:t>
            </w:r>
          </w:p>
        </w:tc>
        <w:tc>
          <w:tcPr>
            <w:tcW w:w="160" w:type="dxa"/>
            <w:vAlign w:val="bottom"/>
          </w:tcPr>
          <w:p>
            <w:pPr>
              <w:spacing w:after="0"/>
              <w:rPr>
                <w:sz w:val="20"/>
                <w:szCs w:val="20"/>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color w:val="auto"/>
              </w:rPr>
              <w:t>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color w:val="auto"/>
              </w:rPr>
              <w:t>2013</w:t>
            </w:r>
          </w:p>
        </w:tc>
      </w:tr>
      <w:tr>
        <w:trPr>
          <w:trHeight w:val="33"/>
        </w:trPr>
        <w:tc>
          <w:tcPr>
            <w:tcW w:w="29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3"/>
        </w:trPr>
        <w:tc>
          <w:tcPr>
            <w:tcW w:w="2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Amount of (gain) loss reclassified from</w:t>
            </w:r>
          </w:p>
        </w:tc>
        <w:tc>
          <w:tcPr>
            <w:tcW w:w="12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Reclassification</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9"/>
        </w:trPr>
        <w:tc>
          <w:tcPr>
            <w:tcW w:w="2900" w:type="dxa"/>
            <w:vAlign w:val="bottom"/>
            <w:shd w:val="clear" w:color="auto" w:fill="CCEEFF"/>
          </w:tcPr>
          <w:p>
            <w:pPr>
              <w:ind w:left="40"/>
              <w:spacing w:after="0" w:line="239" w:lineRule="exact"/>
              <w:rPr>
                <w:sz w:val="20"/>
                <w:szCs w:val="20"/>
                <w:color w:val="auto"/>
              </w:rPr>
            </w:pPr>
            <w:r>
              <w:rPr>
                <w:rFonts w:ascii="Arial" w:cs="Arial" w:eastAsia="Arial" w:hAnsi="Arial"/>
                <w:sz w:val="16"/>
                <w:szCs w:val="16"/>
                <w:color w:val="auto"/>
              </w:rPr>
              <w:t xml:space="preserve">accumulated OCI into income </w:t>
            </w:r>
            <w:r>
              <w:rPr>
                <w:rFonts w:ascii="Arial" w:cs="Arial" w:eastAsia="Arial" w:hAnsi="Arial"/>
                <w:sz w:val="21"/>
                <w:szCs w:val="21"/>
                <w:color w:val="auto"/>
                <w:vertAlign w:val="superscript"/>
              </w:rPr>
              <w:t>(1)</w:t>
            </w:r>
          </w:p>
        </w:tc>
        <w:tc>
          <w:tcPr>
            <w:tcW w:w="12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into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w:t>
            </w:r>
          </w:p>
        </w:tc>
      </w:tr>
      <w:tr>
        <w:trPr>
          <w:trHeight w:val="220"/>
        </w:trPr>
        <w:tc>
          <w:tcPr>
            <w:tcW w:w="2900" w:type="dxa"/>
            <w:vAlign w:val="bottom"/>
          </w:tcPr>
          <w:p>
            <w:pPr>
              <w:ind w:left="40"/>
              <w:spacing w:after="0"/>
              <w:rPr>
                <w:sz w:val="20"/>
                <w:szCs w:val="20"/>
                <w:color w:val="auto"/>
              </w:rPr>
            </w:pPr>
            <w:r>
              <w:rPr>
                <w:rFonts w:ascii="Arial" w:cs="Arial" w:eastAsia="Arial" w:hAnsi="Arial"/>
                <w:sz w:val="16"/>
                <w:szCs w:val="16"/>
                <w:color w:val="auto"/>
              </w:rPr>
              <w:t>Amount of gain (loss) recognized in OCI</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Change in fair</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9"/>
        </w:trPr>
        <w:tc>
          <w:tcPr>
            <w:tcW w:w="2900" w:type="dxa"/>
            <w:vAlign w:val="bottom"/>
          </w:tcPr>
          <w:p>
            <w:pPr>
              <w:ind w:left="40"/>
              <w:spacing w:after="0" w:line="239" w:lineRule="exact"/>
              <w:rPr>
                <w:sz w:val="20"/>
                <w:szCs w:val="20"/>
                <w:color w:val="auto"/>
              </w:rPr>
            </w:pPr>
            <w:r>
              <w:rPr>
                <w:rFonts w:ascii="Arial" w:cs="Arial" w:eastAsia="Arial" w:hAnsi="Arial"/>
                <w:sz w:val="16"/>
                <w:szCs w:val="16"/>
                <w:color w:val="auto"/>
              </w:rPr>
              <w:t xml:space="preserve">on derivative </w:t>
            </w:r>
            <w:r>
              <w:rPr>
                <w:rFonts w:ascii="Arial" w:cs="Arial" w:eastAsia="Arial" w:hAnsi="Arial"/>
                <w:sz w:val="21"/>
                <w:szCs w:val="21"/>
                <w:color w:val="auto"/>
                <w:vertAlign w:val="superscript"/>
              </w:rPr>
              <w:t>(1)</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value</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(70)</w:t>
            </w:r>
          </w:p>
        </w:tc>
      </w:tr>
      <w:tr>
        <w:trPr>
          <w:trHeight w:val="200"/>
        </w:trPr>
        <w:tc>
          <w:tcPr>
            <w:tcW w:w="2900" w:type="dxa"/>
            <w:vAlign w:val="bottom"/>
          </w:tcPr>
          <w:p>
            <w:pPr>
              <w:ind w:left="40"/>
              <w:spacing w:after="0"/>
              <w:rPr>
                <w:sz w:val="20"/>
                <w:szCs w:val="20"/>
                <w:color w:val="auto"/>
              </w:rPr>
            </w:pPr>
            <w:r>
              <w:rPr>
                <w:rFonts w:ascii="Arial" w:cs="Arial" w:eastAsia="Arial" w:hAnsi="Arial"/>
                <w:sz w:val="16"/>
                <w:szCs w:val="16"/>
                <w:color w:val="auto"/>
              </w:rPr>
              <w:t>Amount of gain (loss) recognized in</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900" w:type="dxa"/>
            <w:vAlign w:val="bottom"/>
          </w:tcPr>
          <w:p>
            <w:pPr>
              <w:ind w:left="40"/>
              <w:spacing w:after="0"/>
              <w:rPr>
                <w:sz w:val="20"/>
                <w:szCs w:val="20"/>
                <w:color w:val="auto"/>
              </w:rPr>
            </w:pPr>
            <w:r>
              <w:rPr>
                <w:rFonts w:ascii="Arial" w:cs="Arial" w:eastAsia="Arial" w:hAnsi="Arial"/>
                <w:sz w:val="16"/>
                <w:szCs w:val="16"/>
                <w:color w:val="auto"/>
              </w:rPr>
              <w:t>condensed consolidated statements of</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6"/>
        </w:trPr>
        <w:tc>
          <w:tcPr>
            <w:tcW w:w="290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5754370" cy="420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420370"/>
                    </a:xfrm>
                    <a:prstGeom prst="rect">
                      <a:avLst/>
                    </a:prstGeom>
                    <a:noFill/>
                  </pic:spPr>
                </pic:pic>
              </a:graphicData>
            </a:graphic>
          </wp:anchor>
        </w:drawing>
      </w:r>
    </w:p>
    <w:p>
      <w:pPr>
        <w:ind w:left="340" w:hanging="332"/>
        <w:spacing w:after="0" w:line="207" w:lineRule="auto"/>
        <w:tabs>
          <w:tab w:leader="none" w:pos="34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Includes the effective portion of hedge gain (loss)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certain of American's fuel derivatives were subject to enforceable master netting agreements with its counterparties, American did not offset its fuel derivative assets and liabilities in its condensed consolidated balance sheets. American had a gross asset of $109 million as of December 31, 2013 for its aircraft fuel derivative instruments, which was reflected in Prepaid expenses and other on the accompanying condensed consolidated balance sheet. American had no cash collateral posted or received as of December 31, 2013.</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Accumulated Other Comprehensive Income (Loss)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accumulated other comprehensive income (loss) are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Net unrealized</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color w:val="auto"/>
                <w:w w:val="95"/>
              </w:rPr>
              <w:t>Derivative</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Pension and retiree</w:t>
            </w: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color w:val="auto"/>
                <w:w w:val="88"/>
              </w:rPr>
              <w:t>change on</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financial</w:t>
            </w:r>
          </w:p>
        </w:tc>
        <w:tc>
          <w:tcPr>
            <w:tcW w:w="16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color w:val="auto"/>
              </w:rPr>
              <w:t>Income tax</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6"/>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6"/>
                <w:szCs w:val="16"/>
                <w:color w:val="auto"/>
                <w:w w:val="98"/>
              </w:rPr>
              <w:t>medical liability</w:t>
            </w: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investments</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instruments</w:t>
            </w:r>
          </w:p>
        </w:tc>
        <w:tc>
          <w:tcPr>
            <w:tcW w:w="1240" w:type="dxa"/>
            <w:vAlign w:val="bottom"/>
            <w:gridSpan w:val="3"/>
          </w:tcPr>
          <w:p>
            <w:pPr>
              <w:ind w:left="40"/>
              <w:spacing w:after="0"/>
              <w:rPr>
                <w:sz w:val="20"/>
                <w:szCs w:val="20"/>
                <w:color w:val="auto"/>
              </w:rPr>
            </w:pPr>
            <w:r>
              <w:rPr>
                <w:rFonts w:ascii="Arial" w:cs="Arial" w:eastAsia="Arial" w:hAnsi="Arial"/>
                <w:sz w:val="16"/>
                <w:szCs w:val="16"/>
                <w:color w:val="auto"/>
                <w:w w:val="98"/>
              </w:rPr>
              <w:t>benefit(expense)</w:t>
            </w:r>
          </w:p>
        </w:tc>
        <w:tc>
          <w:tcPr>
            <w:tcW w:w="260" w:type="dxa"/>
            <w:vAlign w:val="bottom"/>
          </w:tcPr>
          <w:p>
            <w:pPr>
              <w:spacing w:after="0"/>
              <w:rPr>
                <w:sz w:val="17"/>
                <w:szCs w:val="17"/>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color w:val="auto"/>
              </w:rPr>
              <w:t>Total</w:t>
            </w:r>
          </w:p>
        </w:tc>
      </w:tr>
      <w:tr>
        <w:trPr>
          <w:trHeight w:val="33"/>
        </w:trPr>
        <w:tc>
          <w:tcPr>
            <w:tcW w:w="4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(2,152)</w:t>
            </w: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Other comprehensive loss before reclassifications</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Amounts reclassified from accumulated other comprehensive</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57"/>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w:t>
            </w:r>
          </w:p>
        </w:tc>
      </w:tr>
      <w:tr>
        <w:trPr>
          <w:trHeight w:val="237"/>
        </w:trPr>
        <w:tc>
          <w:tcPr>
            <w:tcW w:w="4820" w:type="dxa"/>
            <w:vAlign w:val="bottom"/>
          </w:tcPr>
          <w:p>
            <w:pPr>
              <w:ind w:left="280"/>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186</w:t>
            </w:r>
          </w:p>
        </w:tc>
      </w:tr>
      <w:tr>
        <w:trPr>
          <w:trHeight w:val="27"/>
        </w:trPr>
        <w:tc>
          <w:tcPr>
            <w:tcW w:w="4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4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Balance at June 30, 2014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(1,966)</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Reclassifications out of accumulated other comprehensive income (loss) for the three and six months ended June 30, 2014 and 2013 are as follows (in millions):</w:t>
      </w:r>
    </w:p>
    <w:p>
      <w:pPr>
        <w:spacing w:after="0" w:line="116" w:lineRule="exact"/>
        <w:rPr>
          <w:sz w:val="20"/>
          <w:szCs w:val="20"/>
          <w:color w:val="auto"/>
        </w:rPr>
      </w:pPr>
    </w:p>
    <w:p>
      <w:pPr>
        <w:jc w:val="center"/>
        <w:ind w:right="1920"/>
        <w:spacing w:after="0"/>
        <w:rPr>
          <w:sz w:val="20"/>
          <w:szCs w:val="20"/>
          <w:color w:val="auto"/>
        </w:rPr>
      </w:pPr>
      <w:r>
        <w:rPr>
          <w:rFonts w:ascii="Arial" w:cs="Arial" w:eastAsia="Arial" w:hAnsi="Arial"/>
          <w:sz w:val="18"/>
          <w:szCs w:val="18"/>
          <w:color w:val="auto"/>
        </w:rPr>
        <w:t>Amount reclassified from accumulated other</w:t>
      </w:r>
    </w:p>
    <w:p>
      <w:pPr>
        <w:spacing w:after="0" w:line="23" w:lineRule="exact"/>
        <w:rPr>
          <w:sz w:val="20"/>
          <w:szCs w:val="20"/>
          <w:color w:val="auto"/>
        </w:rPr>
      </w:pPr>
    </w:p>
    <w:p>
      <w:pPr>
        <w:jc w:val="center"/>
        <w:ind w:right="1920"/>
        <w:spacing w:after="0"/>
        <w:rPr>
          <w:sz w:val="20"/>
          <w:szCs w:val="20"/>
          <w:color w:val="auto"/>
        </w:rPr>
      </w:pPr>
      <w:r>
        <w:rPr>
          <w:rFonts w:ascii="Arial" w:cs="Arial" w:eastAsia="Arial" w:hAnsi="Arial"/>
          <w:sz w:val="18"/>
          <w:szCs w:val="18"/>
          <w:color w:val="auto"/>
        </w:rPr>
        <w:t>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22860</wp:posOffset>
            </wp:positionV>
            <wp:extent cx="22980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gridSpan w:val="2"/>
            <w:vMerge w:val="restart"/>
          </w:tcPr>
          <w:p>
            <w:pPr>
              <w:ind w:left="40"/>
              <w:spacing w:after="0"/>
              <w:rPr>
                <w:sz w:val="20"/>
                <w:szCs w:val="20"/>
                <w:color w:val="auto"/>
              </w:rPr>
            </w:pPr>
            <w:r>
              <w:rPr>
                <w:rFonts w:ascii="Arial" w:cs="Arial" w:eastAsia="Arial" w:hAnsi="Arial"/>
                <w:sz w:val="18"/>
                <w:szCs w:val="18"/>
                <w:color w:val="auto"/>
              </w:rPr>
              <w:t>Details about accumulated other</w:t>
            </w:r>
          </w:p>
        </w:tc>
        <w:tc>
          <w:tcPr>
            <w:tcW w:w="1820" w:type="dxa"/>
            <w:vAlign w:val="bottom"/>
            <w:gridSpan w:val="6"/>
          </w:tcPr>
          <w:p>
            <w:pPr>
              <w:jc w:val="center"/>
              <w:ind w:right="100"/>
              <w:spacing w:after="0"/>
              <w:rPr>
                <w:sz w:val="20"/>
                <w:szCs w:val="20"/>
                <w:color w:val="auto"/>
              </w:rPr>
            </w:pPr>
            <w:r>
              <w:rPr>
                <w:rFonts w:ascii="Arial" w:cs="Arial" w:eastAsia="Arial" w:hAnsi="Arial"/>
                <w:sz w:val="18"/>
                <w:szCs w:val="18"/>
                <w:color w:val="auto"/>
                <w:w w:val="90"/>
              </w:rPr>
              <w:t>Three Months Ended</w:t>
            </w:r>
          </w:p>
        </w:tc>
        <w:tc>
          <w:tcPr>
            <w:tcW w:w="160" w:type="dxa"/>
            <w:vAlign w:val="bottom"/>
          </w:tcPr>
          <w:p>
            <w:pPr>
              <w:spacing w:after="0"/>
              <w:rPr>
                <w:sz w:val="18"/>
                <w:szCs w:val="18"/>
                <w:color w:val="auto"/>
              </w:rPr>
            </w:pPr>
          </w:p>
        </w:tc>
        <w:tc>
          <w:tcPr>
            <w:tcW w:w="1540" w:type="dxa"/>
            <w:vAlign w:val="bottom"/>
            <w:gridSpan w:val="4"/>
          </w:tcPr>
          <w:p>
            <w:pPr>
              <w:jc w:val="right"/>
              <w:ind w:right="90"/>
              <w:spacing w:after="0"/>
              <w:rPr>
                <w:sz w:val="20"/>
                <w:szCs w:val="20"/>
                <w:color w:val="auto"/>
              </w:rPr>
            </w:pPr>
            <w:r>
              <w:rPr>
                <w:rFonts w:ascii="Arial" w:cs="Arial" w:eastAsia="Arial" w:hAnsi="Arial"/>
                <w:sz w:val="18"/>
                <w:szCs w:val="18"/>
                <w:color w:val="auto"/>
                <w:w w:val="91"/>
              </w:rPr>
              <w:t>Six Months Ended</w:t>
            </w:r>
          </w:p>
        </w:tc>
        <w:tc>
          <w:tcPr>
            <w:tcW w:w="100" w:type="dxa"/>
            <w:vAlign w:val="bottom"/>
          </w:tcPr>
          <w:p>
            <w:pPr>
              <w:spacing w:after="0"/>
              <w:rPr>
                <w:sz w:val="18"/>
                <w:szCs w:val="18"/>
                <w:color w:val="auto"/>
              </w:rPr>
            </w:pPr>
          </w:p>
        </w:tc>
        <w:tc>
          <w:tcPr>
            <w:tcW w:w="2440" w:type="dxa"/>
            <w:vAlign w:val="bottom"/>
            <w:vMerge w:val="restart"/>
          </w:tcPr>
          <w:p>
            <w:pPr>
              <w:jc w:val="center"/>
              <w:spacing w:after="0"/>
              <w:rPr>
                <w:sz w:val="20"/>
                <w:szCs w:val="20"/>
                <w:color w:val="auto"/>
              </w:rPr>
            </w:pPr>
            <w:r>
              <w:rPr>
                <w:rFonts w:ascii="Arial" w:cs="Arial" w:eastAsia="Arial" w:hAnsi="Arial"/>
                <w:sz w:val="18"/>
                <w:szCs w:val="18"/>
                <w:color w:val="auto"/>
                <w:w w:val="94"/>
              </w:rPr>
              <w:t>Affected line item in the</w:t>
            </w:r>
          </w:p>
        </w:tc>
        <w:tc>
          <w:tcPr>
            <w:tcW w:w="0" w:type="dxa"/>
            <w:vAlign w:val="bottom"/>
          </w:tcPr>
          <w:p>
            <w:pPr>
              <w:spacing w:after="0"/>
              <w:rPr>
                <w:sz w:val="1"/>
                <w:szCs w:val="1"/>
                <w:color w:val="auto"/>
              </w:rPr>
            </w:pPr>
          </w:p>
        </w:tc>
      </w:tr>
      <w:tr>
        <w:trPr>
          <w:trHeight w:val="68"/>
        </w:trPr>
        <w:tc>
          <w:tcPr>
            <w:tcW w:w="29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640" w:type="dxa"/>
            <w:vAlign w:val="bottom"/>
            <w:gridSpan w:val="5"/>
            <w:vMerge w:val="restart"/>
          </w:tcPr>
          <w:p>
            <w:pPr>
              <w:jc w:val="center"/>
              <w:ind w:right="280"/>
              <w:spacing w:after="0"/>
              <w:rPr>
                <w:sz w:val="20"/>
                <w:szCs w:val="20"/>
                <w:color w:val="auto"/>
              </w:rPr>
            </w:pPr>
            <w:r>
              <w:rPr>
                <w:rFonts w:ascii="Arial" w:cs="Arial" w:eastAsia="Arial" w:hAnsi="Arial"/>
                <w:sz w:val="18"/>
                <w:szCs w:val="18"/>
                <w:color w:val="auto"/>
                <w:w w:val="86"/>
              </w:rPr>
              <w:t>June 30,</w:t>
            </w:r>
          </w:p>
        </w:tc>
        <w:tc>
          <w:tcPr>
            <w:tcW w:w="160" w:type="dxa"/>
            <w:vAlign w:val="bottom"/>
          </w:tcPr>
          <w:p>
            <w:pPr>
              <w:spacing w:after="0"/>
              <w:rPr>
                <w:sz w:val="5"/>
                <w:szCs w:val="5"/>
                <w:color w:val="auto"/>
              </w:rPr>
            </w:pPr>
          </w:p>
        </w:tc>
        <w:tc>
          <w:tcPr>
            <w:tcW w:w="1540" w:type="dxa"/>
            <w:vAlign w:val="bottom"/>
            <w:gridSpan w:val="4"/>
            <w:vMerge w:val="restart"/>
          </w:tcPr>
          <w:p>
            <w:pPr>
              <w:jc w:val="right"/>
              <w:ind w:right="450"/>
              <w:spacing w:after="0"/>
              <w:rPr>
                <w:sz w:val="20"/>
                <w:szCs w:val="20"/>
                <w:color w:val="auto"/>
              </w:rPr>
            </w:pPr>
            <w:r>
              <w:rPr>
                <w:rFonts w:ascii="Arial" w:cs="Arial" w:eastAsia="Arial" w:hAnsi="Arial"/>
                <w:sz w:val="18"/>
                <w:szCs w:val="18"/>
                <w:color w:val="auto"/>
              </w:rPr>
              <w:t>June 30,</w:t>
            </w:r>
          </w:p>
        </w:tc>
        <w:tc>
          <w:tcPr>
            <w:tcW w:w="100" w:type="dxa"/>
            <w:vAlign w:val="bottom"/>
          </w:tcPr>
          <w:p>
            <w:pPr>
              <w:spacing w:after="0"/>
              <w:rPr>
                <w:sz w:val="5"/>
                <w:szCs w:val="5"/>
                <w:color w:val="auto"/>
              </w:rPr>
            </w:pPr>
          </w:p>
        </w:tc>
        <w:tc>
          <w:tcPr>
            <w:tcW w:w="2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920" w:type="dxa"/>
            <w:vAlign w:val="bottom"/>
            <w:gridSpan w:val="2"/>
            <w:vMerge w:val="restart"/>
          </w:tcPr>
          <w:p>
            <w:pPr>
              <w:ind w:left="40"/>
              <w:spacing w:after="0" w:line="190" w:lineRule="exact"/>
              <w:rPr>
                <w:sz w:val="20"/>
                <w:szCs w:val="20"/>
                <w:color w:val="auto"/>
              </w:rPr>
            </w:pPr>
            <w:r>
              <w:rPr>
                <w:rFonts w:ascii="Arial" w:cs="Arial" w:eastAsia="Arial" w:hAnsi="Arial"/>
                <w:sz w:val="18"/>
                <w:szCs w:val="18"/>
                <w:color w:val="auto"/>
              </w:rPr>
              <w:t>comprehensive income (loss)</w:t>
            </w:r>
          </w:p>
        </w:tc>
        <w:tc>
          <w:tcPr>
            <w:tcW w:w="180" w:type="dxa"/>
            <w:vAlign w:val="bottom"/>
          </w:tcPr>
          <w:p>
            <w:pPr>
              <w:spacing w:after="0"/>
              <w:rPr>
                <w:sz w:val="14"/>
                <w:szCs w:val="14"/>
                <w:color w:val="auto"/>
              </w:rPr>
            </w:pPr>
          </w:p>
        </w:tc>
        <w:tc>
          <w:tcPr>
            <w:tcW w:w="164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vMerge w:val="restart"/>
          </w:tcPr>
          <w:p>
            <w:pPr>
              <w:jc w:val="center"/>
              <w:spacing w:after="0" w:line="190" w:lineRule="exact"/>
              <w:rPr>
                <w:sz w:val="20"/>
                <w:szCs w:val="20"/>
                <w:color w:val="auto"/>
              </w:rPr>
            </w:pPr>
            <w:r>
              <w:rPr>
                <w:rFonts w:ascii="Arial" w:cs="Arial" w:eastAsia="Arial" w:hAnsi="Arial"/>
                <w:sz w:val="18"/>
                <w:szCs w:val="18"/>
                <w:color w:val="auto"/>
                <w:w w:val="89"/>
              </w:rPr>
              <w:t>statement where net income</w:t>
            </w:r>
          </w:p>
        </w:tc>
        <w:tc>
          <w:tcPr>
            <w:tcW w:w="0" w:type="dxa"/>
            <w:vAlign w:val="bottom"/>
          </w:tcPr>
          <w:p>
            <w:pPr>
              <w:spacing w:after="0"/>
              <w:rPr>
                <w:sz w:val="1"/>
                <w:szCs w:val="1"/>
                <w:color w:val="auto"/>
              </w:rPr>
            </w:pPr>
          </w:p>
        </w:tc>
      </w:tr>
      <w:tr>
        <w:trPr>
          <w:trHeight w:val="27"/>
        </w:trPr>
        <w:tc>
          <w:tcPr>
            <w:tcW w:w="2920" w:type="dxa"/>
            <w:vAlign w:val="bottom"/>
            <w:gridSpan w:val="2"/>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920" w:type="dxa"/>
            <w:vAlign w:val="bottom"/>
            <w:gridSpan w:val="2"/>
          </w:tcPr>
          <w:p>
            <w:pPr>
              <w:ind w:left="40"/>
              <w:spacing w:after="0"/>
              <w:rPr>
                <w:sz w:val="20"/>
                <w:szCs w:val="20"/>
                <w:color w:val="auto"/>
              </w:rPr>
            </w:pPr>
            <w:r>
              <w:rPr>
                <w:rFonts w:ascii="Arial" w:cs="Arial" w:eastAsia="Arial" w:hAnsi="Arial"/>
                <w:sz w:val="18"/>
                <w:szCs w:val="18"/>
                <w:color w:val="auto"/>
              </w:rPr>
              <w:t>components</w:t>
            </w:r>
          </w:p>
        </w:tc>
        <w:tc>
          <w:tcPr>
            <w:tcW w:w="18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w w:val="94"/>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color w:val="auto"/>
                <w:w w:val="94"/>
              </w:rPr>
              <w:t>2013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99"/>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99"/>
              </w:rPr>
              <w:t>2013</w:t>
            </w:r>
          </w:p>
        </w:tc>
        <w:tc>
          <w:tcPr>
            <w:tcW w:w="10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(loss) is presented</w:t>
            </w:r>
          </w:p>
        </w:tc>
        <w:tc>
          <w:tcPr>
            <w:tcW w:w="0" w:type="dxa"/>
            <w:vAlign w:val="bottom"/>
          </w:tcPr>
          <w:p>
            <w:pPr>
              <w:spacing w:after="0"/>
              <w:rPr>
                <w:sz w:val="1"/>
                <w:szCs w:val="1"/>
                <w:color w:val="auto"/>
              </w:rPr>
            </w:pPr>
          </w:p>
        </w:tc>
      </w:tr>
      <w:tr>
        <w:trPr>
          <w:trHeight w:val="27"/>
        </w:trPr>
        <w:tc>
          <w:tcPr>
            <w:tcW w:w="2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pension and retiree</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medical liability:</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20" w:type="dxa"/>
            <w:vAlign w:val="bottom"/>
            <w:gridSpan w:val="2"/>
          </w:tcPr>
          <w:p>
            <w:pPr>
              <w:ind w:left="280"/>
              <w:spacing w:after="0"/>
              <w:rPr>
                <w:sz w:val="20"/>
                <w:szCs w:val="20"/>
                <w:color w:val="auto"/>
              </w:rPr>
            </w:pPr>
            <w:r>
              <w:rPr>
                <w:rFonts w:ascii="Arial" w:cs="Arial" w:eastAsia="Arial" w:hAnsi="Arial"/>
                <w:sz w:val="18"/>
                <w:szCs w:val="18"/>
                <w:color w:val="auto"/>
              </w:rPr>
              <w:t>Prior service cost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180" w:type="dxa"/>
            <w:vAlign w:val="bottom"/>
            <w:gridSpan w:val="3"/>
          </w:tcPr>
          <w:p>
            <w:pPr>
              <w:ind w:left="220"/>
              <w:spacing w:after="0"/>
              <w:rPr>
                <w:sz w:val="20"/>
                <w:szCs w:val="20"/>
                <w:color w:val="auto"/>
              </w:rPr>
            </w:pPr>
            <w:r>
              <w:rPr>
                <w:rFonts w:ascii="Arial" w:cs="Arial" w:eastAsia="Arial" w:hAnsi="Arial"/>
                <w:sz w:val="18"/>
                <w:szCs w:val="18"/>
                <w:color w:val="auto"/>
              </w:rPr>
              <w:t>(108)  Salaries, wages and benefits</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Actuarial loss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42   Salaries, wages and benefits</w:t>
            </w:r>
          </w:p>
        </w:tc>
        <w:tc>
          <w:tcPr>
            <w:tcW w:w="0" w:type="dxa"/>
            <w:vAlign w:val="bottom"/>
          </w:tcPr>
          <w:p>
            <w:pPr>
              <w:spacing w:after="0"/>
              <w:rPr>
                <w:sz w:val="1"/>
                <w:szCs w:val="1"/>
                <w:color w:val="auto"/>
              </w:rPr>
            </w:pPr>
          </w:p>
        </w:tc>
      </w:tr>
      <w:tr>
        <w:trPr>
          <w:trHeight w:val="243"/>
        </w:trPr>
        <w:tc>
          <w:tcPr>
            <w:tcW w:w="2920" w:type="dxa"/>
            <w:vAlign w:val="bottom"/>
            <w:gridSpan w:val="2"/>
          </w:tcPr>
          <w:p>
            <w:pPr>
              <w:ind w:left="40"/>
              <w:spacing w:after="0"/>
              <w:rPr>
                <w:sz w:val="20"/>
                <w:szCs w:val="20"/>
                <w:color w:val="auto"/>
              </w:rPr>
            </w:pPr>
            <w:r>
              <w:rPr>
                <w:rFonts w:ascii="Arial" w:cs="Arial" w:eastAsia="Arial" w:hAnsi="Arial"/>
                <w:sz w:val="18"/>
                <w:szCs w:val="18"/>
                <w:color w:val="auto"/>
              </w:rPr>
              <w:t>Derivative financial instruments:</w:t>
            </w: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flow hedges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12   Aircraft fuel and related taxes</w:t>
            </w:r>
          </w:p>
        </w:tc>
        <w:tc>
          <w:tcPr>
            <w:tcW w:w="0" w:type="dxa"/>
            <w:vAlign w:val="bottom"/>
          </w:tcPr>
          <w:p>
            <w:pPr>
              <w:spacing w:after="0"/>
              <w:rPr>
                <w:sz w:val="1"/>
                <w:szCs w:val="1"/>
                <w:color w:val="auto"/>
              </w:rPr>
            </w:pPr>
          </w:p>
        </w:tc>
      </w:tr>
      <w:tr>
        <w:trPr>
          <w:trHeight w:val="229"/>
        </w:trPr>
        <w:tc>
          <w:tcPr>
            <w:tcW w:w="2920" w:type="dxa"/>
            <w:vAlign w:val="bottom"/>
            <w:gridSpan w:val="2"/>
          </w:tcPr>
          <w:p>
            <w:pPr>
              <w:ind w:left="40"/>
              <w:spacing w:after="0"/>
              <w:rPr>
                <w:sz w:val="20"/>
                <w:szCs w:val="20"/>
                <w:color w:val="auto"/>
              </w:rPr>
            </w:pPr>
            <w:r>
              <w:rPr>
                <w:rFonts w:ascii="Arial" w:cs="Arial" w:eastAsia="Arial" w:hAnsi="Arial"/>
                <w:sz w:val="18"/>
                <w:szCs w:val="18"/>
                <w:color w:val="auto"/>
              </w:rPr>
              <w:t>Net unrealized change on</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40"/>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change in value</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243"/>
        </w:trPr>
        <w:tc>
          <w:tcPr>
            <w:tcW w:w="2920" w:type="dxa"/>
            <w:vAlign w:val="bottom"/>
            <w:gridSpan w:val="2"/>
          </w:tcPr>
          <w:p>
            <w:pPr>
              <w:ind w:left="40"/>
              <w:spacing w:after="0"/>
              <w:rPr>
                <w:sz w:val="20"/>
                <w:szCs w:val="20"/>
                <w:color w:val="auto"/>
              </w:rPr>
            </w:pPr>
            <w:r>
              <w:rPr>
                <w:rFonts w:ascii="Arial" w:cs="Arial" w:eastAsia="Arial" w:hAnsi="Arial"/>
                <w:sz w:val="18"/>
                <w:szCs w:val="18"/>
                <w:color w:val="auto"/>
              </w:rPr>
              <w:t>Income tax benefit (expense):</w:t>
            </w: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4"/>
              </w:rPr>
              <w:t>Reversal of non-cash tax provision</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318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   Income tax provision (benefit)</w:t>
            </w:r>
          </w:p>
        </w:tc>
        <w:tc>
          <w:tcPr>
            <w:tcW w:w="0" w:type="dxa"/>
            <w:vAlign w:val="bottom"/>
          </w:tcPr>
          <w:p>
            <w:pPr>
              <w:spacing w:after="0"/>
              <w:rPr>
                <w:sz w:val="1"/>
                <w:szCs w:val="1"/>
                <w:color w:val="auto"/>
              </w:rPr>
            </w:pPr>
          </w:p>
        </w:tc>
      </w:tr>
      <w:tr>
        <w:trPr>
          <w:trHeight w:val="257"/>
        </w:trPr>
        <w:tc>
          <w:tcPr>
            <w:tcW w:w="2920" w:type="dxa"/>
            <w:vAlign w:val="bottom"/>
            <w:gridSpan w:val="2"/>
          </w:tcPr>
          <w:p>
            <w:pPr>
              <w:ind w:left="40"/>
              <w:spacing w:after="0"/>
              <w:rPr>
                <w:sz w:val="20"/>
                <w:szCs w:val="20"/>
                <w:color w:val="auto"/>
              </w:rPr>
            </w:pPr>
            <w:r>
              <w:rPr>
                <w:rFonts w:ascii="Arial" w:cs="Arial" w:eastAsia="Arial" w:hAnsi="Arial"/>
                <w:sz w:val="18"/>
                <w:szCs w:val="18"/>
                <w:color w:val="auto"/>
              </w:rPr>
              <w:t>Total reclassifications for the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the second quarter of 2014, American sold its portfolio of fuel hedging contracts that were scheduled to settle on or after June 30, 2014. In connection with this sale, American recorded a special non-cash tax provision of $328 million in the statement of operations for the second quarter of 2014 that reverses the non-cash tax provision which was recorded in OCI, a subset of stockholders’ equity, principally in 2009. This provision represents the tax effect associated with gains recorded in OCI principally in 2009 due to a net increase in the fair value of American's fuel hedging contracts. In accordance with GAAP, American retained the $328 million tax provision in OCI until the last contract was settled or terminated. The 2014 six month period included the $328 million non-cash tax provision related to the settlement of fuel hedges discussed above.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Regional Expenses</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Expenses associated with American's third-party regional carriers operating under the brand name American Eagle are classified as Regional expenses on the condensed consolidated statements of operations. Regional expenses consist of the following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2600" w:type="dxa"/>
            <w:vAlign w:val="bottom"/>
            <w:gridSpan w:val="6"/>
          </w:tcPr>
          <w:p>
            <w:pPr>
              <w:ind w:left="180"/>
              <w:spacing w:after="0"/>
              <w:rPr>
                <w:sz w:val="20"/>
                <w:szCs w:val="20"/>
                <w:color w:val="auto"/>
              </w:rPr>
            </w:pPr>
            <w:r>
              <w:rPr>
                <w:rFonts w:ascii="Arial" w:cs="Arial" w:eastAsia="Arial" w:hAnsi="Arial"/>
                <w:sz w:val="18"/>
                <w:szCs w:val="18"/>
                <w:color w:val="auto"/>
                <w:w w:val="99"/>
              </w:rPr>
              <w:t>Three Months Ended June 30,</w:t>
            </w:r>
          </w:p>
        </w:tc>
        <w:tc>
          <w:tcPr>
            <w:tcW w:w="200" w:type="dxa"/>
            <w:vAlign w:val="bottom"/>
          </w:tcPr>
          <w:p>
            <w:pPr>
              <w:spacing w:after="0"/>
              <w:rPr>
                <w:sz w:val="20"/>
                <w:szCs w:val="20"/>
                <w:color w:val="auto"/>
              </w:rPr>
            </w:pPr>
          </w:p>
        </w:tc>
        <w:tc>
          <w:tcPr>
            <w:tcW w:w="2300" w:type="dxa"/>
            <w:vAlign w:val="bottom"/>
            <w:gridSpan w:val="4"/>
          </w:tcPr>
          <w:p>
            <w:pPr>
              <w:jc w:val="right"/>
              <w:ind w:right="150"/>
              <w:spacing w:after="0"/>
              <w:rPr>
                <w:sz w:val="20"/>
                <w:szCs w:val="20"/>
                <w:color w:val="auto"/>
              </w:rPr>
            </w:pPr>
            <w:r>
              <w:rPr>
                <w:rFonts w:ascii="Arial" w:cs="Arial" w:eastAsia="Arial" w:hAnsi="Arial"/>
                <w:sz w:val="18"/>
                <w:szCs w:val="18"/>
                <w:color w:val="auto"/>
                <w:w w:val="92"/>
              </w:rPr>
              <w:t>Six Months Ended June 30,</w:t>
            </w:r>
          </w:p>
        </w:tc>
      </w:tr>
      <w:tr>
        <w:trPr>
          <w:trHeight w:val="27"/>
        </w:trPr>
        <w:tc>
          <w:tcPr>
            <w:tcW w:w="39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9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2014</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2013</w:t>
            </w:r>
          </w:p>
        </w:tc>
      </w:tr>
      <w:tr>
        <w:trPr>
          <w:trHeight w:val="27"/>
        </w:trPr>
        <w:tc>
          <w:tcPr>
            <w:tcW w:w="39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Salaries, wages and benefits</w:t>
            </w:r>
          </w:p>
        </w:tc>
        <w:tc>
          <w:tcPr>
            <w:tcW w:w="8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3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Capacity purchases from third-party regional carriers</w:t>
            </w:r>
          </w:p>
        </w:tc>
        <w:tc>
          <w:tcPr>
            <w:tcW w:w="8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Maintenance, materials and repairs</w:t>
            </w:r>
          </w:p>
        </w:tc>
        <w:tc>
          <w:tcPr>
            <w:tcW w:w="8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3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rent and landing fees</w:t>
            </w:r>
          </w:p>
        </w:tc>
        <w:tc>
          <w:tcPr>
            <w:tcW w:w="8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Selling expenses</w:t>
            </w:r>
          </w:p>
        </w:tc>
        <w:tc>
          <w:tcPr>
            <w:tcW w:w="8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3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8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Special items, net</w:t>
            </w:r>
          </w:p>
        </w:tc>
        <w:tc>
          <w:tcPr>
            <w:tcW w:w="8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37"/>
        </w:trPr>
        <w:tc>
          <w:tcPr>
            <w:tcW w:w="3920" w:type="dxa"/>
            <w:vAlign w:val="bottom"/>
          </w:tcPr>
          <w:p>
            <w:pPr>
              <w:ind w:left="280"/>
              <w:spacing w:after="0"/>
              <w:rPr>
                <w:sz w:val="20"/>
                <w:szCs w:val="20"/>
                <w:color w:val="auto"/>
              </w:rPr>
            </w:pPr>
            <w:r>
              <w:rPr>
                <w:rFonts w:ascii="Arial" w:cs="Arial" w:eastAsia="Arial" w:hAnsi="Arial"/>
                <w:sz w:val="18"/>
                <w:szCs w:val="18"/>
                <w:color w:val="auto"/>
              </w:rPr>
              <w:t>Total regional expenses</w:t>
            </w:r>
          </w:p>
        </w:tc>
        <w:tc>
          <w:tcPr>
            <w:tcW w:w="82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804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1,528</w:t>
            </w:r>
          </w:p>
        </w:tc>
      </w:tr>
      <w:tr>
        <w:trPr>
          <w:trHeight w:val="27"/>
        </w:trPr>
        <w:tc>
          <w:tcPr>
            <w:tcW w:w="39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3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American invests funds, including funds of certain affiliates, if any, in a combined short-term investment portfolio and passes through interest income on such funds at the average rate earned on the portfolio. These amounts are classified as Receivable to affiliates and Payable to affiliates on the accompanying condensed consolidated balance sheets.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ind w:left="660"/>
              <w:spacing w:after="0"/>
              <w:rPr>
                <w:sz w:val="20"/>
                <w:szCs w:val="20"/>
                <w:color w:val="auto"/>
              </w:rPr>
            </w:pPr>
            <w:r>
              <w:rPr>
                <w:rFonts w:ascii="Arial" w:cs="Arial" w:eastAsia="Arial" w:hAnsi="Arial"/>
                <w:sz w:val="18"/>
                <w:szCs w:val="18"/>
                <w:color w:val="auto"/>
                <w:w w:val="93"/>
              </w:rPr>
              <w:t>The following represents the net receivables from (payables to) related parties (in millions):</w:t>
            </w: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78"/>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2"/>
          </w:tcPr>
          <w:p>
            <w:pPr>
              <w:ind w:left="180"/>
              <w:spacing w:after="0"/>
              <w:rPr>
                <w:sz w:val="20"/>
                <w:szCs w:val="20"/>
                <w:color w:val="auto"/>
              </w:rPr>
            </w:pPr>
            <w:r>
              <w:rPr>
                <w:rFonts w:ascii="Arial" w:cs="Arial" w:eastAsia="Arial" w:hAnsi="Arial"/>
                <w:sz w:val="18"/>
                <w:szCs w:val="18"/>
                <w:color w:val="auto"/>
              </w:rPr>
              <w:t>June 30, 2014</w:t>
            </w:r>
          </w:p>
        </w:tc>
        <w:tc>
          <w:tcPr>
            <w:tcW w:w="200" w:type="dxa"/>
            <w:vAlign w:val="bottom"/>
          </w:tcPr>
          <w:p>
            <w:pPr>
              <w:spacing w:after="0"/>
              <w:rPr>
                <w:sz w:val="24"/>
                <w:szCs w:val="24"/>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color w:val="auto"/>
                <w:w w:val="92"/>
              </w:rPr>
              <w:t>December 31, 2013</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American Airlines Group Parent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US Airways Group, Inc.</w:t>
            </w: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Envoy Aviation Group Inc. </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and other subsidiaries</w:t>
            </w:r>
          </w:p>
        </w:tc>
        <w:tc>
          <w:tcPr>
            <w:tcW w:w="28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37"/>
        </w:trPr>
        <w:tc>
          <w:tcPr>
            <w:tcW w:w="744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(2,527)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(2,807)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17145</wp:posOffset>
            </wp:positionV>
            <wp:extent cx="25298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3" w:lineRule="exact"/>
        <w:rPr>
          <w:sz w:val="20"/>
          <w:szCs w:val="20"/>
          <w:color w:val="auto"/>
        </w:rPr>
      </w:pPr>
    </w:p>
    <w:p>
      <w:pPr>
        <w:ind w:left="540" w:right="700" w:hanging="532"/>
        <w:spacing w:after="0" w:line="216" w:lineRule="auto"/>
        <w:tabs>
          <w:tab w:leader="none" w:pos="216"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Formerly known as AMR Eagle Holding Corporation, the net payable to AAG's wholly-owned regional airline operating under the brand name of American Eagle consists principally of amounts due under regional capacity purchase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-281305</wp:posOffset>
            </wp:positionV>
            <wp:extent cx="25298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Legal Proceedings</w:t>
      </w:r>
    </w:p>
    <w:p>
      <w:pPr>
        <w:spacing w:after="0" w:line="17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Chapter 11 Cases</w:t>
      </w:r>
      <w:r>
        <w:rPr>
          <w:rFonts w:ascii="Arial" w:cs="Arial" w:eastAsia="Arial" w:hAnsi="Arial"/>
          <w:sz w:val="17"/>
          <w:szCs w:val="17"/>
          <w:color w:val="auto"/>
        </w:rPr>
        <w:t>. As previously disclosed, on the Petition Date, November 29, 2011, the Debtors filed voluntary petitions for relief under Chapter</w:t>
      </w:r>
      <w:r>
        <w:rPr>
          <w:rFonts w:ascii="Arial" w:cs="Arial" w:eastAsia="Arial" w:hAnsi="Arial"/>
          <w:sz w:val="17"/>
          <w:szCs w:val="17"/>
          <w:i w:val="1"/>
          <w:iCs w:val="1"/>
          <w:color w:val="auto"/>
        </w:rPr>
        <w:t xml:space="preserve"> </w:t>
      </w:r>
      <w:r>
        <w:rPr>
          <w:rFonts w:ascii="Arial" w:cs="Arial" w:eastAsia="Arial" w:hAnsi="Arial"/>
          <w:sz w:val="17"/>
          <w:szCs w:val="17"/>
          <w:color w:val="auto"/>
        </w:rPr>
        <w:t>11 of the Bankruptcy Code. On October 21, 2013, the Bankruptcy Court entered the Confirmation Order confirming the Plan. On the Effective Date, December 9, 2013, the Debtors consummated their reorganization pursuant to the Plan, principally through the transactions contemplated by the Merger Agreement pursuant to which Merger Sub merged with and into US Airways Group, with US Airways Group surviving as a wholly-owned subsidiary of AAG. From the Petition Date through the Effective Date, pursuant to automatic stay provisions under the Bankruptcy Code and orders granted by the Bankruptcy Court, actions to enforce or otherwise effect repayment of liabilities preceding the Petition Date as well as all pending litigation against the Debtors generally were stayed. Following the Effective Date, actions to enforce or otherwise effect repayment of liabilities preceding the Petition Date, generally have been permanently enjoined. Any unresolved claims will continue to be subject to the claims reconciliation process under the supervision of the Bankruptcy Court. However, certain pending litigation related to pre-petition liabilities may proceed in courts other than the Bankruptcy Court to determine the amount, if any, of such litigation claims for purposes of treatment under the Plan.</w:t>
      </w:r>
    </w:p>
    <w:p>
      <w:pPr>
        <w:spacing w:after="0" w:line="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Single-Dip Unsecured Claims. The shares provided for under the Plan were determined based upon a Disputed Claims Reserve amount of claims of approximately $755 million, representing the maximum amount of additional distributions to subsequently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allowed Single-Dip Unsecured Claims under the Plan. As of June 30, 2014, approximately 30.4 million shares of AAG Common Stock were held in the Disputed Claims Reserve. As disputed claims are resolved, the claimants will receive distributions of shares from the Disputed Claims Reserve on the same basis as if such distributions had been made on or about the Effective Date. However, AAG is not required to distribute additional shares above the limits contemplated by the Plan, even if the shares remaining for distribution are not sufficient to fully pay any additional allowed unsecured claims. On July 1, 2014, approximately 2.9 million of the approximately 30.4 million shares held in the Disputed Claims Reserve were distributed to holders of allowed Single-Dip Unsecured Claims, to holders of certain labor-related deemed claims, and to holders of certain non-management, non-union employee deemed claims as specified in the Plan, and shares were withheld or sold on account of related tax obligations. To the extent that any of the reserved shares remain undistributed upon resolution of all remaining disputed claims, such shares will not be returned to AAG but rather will be distributed to former AMR shareholders as of the Effective Date. However, resolution of disputed claims could have a material effect on recoveries by holders of additional allowed Single-Dip Unsecured Claims under the Plan and the amount of additional share distributions, if any, that are made to former AMR shareholders as the total number of shares of AAG Common Stock that remain available for distribution upon resolution of disputed claims is limited pursuant to the Plan.</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There is also pending in the Bankruptcy Court an adversary proceeding relating to an action brought by American to seek a determination that certain non-pension, post-employee benefits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American's financial statements presently reflect these retirement programs without giving effect to any modification or termination of benefits that may ultimately be implemented based upon the outcome of this proceeding.</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Merger Class Action</w:t>
      </w:r>
      <w:r>
        <w:rPr>
          <w:rFonts w:ascii="Arial" w:cs="Arial" w:eastAsia="Arial" w:hAnsi="Arial"/>
          <w:sz w:val="16"/>
          <w:szCs w:val="16"/>
          <w:color w:val="auto"/>
        </w:rPr>
        <w:t>. On March 1, 2013, a complaint captioned Plumbers &amp; Steamfitters Local Union No. 248 Pension Fund v. US Airways Group,</w:t>
      </w:r>
      <w:r>
        <w:rPr>
          <w:rFonts w:ascii="Arial" w:cs="Arial" w:eastAsia="Arial" w:hAnsi="Arial"/>
          <w:sz w:val="16"/>
          <w:szCs w:val="16"/>
          <w:i w:val="1"/>
          <w:iCs w:val="1"/>
          <w:color w:val="auto"/>
        </w:rPr>
        <w:t xml:space="preserve"> </w:t>
      </w:r>
      <w:r>
        <w:rPr>
          <w:rFonts w:ascii="Arial" w:cs="Arial" w:eastAsia="Arial" w:hAnsi="Arial"/>
          <w:sz w:val="16"/>
          <w:szCs w:val="16"/>
          <w:color w:val="auto"/>
        </w:rPr>
        <w:t>Inc., et al., No. CV2013-051605, was filed as a putative class action on behalf of the stockholders of US Airways Group in the Superior Court for Maricopa County, Arizona. On July 3, 2013, an amended complaint, captioned Dennis Palkon, et al. v. US Airways Group, Inc., et al., No. CV2013-051605, was filed with the same court. The amended complaint names as defendants US Airways Group and the members of its board of directors, and alleges that the directors failed to maximize the value of US Airways Group in connection with the Merger and that US Airways Group aided and abetted those breaches of fiduciary duty. The relief sought in the amended complaint included an injunction against the Merger, or rescission in the event it has been consummated. The court in the above-referenced action denied the plaintiff’s motion for a temporary restraining order that had sought to enjoin the US Airways Group Annual Meeting of Stockholders. On May 6, 2014, the court granted defendants' motion to dismiss this action. On May 27, 2014, plaintiff filed a motion for reconsideration of the court's decision to dismiss the action, and that motion was denied and judgment entered in favor of the defendants, and the complaint was dismissed with prejudice, on July 14, 2014. As of the date of this report, American does not know if the plaintiff will appeal the dismissal.</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Private Party Antitrust Action</w:t>
      </w:r>
      <w:r>
        <w:rPr>
          <w:rFonts w:ascii="Arial" w:cs="Arial" w:eastAsia="Arial" w:hAnsi="Arial"/>
          <w:sz w:val="17"/>
          <w:szCs w:val="17"/>
          <w:color w:val="auto"/>
        </w:rPr>
        <w:t>. On July 2, 2013, a lawsuit captioned Carolyn Fjord, et al., v. US Airways Group, Inc., et al., was filed in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District Court for the Northern District of California. The complaint names as defendants US Airways Group and US Airways, and alleges that the effect of the Merger may be to substantially lessen competition or tend to create a monopoly in violation of Section 7 of the Clayton Antitrust Act. The relief sought in the complaint includes an injunction against the Merger, or divestiture. On August 6, 2013, the plaintiffs re-filed their complaint in the Bankruptcy Court, adding AMR and American as defendants, and on October 2, 2013, dismissed the initial California action. The Bankruptcy Court denied plaintiffs’ motion to preliminarily enjoin the Merger. On January 10, 2014, the plaintiffs moved to amend their complaint to add additional factual allegations, a claim for money damages and a request for preliminary injunctive relief requiring the carriers to hold separate their assets. On March 14, 2014, the Court allowed plaintiffs to add certain allegations but denied plaintiffs' requests to add a damages claim or seek preliminary injunctive relief requiring the carriers to hold separate their assets. On June 2, 2014, plaintiffs filed an amended motion for leave to file a second amended and supplemental complaint, which motion is currently being briefed by the parties. There is currently no trial date set. American believes this lawsuit is without merit and intends to vigorously defend against the allegations.</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American is also engaged in other legal proceedings from time to time. Legal proceedings can be complex and take many months, or even</w:t>
      </w:r>
      <w:r>
        <w:rPr>
          <w:rFonts w:ascii="Arial" w:cs="Arial" w:eastAsia="Arial" w:hAnsi="Arial"/>
          <w:sz w:val="18"/>
          <w:szCs w:val="18"/>
          <w:i w:val="1"/>
          <w:iCs w:val="1"/>
          <w:color w:val="auto"/>
        </w:rPr>
        <w:t xml:space="preserve"> </w:t>
      </w:r>
      <w:r>
        <w:rPr>
          <w:rFonts w:ascii="Arial" w:cs="Arial" w:eastAsia="Arial" w:hAnsi="Arial"/>
          <w:sz w:val="18"/>
          <w:szCs w:val="18"/>
          <w:color w:val="auto"/>
        </w:rPr>
        <w:t>years, to reach resolution, with the final outcome depending on a number of variables, some of which are not within the control of American. Therefore, although American will vigorously defend itself in each of the actions described above and such other legal proceedings, their ultimate resolution and potential financial and other impacts on American are uncertain.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Redemption of 7.50% Senior Secured Notes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July 23, 2014, American gave irrevocable notice calling for the redemption of the $900 million principal amount of 7.50% senior secured notes due March 31, 2016 that remain outstanding at a redemption price of 103.75% of the principal amount plus accrued and unpaid interest. These notes will be required to be redeemed on August 22, 2014.</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Pension Prefunding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July 23, 2014, AAG's Board of Directors approved plans to make supplemental contributions of up to $600 million to its defined benefit plans in 2014. These contributions would be above and beyond the $120 million minimum required contributions for 2014.</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Part I, Item 2 of this report should be read in conjunction with Part II, Item 7 of AAG’s and American’s Annual Report on Form 10-K for the year ended December 31, 2013 (the 2013 Form 10-K). The information contained herein is not a comprehensive discussion and analysis of the financial condition and results of operations of the Company, but rather updates disclosures made in the 2013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American Airlines Group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AAG continues to move toward operating under the single brand name of "American Airlines" through its mainline operations, American and US Airways. Until a single operating certificate is issued by the Federal Aviation Administration (FAA) and the operational integration is complete, American and US Airways will continue to operate as separate airlines. This integration process is expected to take 18-24 months from the effective date of the Merger. Together with our wholly-owned regional airline subsidiaries and third-party regional carriers operating as American Eagle and US Airways Express, our airlines operate an average of nearly 6,700 flights per day to 339 destinations in 54 countries from our hubs in Charlotte, Chicago, Dallas/Fort Worth, Los Angeles, Miami, New York, Philadelphia, Phoenix and Washington, D.C. In the second quarter of 2014, we had approximately 51 million passengers boarding our mainline and regional flights. As of June 30, 2014, we operated 984 mainline jets and were supported by our regional airline subsidiaries and third-party regional carriers which operated an additional 557 regional aircraft.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Airline Industry</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second quarter of 2014, the U.S. airline industry experienced year-over-year growth in passenger revenues driven by strong demand for air travel. In its most recent data available, Airlines for America, the trade association for U.S. airlines, reported the following changes in U.S. industry passenger revenues and yields: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gridSpan w:val="2"/>
          </w:tcPr>
          <w:p>
            <w:pPr>
              <w:ind w:left="40"/>
              <w:spacing w:after="0"/>
              <w:rPr>
                <w:sz w:val="20"/>
                <w:szCs w:val="20"/>
                <w:color w:val="auto"/>
              </w:rPr>
            </w:pPr>
            <w:r>
              <w:rPr>
                <w:rFonts w:ascii="Arial" w:cs="Arial" w:eastAsia="Arial" w:hAnsi="Arial"/>
                <w:sz w:val="18"/>
                <w:szCs w:val="18"/>
                <w:i w:val="1"/>
                <w:iCs w:val="1"/>
                <w:color w:val="auto"/>
              </w:rPr>
              <w:t>2014 vs 2013</w:t>
            </w:r>
          </w:p>
        </w:tc>
        <w:tc>
          <w:tcPr>
            <w:tcW w:w="1680" w:type="dxa"/>
            <w:vAlign w:val="bottom"/>
            <w:gridSpan w:val="2"/>
          </w:tcPr>
          <w:p>
            <w:pPr>
              <w:ind w:left="600"/>
              <w:spacing w:after="0"/>
              <w:rPr>
                <w:sz w:val="20"/>
                <w:szCs w:val="20"/>
                <w:color w:val="auto"/>
              </w:rPr>
            </w:pPr>
            <w:r>
              <w:rPr>
                <w:rFonts w:ascii="Arial" w:cs="Arial" w:eastAsia="Arial" w:hAnsi="Arial"/>
                <w:sz w:val="18"/>
                <w:szCs w:val="18"/>
                <w:color w:val="auto"/>
              </w:rPr>
              <w:t>April</w:t>
            </w:r>
          </w:p>
        </w:tc>
        <w:tc>
          <w:tcPr>
            <w:tcW w:w="1700" w:type="dxa"/>
            <w:vAlign w:val="bottom"/>
            <w:gridSpan w:val="2"/>
          </w:tcPr>
          <w:p>
            <w:pPr>
              <w:ind w:left="640"/>
              <w:spacing w:after="0"/>
              <w:rPr>
                <w:sz w:val="20"/>
                <w:szCs w:val="20"/>
                <w:color w:val="auto"/>
              </w:rPr>
            </w:pPr>
            <w:r>
              <w:rPr>
                <w:rFonts w:ascii="Arial" w:cs="Arial" w:eastAsia="Arial" w:hAnsi="Arial"/>
                <w:sz w:val="18"/>
                <w:szCs w:val="18"/>
                <w:color w:val="auto"/>
              </w:rPr>
              <w:t>May</w:t>
            </w:r>
          </w:p>
        </w:tc>
        <w:tc>
          <w:tcPr>
            <w:tcW w:w="1520" w:type="dxa"/>
            <w:vAlign w:val="bottom"/>
          </w:tcPr>
          <w:p>
            <w:pPr>
              <w:jc w:val="right"/>
              <w:ind w:right="510"/>
              <w:spacing w:after="0"/>
              <w:rPr>
                <w:sz w:val="20"/>
                <w:szCs w:val="20"/>
                <w:color w:val="auto"/>
              </w:rPr>
            </w:pPr>
            <w:r>
              <w:rPr>
                <w:rFonts w:ascii="Arial" w:cs="Arial" w:eastAsia="Arial" w:hAnsi="Arial"/>
                <w:sz w:val="18"/>
                <w:szCs w:val="18"/>
                <w:color w:val="auto"/>
              </w:rPr>
              <w:t>June</w:t>
            </w:r>
          </w:p>
        </w:tc>
      </w:tr>
      <w:tr>
        <w:trPr>
          <w:trHeight w:val="27"/>
        </w:trPr>
        <w:tc>
          <w:tcPr>
            <w:tcW w:w="6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Passenger Revenues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Yields</w:t>
            </w:r>
          </w:p>
        </w:tc>
        <w:tc>
          <w:tcPr>
            <w:tcW w:w="1580" w:type="dxa"/>
            <w:vAlign w:val="bottom"/>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4.6 %</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594"/>
        </w:trPr>
        <w:tc>
          <w:tcPr>
            <w:tcW w:w="6520" w:type="dxa"/>
            <w:vAlign w:val="bottom"/>
            <w:gridSpan w:val="2"/>
          </w:tcPr>
          <w:p>
            <w:pPr>
              <w:ind w:left="40"/>
              <w:spacing w:after="0"/>
              <w:rPr>
                <w:sz w:val="20"/>
                <w:szCs w:val="20"/>
                <w:color w:val="auto"/>
              </w:rPr>
            </w:pPr>
            <w:r>
              <w:rPr>
                <w:rFonts w:ascii="Arial" w:cs="Arial" w:eastAsia="Arial" w:hAnsi="Arial"/>
                <w:sz w:val="18"/>
                <w:szCs w:val="18"/>
                <w:i w:val="1"/>
                <w:iCs w:val="1"/>
                <w:color w:val="auto"/>
              </w:rPr>
              <w:t>2013 vs 2012</w:t>
            </w:r>
          </w:p>
        </w:tc>
        <w:tc>
          <w:tcPr>
            <w:tcW w:w="1680" w:type="dxa"/>
            <w:vAlign w:val="bottom"/>
            <w:gridSpan w:val="2"/>
          </w:tcPr>
          <w:p>
            <w:pPr>
              <w:ind w:left="600"/>
              <w:spacing w:after="0"/>
              <w:rPr>
                <w:sz w:val="20"/>
                <w:szCs w:val="20"/>
                <w:color w:val="auto"/>
              </w:rPr>
            </w:pPr>
            <w:r>
              <w:rPr>
                <w:rFonts w:ascii="Arial" w:cs="Arial" w:eastAsia="Arial" w:hAnsi="Arial"/>
                <w:sz w:val="18"/>
                <w:szCs w:val="18"/>
                <w:color w:val="auto"/>
              </w:rPr>
              <w:t>April</w:t>
            </w:r>
          </w:p>
        </w:tc>
        <w:tc>
          <w:tcPr>
            <w:tcW w:w="1700" w:type="dxa"/>
            <w:vAlign w:val="bottom"/>
            <w:gridSpan w:val="2"/>
          </w:tcPr>
          <w:p>
            <w:pPr>
              <w:ind w:left="640"/>
              <w:spacing w:after="0"/>
              <w:rPr>
                <w:sz w:val="20"/>
                <w:szCs w:val="20"/>
                <w:color w:val="auto"/>
              </w:rPr>
            </w:pPr>
            <w:r>
              <w:rPr>
                <w:rFonts w:ascii="Arial" w:cs="Arial" w:eastAsia="Arial" w:hAnsi="Arial"/>
                <w:sz w:val="18"/>
                <w:szCs w:val="18"/>
                <w:color w:val="auto"/>
              </w:rPr>
              <w:t>May</w:t>
            </w:r>
          </w:p>
        </w:tc>
        <w:tc>
          <w:tcPr>
            <w:tcW w:w="1520" w:type="dxa"/>
            <w:vAlign w:val="bottom"/>
          </w:tcPr>
          <w:p>
            <w:pPr>
              <w:jc w:val="right"/>
              <w:ind w:right="510"/>
              <w:spacing w:after="0"/>
              <w:rPr>
                <w:sz w:val="20"/>
                <w:szCs w:val="20"/>
                <w:color w:val="auto"/>
              </w:rPr>
            </w:pPr>
            <w:r>
              <w:rPr>
                <w:rFonts w:ascii="Arial" w:cs="Arial" w:eastAsia="Arial" w:hAnsi="Arial"/>
                <w:sz w:val="18"/>
                <w:szCs w:val="18"/>
                <w:color w:val="auto"/>
              </w:rPr>
              <w:t>June</w:t>
            </w:r>
          </w:p>
        </w:tc>
      </w:tr>
      <w:tr>
        <w:trPr>
          <w:trHeight w:val="27"/>
        </w:trPr>
        <w:tc>
          <w:tcPr>
            <w:tcW w:w="6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Passenger Revenues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Yields</w:t>
            </w:r>
          </w:p>
        </w:tc>
        <w:tc>
          <w:tcPr>
            <w:tcW w:w="15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0.8%</w:t>
            </w:r>
          </w:p>
        </w:tc>
      </w:tr>
    </w:tbl>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With respect to international versus domestic performance, Airlines for America reported domestic markets, in the second quarter of 2014, outperformed the Atlantic and Pacific markets while the Latin market experienced higher year-over-year growth in passenger revenues.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gridSpan w:val="2"/>
          </w:tcPr>
          <w:p>
            <w:pPr>
              <w:ind w:left="40"/>
              <w:spacing w:after="0"/>
              <w:rPr>
                <w:sz w:val="20"/>
                <w:szCs w:val="20"/>
                <w:color w:val="auto"/>
              </w:rPr>
            </w:pPr>
            <w:r>
              <w:rPr>
                <w:rFonts w:ascii="Arial" w:cs="Arial" w:eastAsia="Arial" w:hAnsi="Arial"/>
                <w:sz w:val="18"/>
                <w:szCs w:val="18"/>
                <w:i w:val="1"/>
                <w:iCs w:val="1"/>
                <w:color w:val="auto"/>
              </w:rPr>
              <w:t>2014 vs 2013</w:t>
            </w:r>
          </w:p>
        </w:tc>
        <w:tc>
          <w:tcPr>
            <w:tcW w:w="1680" w:type="dxa"/>
            <w:vAlign w:val="bottom"/>
            <w:gridSpan w:val="2"/>
          </w:tcPr>
          <w:p>
            <w:pPr>
              <w:ind w:left="600"/>
              <w:spacing w:after="0"/>
              <w:rPr>
                <w:sz w:val="20"/>
                <w:szCs w:val="20"/>
                <w:color w:val="auto"/>
              </w:rPr>
            </w:pPr>
            <w:r>
              <w:rPr>
                <w:rFonts w:ascii="Arial" w:cs="Arial" w:eastAsia="Arial" w:hAnsi="Arial"/>
                <w:sz w:val="18"/>
                <w:szCs w:val="18"/>
                <w:color w:val="auto"/>
              </w:rPr>
              <w:t>April</w:t>
            </w:r>
          </w:p>
        </w:tc>
        <w:tc>
          <w:tcPr>
            <w:tcW w:w="1640" w:type="dxa"/>
            <w:vAlign w:val="bottom"/>
            <w:gridSpan w:val="2"/>
          </w:tcPr>
          <w:p>
            <w:pPr>
              <w:ind w:left="600"/>
              <w:spacing w:after="0"/>
              <w:rPr>
                <w:sz w:val="20"/>
                <w:szCs w:val="20"/>
                <w:color w:val="auto"/>
              </w:rPr>
            </w:pPr>
            <w:r>
              <w:rPr>
                <w:rFonts w:ascii="Arial" w:cs="Arial" w:eastAsia="Arial" w:hAnsi="Arial"/>
                <w:sz w:val="18"/>
                <w:szCs w:val="18"/>
                <w:color w:val="auto"/>
              </w:rPr>
              <w:t>May</w:t>
            </w:r>
          </w:p>
        </w:tc>
        <w:tc>
          <w:tcPr>
            <w:tcW w:w="1520" w:type="dxa"/>
            <w:vAlign w:val="bottom"/>
          </w:tcPr>
          <w:p>
            <w:pPr>
              <w:jc w:val="right"/>
              <w:ind w:right="510"/>
              <w:spacing w:after="0"/>
              <w:rPr>
                <w:sz w:val="20"/>
                <w:szCs w:val="20"/>
                <w:color w:val="auto"/>
              </w:rPr>
            </w:pPr>
            <w:r>
              <w:rPr>
                <w:rFonts w:ascii="Arial" w:cs="Arial" w:eastAsia="Arial" w:hAnsi="Arial"/>
                <w:sz w:val="18"/>
                <w:szCs w:val="18"/>
                <w:color w:val="auto"/>
              </w:rPr>
              <w:t>June</w:t>
            </w:r>
          </w:p>
        </w:tc>
      </w:tr>
      <w:tr>
        <w:trPr>
          <w:trHeight w:val="27"/>
        </w:trPr>
        <w:tc>
          <w:tcPr>
            <w:tcW w:w="6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Atlantic</w:t>
            </w:r>
          </w:p>
        </w:tc>
        <w:tc>
          <w:tcPr>
            <w:tcW w:w="1580" w:type="dxa"/>
            <w:vAlign w:val="bottom"/>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Latin</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Pacific</w:t>
            </w:r>
          </w:p>
        </w:tc>
        <w:tc>
          <w:tcPr>
            <w:tcW w:w="15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0.7%</w:t>
            </w:r>
          </w:p>
        </w:tc>
      </w:tr>
    </w:tbl>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Jet fuel prices continue to follow the price of Brent crude oil more closely than the price of West Texas Intermediate crude oil. On average, fuel costs were higher in the second quarter of 2014 as compared to the second quarter 2013. The average daily spot price for Brent crude oil during the second quarter of 2014 was $109 per barrel as compared to an average daily spot price of $103 per barrel during the second quarter of 2013. This increase was driven in part by violence in Iraq, which drove Brent Crude in the month of June to its highest levels in the past nine months. On a daily basis, Brent crude oil prices fluctuated during the quarter between a high of $115 per barrel to a low of $103 per barrel and closed the quarter at $111 per barrel on June 30, 2014.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26" w:right="239" w:bottom="1440" w:gutter="0" w:footer="0" w:header="0"/>
        </w:sectPr>
      </w:pPr>
    </w:p>
    <w:bookmarkStart w:id="55" w:name="page56"/>
    <w:bookmarkEnd w:id="55"/>
    <w:p>
      <w:pPr>
        <w:jc w:val="both"/>
        <w:ind w:firstLine="648"/>
        <w:spacing w:after="0" w:line="257" w:lineRule="auto"/>
        <w:rPr>
          <w:sz w:val="20"/>
          <w:szCs w:val="20"/>
          <w:color w:val="auto"/>
        </w:rPr>
      </w:pPr>
      <w:r>
        <w:rPr>
          <w:rFonts w:ascii="Arial" w:cs="Arial" w:eastAsia="Arial" w:hAnsi="Arial"/>
          <w:sz w:val="18"/>
          <w:szCs w:val="18"/>
          <w:color w:val="auto"/>
        </w:rPr>
        <w:t xml:space="preserve">While the U.S. airline industry is currently benefiting from a favorable revenue environment as described above, uncertainty exists regarding the economic conditions driving these factors. Additionally, fuel prices remain volatile and subject to uncertainty, principally unrest in the Middle East. See Part II, Item 1A - Risk Factors - </w:t>
      </w:r>
      <w:r>
        <w:rPr>
          <w:rFonts w:ascii="Arial" w:cs="Arial" w:eastAsia="Arial" w:hAnsi="Arial"/>
          <w:sz w:val="18"/>
          <w:szCs w:val="18"/>
          <w:i w:val="1"/>
          <w:iCs w:val="1"/>
          <w:color w:val="auto"/>
        </w:rPr>
        <w:t>"Downturns in economic conditions adversely affect our business"</w:t>
      </w:r>
      <w:r>
        <w:rPr>
          <w:rFonts w:ascii="Arial" w:cs="Arial" w:eastAsia="Arial" w:hAnsi="Arial"/>
          <w:sz w:val="18"/>
          <w:szCs w:val="18"/>
          <w:color w:val="auto"/>
        </w:rPr>
        <w:t xml:space="preserve"> and </w:t>
      </w:r>
      <w:r>
        <w:rPr>
          <w:rFonts w:ascii="Arial" w:cs="Arial" w:eastAsia="Arial" w:hAnsi="Arial"/>
          <w:sz w:val="18"/>
          <w:szCs w:val="18"/>
          <w:i w:val="1"/>
          <w:iCs w:val="1"/>
          <w:color w:val="auto"/>
        </w:rPr>
        <w:t>"Our business is dependent on the price and availability of</w:t>
      </w:r>
      <w:r>
        <w:rPr>
          <w:rFonts w:ascii="Arial" w:cs="Arial" w:eastAsia="Arial" w:hAnsi="Arial"/>
          <w:sz w:val="18"/>
          <w:szCs w:val="18"/>
          <w:color w:val="auto"/>
        </w:rPr>
        <w:t xml:space="preserve"> </w:t>
      </w:r>
      <w:r>
        <w:rPr>
          <w:rFonts w:ascii="Arial" w:cs="Arial" w:eastAsia="Arial" w:hAnsi="Arial"/>
          <w:sz w:val="18"/>
          <w:szCs w:val="18"/>
          <w:i w:val="1"/>
          <w:iCs w:val="1"/>
          <w:color w:val="auto"/>
        </w:rPr>
        <w:t>aircraft fuel. Continued periods of high volatility in fuel costs, increased fuel prices and significant disruptions in the supply of aircraft fuel could have a significant negative impact on our operating results and liquidity."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Group</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second quarter 2014 GAAP results are not comparable to the GAAP results for the second quarter of 2013. AAG’s second quarter 2013 results do not include the financial results of US Airways Group as the closing of the Merger occurred on December 9, 2013. Additionally, US Airways Group applied acquisition accounting as of December 9, 2013 and its financial statements after December 9, 2013 are deemed not comparable to its financial statements for periods prior to the Merger. To provide a basis for comparison to prior year results, we have presented in the table below certain "combined" second quarter 2013 financial data which includes the financial results of AAG and US Airways Group, each on a standalone basis. While this is a non-GAAP measure, management believes this presentation provides a more meaningful quarter-over-quarter comparison.</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40" w:type="dxa"/>
            <w:vAlign w:val="bottom"/>
            <w:gridSpan w:val="5"/>
          </w:tcPr>
          <w:p>
            <w:pPr>
              <w:ind w:left="100"/>
              <w:spacing w:after="0"/>
              <w:rPr>
                <w:sz w:val="20"/>
                <w:szCs w:val="20"/>
                <w:color w:val="auto"/>
              </w:rPr>
            </w:pPr>
            <w:r>
              <w:rPr>
                <w:rFonts w:ascii="Arial" w:cs="Arial" w:eastAsia="Arial" w:hAnsi="Arial"/>
                <w:sz w:val="18"/>
                <w:szCs w:val="18"/>
                <w:color w:val="auto"/>
                <w:w w:val="94"/>
              </w:rPr>
              <w:t>Three Months Ended June 30, 2013</w:t>
            </w:r>
          </w:p>
        </w:tc>
        <w:tc>
          <w:tcPr>
            <w:tcW w:w="114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2"/>
        </w:trPr>
        <w:tc>
          <w:tcPr>
            <w:tcW w:w="4360" w:type="dxa"/>
            <w:vAlign w:val="bottom"/>
          </w:tcPr>
          <w:p>
            <w:pPr>
              <w:spacing w:after="0"/>
              <w:rPr>
                <w:sz w:val="19"/>
                <w:szCs w:val="19"/>
                <w:color w:val="auto"/>
              </w:rPr>
            </w:pPr>
          </w:p>
        </w:tc>
        <w:tc>
          <w:tcPr>
            <w:tcW w:w="1840" w:type="dxa"/>
            <w:vAlign w:val="bottom"/>
            <w:gridSpan w:val="2"/>
          </w:tcPr>
          <w:p>
            <w:pPr>
              <w:jc w:val="right"/>
              <w:ind w:right="130"/>
              <w:spacing w:after="0"/>
              <w:rPr>
                <w:sz w:val="20"/>
                <w:szCs w:val="20"/>
                <w:color w:val="auto"/>
              </w:rPr>
            </w:pPr>
            <w:r>
              <w:rPr>
                <w:rFonts w:ascii="Arial" w:cs="Arial" w:eastAsia="Arial" w:hAnsi="Arial"/>
                <w:sz w:val="18"/>
                <w:szCs w:val="18"/>
                <w:color w:val="auto"/>
                <w:w w:val="95"/>
              </w:rPr>
              <w:t>Three Months Ended</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w w:val="96"/>
              </w:rPr>
              <w:t>US Airways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Percent</w:t>
            </w:r>
          </w:p>
        </w:tc>
      </w:tr>
      <w:tr>
        <w:trPr>
          <w:trHeight w:val="257"/>
        </w:trPr>
        <w:tc>
          <w:tcPr>
            <w:tcW w:w="4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tcPr>
          <w:p>
            <w:pPr>
              <w:jc w:val="right"/>
              <w:ind w:right="390"/>
              <w:spacing w:after="0"/>
              <w:rPr>
                <w:sz w:val="20"/>
                <w:szCs w:val="20"/>
                <w:color w:val="auto"/>
              </w:rPr>
            </w:pPr>
            <w:r>
              <w:rPr>
                <w:rFonts w:ascii="Arial" w:cs="Arial" w:eastAsia="Arial" w:hAnsi="Arial"/>
                <w:sz w:val="18"/>
                <w:szCs w:val="18"/>
                <w:color w:val="auto"/>
                <w:w w:val="96"/>
              </w:rPr>
              <w:t>June 30, 2014</w:t>
            </w:r>
          </w:p>
        </w:tc>
        <w:tc>
          <w:tcPr>
            <w:tcW w:w="260" w:type="dxa"/>
            <w:vAlign w:val="bottom"/>
          </w:tcPr>
          <w:p>
            <w:pPr>
              <w:spacing w:after="0"/>
              <w:rPr>
                <w:sz w:val="22"/>
                <w:szCs w:val="22"/>
                <w:color w:val="auto"/>
              </w:rPr>
            </w:pPr>
          </w:p>
        </w:tc>
        <w:tc>
          <w:tcPr>
            <w:tcW w:w="980" w:type="dxa"/>
            <w:vAlign w:val="bottom"/>
          </w:tcPr>
          <w:p>
            <w:pPr>
              <w:jc w:val="right"/>
              <w:ind w:right="332"/>
              <w:spacing w:after="0"/>
              <w:rPr>
                <w:sz w:val="20"/>
                <w:szCs w:val="20"/>
                <w:color w:val="auto"/>
              </w:rPr>
            </w:pPr>
            <w:r>
              <w:rPr>
                <w:rFonts w:ascii="Arial" w:cs="Arial" w:eastAsia="Arial" w:hAnsi="Arial"/>
                <w:sz w:val="18"/>
                <w:szCs w:val="18"/>
                <w:color w:val="auto"/>
              </w:rPr>
              <w:t>AAG</w:t>
            </w:r>
          </w:p>
        </w:tc>
        <w:tc>
          <w:tcPr>
            <w:tcW w:w="260" w:type="dxa"/>
            <w:vAlign w:val="bottom"/>
          </w:tcPr>
          <w:p>
            <w:pPr>
              <w:spacing w:after="0"/>
              <w:rPr>
                <w:sz w:val="22"/>
                <w:szCs w:val="22"/>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Group</w:t>
            </w:r>
          </w:p>
        </w:tc>
        <w:tc>
          <w:tcPr>
            <w:tcW w:w="280" w:type="dxa"/>
            <w:vAlign w:val="bottom"/>
          </w:tcPr>
          <w:p>
            <w:pPr>
              <w:spacing w:after="0"/>
              <w:rPr>
                <w:sz w:val="22"/>
                <w:szCs w:val="22"/>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color w:val="auto"/>
              </w:rPr>
              <w:t>Combined</w:t>
            </w:r>
          </w:p>
        </w:tc>
        <w:tc>
          <w:tcPr>
            <w:tcW w:w="1140" w:type="dxa"/>
            <w:vAlign w:val="bottom"/>
          </w:tcPr>
          <w:p>
            <w:pPr>
              <w:jc w:val="right"/>
              <w:ind w:right="110"/>
              <w:spacing w:after="0" w:line="257" w:lineRule="exact"/>
              <w:rPr>
                <w:sz w:val="20"/>
                <w:szCs w:val="20"/>
                <w:color w:val="auto"/>
              </w:rPr>
            </w:pPr>
            <w:r>
              <w:rPr>
                <w:rFonts w:ascii="Arial" w:cs="Arial" w:eastAsia="Arial" w:hAnsi="Arial"/>
                <w:sz w:val="18"/>
                <w:szCs w:val="18"/>
                <w:color w:val="auto"/>
              </w:rPr>
              <w:t xml:space="preserve">Change </w:t>
            </w:r>
            <w:r>
              <w:rPr>
                <w:rFonts w:ascii="Arial" w:cs="Arial" w:eastAsia="Arial" w:hAnsi="Arial"/>
                <w:sz w:val="25"/>
                <w:szCs w:val="25"/>
                <w:color w:val="auto"/>
                <w:vertAlign w:val="superscript"/>
              </w:rPr>
              <w:t>(1)</w:t>
            </w:r>
          </w:p>
        </w:tc>
      </w:tr>
      <w:tr>
        <w:trPr>
          <w:trHeight w:val="258"/>
        </w:trPr>
        <w:tc>
          <w:tcPr>
            <w:tcW w:w="43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(In millions)</w:t>
            </w:r>
          </w:p>
        </w:tc>
        <w:tc>
          <w:tcPr>
            <w:tcW w:w="1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56"/>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Mainline and regional passenger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9,920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5,640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9,088</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Total operating revenues</w:t>
            </w:r>
          </w:p>
        </w:tc>
        <w:tc>
          <w:tcPr>
            <w:tcW w:w="240" w:type="dxa"/>
            <w:vAlign w:val="bottom"/>
          </w:tcPr>
          <w:p>
            <w:pPr>
              <w:spacing w:after="0"/>
              <w:rPr>
                <w:sz w:val="21"/>
                <w:szCs w:val="21"/>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11,355</w:t>
            </w: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6,449</w:t>
            </w: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3,850</w:t>
            </w: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10,299</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7"/>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Mainline and regional aircraft fuel and related taxes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3,365</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2,140</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1,133</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21"/>
                <w:szCs w:val="21"/>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9,956</w:t>
            </w: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5,937</w:t>
            </w: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3,371</w:t>
            </w: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9,308</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1,399</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512</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479</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1"/>
                <w:szCs w:val="21"/>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864</w:t>
            </w: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220</w:t>
            </w:r>
          </w:p>
        </w:tc>
        <w:tc>
          <w:tcPr>
            <w:tcW w:w="2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287</w:t>
            </w: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70.4</w:t>
            </w:r>
          </w:p>
        </w:tc>
      </w:tr>
      <w:tr>
        <w:trPr>
          <w:trHeight w:val="27"/>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3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special charges </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592</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nm</w:t>
            </w:r>
          </w:p>
        </w:tc>
      </w:tr>
    </w:tbl>
    <w:p>
      <w:pPr>
        <w:spacing w:after="0" w:line="114" w:lineRule="exact"/>
        <w:rPr>
          <w:sz w:val="20"/>
          <w:szCs w:val="20"/>
          <w:color w:val="auto"/>
        </w:rPr>
      </w:pPr>
    </w:p>
    <w:p>
      <w:pPr>
        <w:ind w:left="200" w:hanging="192"/>
        <w:spacing w:after="0"/>
        <w:tabs>
          <w:tab w:leader="none" w:pos="200" w:val="left"/>
        </w:tabs>
        <w:numPr>
          <w:ilvl w:val="0"/>
          <w:numId w:val="26"/>
        </w:numPr>
        <w:rPr>
          <w:rFonts w:ascii="Arial" w:cs="Arial" w:eastAsia="Arial" w:hAnsi="Arial"/>
          <w:sz w:val="23"/>
          <w:szCs w:val="23"/>
          <w:color w:val="auto"/>
          <w:vertAlign w:val="superscript"/>
        </w:rPr>
      </w:pPr>
      <w:r>
        <w:rPr>
          <w:rFonts w:ascii="Arial" w:cs="Arial" w:eastAsia="Arial" w:hAnsi="Arial"/>
          <w:sz w:val="17"/>
          <w:szCs w:val="17"/>
          <w:color w:val="auto"/>
        </w:rPr>
        <w:t>Percent change is a comparison of the combined results.</w:t>
      </w:r>
    </w:p>
    <w:p>
      <w:pPr>
        <w:spacing w:after="0" w:line="147" w:lineRule="exact"/>
        <w:rPr>
          <w:rFonts w:ascii="Arial" w:cs="Arial" w:eastAsia="Arial" w:hAnsi="Arial"/>
          <w:sz w:val="23"/>
          <w:szCs w:val="23"/>
          <w:color w:val="auto"/>
          <w:vertAlign w:val="superscript"/>
        </w:rPr>
      </w:pPr>
    </w:p>
    <w:p>
      <w:pPr>
        <w:jc w:val="both"/>
        <w:ind w:firstLine="8"/>
        <w:spacing w:after="0" w:line="262" w:lineRule="auto"/>
        <w:tabs>
          <w:tab w:leader="none" w:pos="192"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AAG's second quarter 2014 results were significantly impacted by net special charges of $592 million, consisting principally of a $330 million non-cash income tax provision associated with the sale of its last remaining fuel hedging contract and $163 million of merger integration expenses. See “</w:t>
      </w:r>
      <w:r>
        <w:rPr>
          <w:rFonts w:ascii="Arial" w:cs="Arial" w:eastAsia="Arial" w:hAnsi="Arial"/>
          <w:sz w:val="16"/>
          <w:szCs w:val="16"/>
          <w:i w:val="1"/>
          <w:iCs w:val="1"/>
          <w:color w:val="auto"/>
        </w:rPr>
        <w:t>AAG's Results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Operations” </w:t>
      </w:r>
      <w:r>
        <w:rPr>
          <w:rFonts w:ascii="Arial" w:cs="Arial" w:eastAsia="Arial" w:hAnsi="Arial"/>
          <w:sz w:val="16"/>
          <w:szCs w:val="16"/>
          <w:color w:val="auto"/>
        </w:rPr>
        <w:t>included in Part I, Item 2 of this report for more information on net special items.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Second Quarter 2014 Results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Driven by growth in revenues resulting from strong demand for air travel, we realized operating income of $1.4 billion and net income of $864 million in the second quarter of 2014. This compares to combined operating income of $991 million and combined net income of $507 million in the second quarter of 2013. Our second quarter 2014 net income included net special charges of $592 million, while the second quarter of 2013 included combined net special charges of $174 million. Excluding the effects of net special items, we recognized net income of $1.5 billion in the second quarter of 2014 which is a $775 million, or 114% improvement as compared to combined net income of $681 million excluding net special items in the second quarter of 2013. See “</w:t>
      </w:r>
      <w:r>
        <w:rPr>
          <w:rFonts w:ascii="Arial" w:cs="Arial" w:eastAsia="Arial" w:hAnsi="Arial"/>
          <w:sz w:val="17"/>
          <w:szCs w:val="17"/>
          <w:i w:val="1"/>
          <w:iCs w:val="1"/>
          <w:color w:val="auto"/>
        </w:rPr>
        <w:t>AAG's Results of Operations”</w:t>
      </w:r>
      <w:r>
        <w:rPr>
          <w:rFonts w:ascii="Arial" w:cs="Arial" w:eastAsia="Arial" w:hAnsi="Arial"/>
          <w:sz w:val="17"/>
          <w:szCs w:val="17"/>
          <w:color w:val="auto"/>
        </w:rPr>
        <w:t xml:space="preserve"> included in Part I, Item 2 of this report for more information on net special items.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Revenue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second quarter of 2014, we reported operating revenues of $11.4 billion. Mainline and regional passenger revenues were $9.9 billion, an increase of $832 million, or 9.2%, as compared to the combined second quarter of 2013 mainline and regional passenger revenues of $9.1 billion. The growth in revenues was driven by a 2.5% increase in revenue passenger miles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30" w:right="239" w:bottom="1440" w:gutter="0" w:footer="0" w:header="0"/>
        </w:sectPr>
      </w:pPr>
    </w:p>
    <w:bookmarkStart w:id="56" w:name="page57"/>
    <w:bookmarkEnd w:id="56"/>
    <w:p>
      <w:pPr>
        <w:jc w:val="both"/>
        <w:spacing w:after="0" w:line="277" w:lineRule="auto"/>
        <w:rPr>
          <w:sz w:val="20"/>
          <w:szCs w:val="20"/>
          <w:color w:val="auto"/>
        </w:rPr>
      </w:pPr>
      <w:r>
        <w:rPr>
          <w:rFonts w:ascii="Arial" w:cs="Arial" w:eastAsia="Arial" w:hAnsi="Arial"/>
          <w:sz w:val="18"/>
          <w:szCs w:val="18"/>
          <w:color w:val="auto"/>
        </w:rPr>
        <w:t>and a 6.5% increase in yield. Our mainline and regional passenger revenue per available seat mile (PRASM) was 14.57 cents in the second quarter of 2014, a 5.9% increase as compared to a combined 13.76 cents in the second quarter of 2013.</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Fuel</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Mainline and regional fuel expense was $3.4 billion in second quarter of 2014, which was $92 million, or 2.8%, higher as compared to the combined mainline and regional fuel expense in the second quarter of 2013. This increase was driven by a 1.5% increase in the average price per gallon to $3.03 in the second quarter of 2014 from a combined average price per gallon of $2.98 for the second quarter of 2013. A 1.3% increase in consumption also contributed to the increase.</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During the second quarter of 2014, we sold our portfolio of fuel hedging contracts that were scheduled to settle on or after June 30, 2014. As of June 30, 2014, we do not have any fuel hedging contracts outstanding. We have not entered into any fuel hedges since December 9, 2013 and it is our current policy to not do so.</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Capacity</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Total system capacity for the combined company increased 3.1% in the second quarter of 2014 as compared to the combined second quarter of 2013 primarily due to more active aircraft and new larger gauge aircraft replacing smaller legacy aircraft.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Cost Control</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We remain committed to maintaining a low cost structure, which we believe is necessary in an industry whose economic prospects are heavily dependent upon two variables we cannot control: the health of the economy and the price of fuel. Our 2014 second quarter mainline cost per available seat mile (CASM) excluding special items and fuel was 8.55 cents. When compared to the 2013 second quarter combined results, mainline CASM excluding special items and fuel increased 2.2% in the second quarter of 2014. The increase was primarily due to higher salaries, wages and benefits driven by merger related labor contracts. See below for the </w:t>
      </w:r>
      <w:r>
        <w:rPr>
          <w:rFonts w:ascii="Arial" w:cs="Arial" w:eastAsia="Arial" w:hAnsi="Arial"/>
          <w:sz w:val="17"/>
          <w:szCs w:val="17"/>
          <w:i w:val="1"/>
          <w:iCs w:val="1"/>
          <w:color w:val="auto"/>
        </w:rPr>
        <w:t>"Reconciliation of GAAP Financial Information to Non-GAAP Financial Information."</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Customer Service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committed to consistently delivering safe, reliable and convenient service to our customers in every aspect of our operation. Our second quarter 2014 operating performance was negatively impacted by severe weather conditions in May and June which drove flight cancellations, particularly at our Chicago and Dallas/Fort Worth hubs.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reported the following combined operating statistics to the DOT for mainline operations for the second quarter of 2014 and 2013:</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2014</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2013(a)</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60" w:type="dxa"/>
            <w:vAlign w:val="bottom"/>
            <w:gridSpan w:val="9"/>
          </w:tcPr>
          <w:p>
            <w:pPr>
              <w:jc w:val="center"/>
              <w:ind w:right="680"/>
              <w:spacing w:after="0"/>
              <w:rPr>
                <w:sz w:val="20"/>
                <w:szCs w:val="20"/>
                <w:color w:val="auto"/>
              </w:rPr>
            </w:pPr>
            <w:r>
              <w:rPr>
                <w:rFonts w:ascii="Arial" w:cs="Arial" w:eastAsia="Arial" w:hAnsi="Arial"/>
                <w:sz w:val="14"/>
                <w:szCs w:val="14"/>
                <w:b w:val="1"/>
                <w:bCs w:val="1"/>
                <w:color w:val="auto"/>
                <w:w w:val="93"/>
              </w:rPr>
              <w:t>Better (Worse) 2014-2013</w:t>
            </w: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April</w:t>
            </w:r>
          </w:p>
        </w:tc>
        <w:tc>
          <w:tcPr>
            <w:tcW w:w="380" w:type="dxa"/>
            <w:vAlign w:val="bottom"/>
          </w:tcPr>
          <w:p>
            <w:pPr>
              <w:spacing w:after="0"/>
              <w:rPr>
                <w:sz w:val="12"/>
                <w:szCs w:val="12"/>
                <w:color w:val="auto"/>
              </w:rPr>
            </w:pPr>
          </w:p>
        </w:tc>
        <w:tc>
          <w:tcPr>
            <w:tcW w:w="2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color w:val="auto"/>
                <w:w w:val="95"/>
              </w:rPr>
              <w:t>May</w:t>
            </w:r>
          </w:p>
        </w:tc>
        <w:tc>
          <w:tcPr>
            <w:tcW w:w="340" w:type="dxa"/>
            <w:vAlign w:val="bottom"/>
            <w:vMerge w:val="restart"/>
          </w:tcPr>
          <w:p>
            <w:pPr>
              <w:spacing w:after="0"/>
              <w:rPr>
                <w:sz w:val="12"/>
                <w:szCs w:val="12"/>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w w:val="91"/>
              </w:rPr>
              <w:t>June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88"/>
              </w:rPr>
              <w:t>(f)</w:t>
            </w:r>
          </w:p>
        </w:tc>
        <w:tc>
          <w:tcPr>
            <w:tcW w:w="640" w:type="dxa"/>
            <w:vAlign w:val="bottom"/>
            <w:vMerge w:val="restart"/>
          </w:tcPr>
          <w:p>
            <w:pPr>
              <w:spacing w:after="0"/>
              <w:rPr>
                <w:sz w:val="12"/>
                <w:szCs w:val="12"/>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April</w:t>
            </w:r>
          </w:p>
        </w:tc>
        <w:tc>
          <w:tcPr>
            <w:tcW w:w="100" w:type="dxa"/>
            <w:vAlign w:val="bottom"/>
            <w:tcBorders>
              <w:top w:val="single" w:sz="8" w:color="auto"/>
              <w:bottom w:val="single" w:sz="8" w:color="auto"/>
            </w:tcBorders>
            <w:vMerge w:val="restart"/>
          </w:tcPr>
          <w:p>
            <w:pPr>
              <w:spacing w:after="0"/>
              <w:rPr>
                <w:sz w:val="12"/>
                <w:szCs w:val="12"/>
                <w:color w:val="auto"/>
              </w:rPr>
            </w:pPr>
          </w:p>
        </w:tc>
        <w:tc>
          <w:tcPr>
            <w:tcW w:w="36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May</w:t>
            </w:r>
          </w:p>
        </w:tc>
        <w:tc>
          <w:tcPr>
            <w:tcW w:w="320" w:type="dxa"/>
            <w:vAlign w:val="bottom"/>
            <w:vMerge w:val="restart"/>
          </w:tcPr>
          <w:p>
            <w:pPr>
              <w:spacing w:after="0"/>
              <w:rPr>
                <w:sz w:val="12"/>
                <w:szCs w:val="12"/>
                <w:color w:val="auto"/>
              </w:rPr>
            </w:pPr>
          </w:p>
        </w:tc>
        <w:tc>
          <w:tcPr>
            <w:tcW w:w="340" w:type="dxa"/>
            <w:vAlign w:val="bottom"/>
            <w:vMerge w:val="restart"/>
          </w:tcPr>
          <w:p>
            <w:pPr>
              <w:spacing w:after="0"/>
              <w:rPr>
                <w:sz w:val="12"/>
                <w:szCs w:val="12"/>
                <w:color w:val="auto"/>
              </w:rPr>
            </w:pP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June</w:t>
            </w:r>
          </w:p>
        </w:tc>
        <w:tc>
          <w:tcPr>
            <w:tcW w:w="460" w:type="dxa"/>
            <w:vAlign w:val="bottom"/>
            <w:vMerge w:val="restart"/>
          </w:tcPr>
          <w:p>
            <w:pPr>
              <w:spacing w:after="0"/>
              <w:rPr>
                <w:sz w:val="12"/>
                <w:szCs w:val="12"/>
                <w:color w:val="auto"/>
              </w:rPr>
            </w:pPr>
          </w:p>
        </w:tc>
        <w:tc>
          <w:tcPr>
            <w:tcW w:w="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April</w:t>
            </w:r>
          </w:p>
        </w:tc>
        <w:tc>
          <w:tcPr>
            <w:tcW w:w="160" w:type="dxa"/>
            <w:vAlign w:val="bottom"/>
            <w:tcBorders>
              <w:top w:val="single" w:sz="8" w:color="auto"/>
              <w:bottom w:val="single" w:sz="8" w:color="auto"/>
            </w:tcBorders>
            <w:vMerge w:val="restart"/>
          </w:tcPr>
          <w:p>
            <w:pPr>
              <w:spacing w:after="0"/>
              <w:rPr>
                <w:sz w:val="12"/>
                <w:szCs w:val="12"/>
                <w:color w:val="auto"/>
              </w:rPr>
            </w:pPr>
          </w:p>
        </w:tc>
        <w:tc>
          <w:tcPr>
            <w:tcW w:w="1080" w:type="dxa"/>
            <w:vAlign w:val="bottom"/>
            <w:tcBorders>
              <w:top w:val="single" w:sz="8" w:color="auto"/>
              <w:bottom w:val="single" w:sz="8" w:color="auto"/>
            </w:tcBorders>
            <w:gridSpan w:val="3"/>
            <w:vMerge w:val="restart"/>
          </w:tcPr>
          <w:p>
            <w:pPr>
              <w:jc w:val="center"/>
              <w:ind w:left="74"/>
              <w:spacing w:after="0"/>
              <w:rPr>
                <w:sz w:val="20"/>
                <w:szCs w:val="20"/>
                <w:color w:val="auto"/>
              </w:rPr>
            </w:pPr>
            <w:r>
              <w:rPr>
                <w:rFonts w:ascii="Arial" w:cs="Arial" w:eastAsia="Arial" w:hAnsi="Arial"/>
                <w:sz w:val="14"/>
                <w:szCs w:val="14"/>
                <w:b w:val="1"/>
                <w:bCs w:val="1"/>
                <w:color w:val="auto"/>
              </w:rPr>
              <w:t>May</w:t>
            </w:r>
          </w:p>
        </w:tc>
        <w:tc>
          <w:tcPr>
            <w:tcW w:w="320" w:type="dxa"/>
            <w:vAlign w:val="bottom"/>
            <w:tcBorders>
              <w:top w:val="single" w:sz="8" w:color="auto"/>
            </w:tcBorders>
          </w:tcPr>
          <w:p>
            <w:pPr>
              <w:spacing w:after="0"/>
              <w:rPr>
                <w:sz w:val="12"/>
                <w:szCs w:val="12"/>
                <w:color w:val="auto"/>
              </w:rPr>
            </w:pPr>
          </w:p>
        </w:tc>
        <w:tc>
          <w:tcPr>
            <w:tcW w:w="7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5"/>
              </w:rPr>
              <w:t>June</w:t>
            </w:r>
          </w:p>
        </w:tc>
        <w:tc>
          <w:tcPr>
            <w:tcW w:w="0" w:type="dxa"/>
            <w:vAlign w:val="bottom"/>
          </w:tcPr>
          <w:p>
            <w:pPr>
              <w:spacing w:after="0"/>
              <w:rPr>
                <w:sz w:val="1"/>
                <w:szCs w:val="1"/>
                <w:color w:val="auto"/>
              </w:rPr>
            </w:pPr>
          </w:p>
        </w:tc>
      </w:tr>
      <w:tr>
        <w:trPr>
          <w:trHeight w:val="21"/>
        </w:trPr>
        <w:tc>
          <w:tcPr>
            <w:tcW w:w="252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360" w:type="dxa"/>
            <w:vAlign w:val="bottom"/>
            <w:gridSpan w:val="2"/>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540" w:type="dxa"/>
            <w:vAlign w:val="bottom"/>
            <w:gridSpan w:val="2"/>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400" w:type="dxa"/>
            <w:vAlign w:val="bottom"/>
            <w:gridSpan w:val="2"/>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080" w:type="dxa"/>
            <w:vAlign w:val="bottom"/>
            <w:gridSpan w:val="3"/>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25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On-time performance </w:t>
            </w:r>
            <w:r>
              <w:rPr>
                <w:rFonts w:ascii="Arial" w:cs="Arial" w:eastAsia="Arial" w:hAnsi="Arial"/>
                <w:sz w:val="8"/>
                <w:szCs w:val="8"/>
                <w:color w:val="auto"/>
              </w:rPr>
              <w:t>(b)</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5"/>
              </w:rPr>
              <w:t>82.7</w:t>
            </w:r>
          </w:p>
        </w:tc>
        <w:tc>
          <w:tcPr>
            <w:tcW w:w="34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79.1</w:t>
            </w:r>
          </w:p>
        </w:tc>
        <w:tc>
          <w:tcPr>
            <w:tcW w:w="760" w:type="dxa"/>
            <w:vAlign w:val="bottom"/>
            <w:gridSpan w:val="3"/>
            <w:shd w:val="clear" w:color="auto" w:fill="CCEEFF"/>
          </w:tcPr>
          <w:p>
            <w:pPr>
              <w:jc w:val="right"/>
              <w:ind w:right="15"/>
              <w:spacing w:after="0"/>
              <w:rPr>
                <w:sz w:val="20"/>
                <w:szCs w:val="20"/>
                <w:color w:val="auto"/>
              </w:rPr>
            </w:pPr>
            <w:r>
              <w:rPr>
                <w:rFonts w:ascii="Arial" w:cs="Arial" w:eastAsia="Arial" w:hAnsi="Arial"/>
                <w:sz w:val="18"/>
                <w:szCs w:val="18"/>
                <w:color w:val="auto"/>
              </w:rPr>
              <w:t>72.1</w:t>
            </w:r>
          </w:p>
        </w:tc>
        <w:tc>
          <w:tcPr>
            <w:tcW w:w="640" w:type="dxa"/>
            <w:vAlign w:val="bottom"/>
            <w:shd w:val="clear" w:color="auto" w:fill="CCEEFF"/>
          </w:tcPr>
          <w:p>
            <w:pPr>
              <w:spacing w:after="0"/>
              <w:rPr>
                <w:sz w:val="23"/>
                <w:szCs w:val="23"/>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5"/>
              </w:rPr>
              <w:t>76.1</w:t>
            </w:r>
          </w:p>
        </w:tc>
        <w:tc>
          <w:tcPr>
            <w:tcW w:w="620" w:type="dxa"/>
            <w:vAlign w:val="bottom"/>
            <w:shd w:val="clear" w:color="auto" w:fill="CCEEFF"/>
          </w:tcPr>
          <w:p>
            <w:pPr>
              <w:spacing w:after="0"/>
              <w:rPr>
                <w:sz w:val="23"/>
                <w:szCs w:val="23"/>
                <w:color w:val="auto"/>
              </w:rPr>
            </w:pPr>
          </w:p>
        </w:tc>
        <w:tc>
          <w:tcPr>
            <w:tcW w:w="4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78.7</w:t>
            </w:r>
          </w:p>
        </w:tc>
        <w:tc>
          <w:tcPr>
            <w:tcW w:w="320" w:type="dxa"/>
            <w:vAlign w:val="bottom"/>
            <w:shd w:val="clear" w:color="auto" w:fill="CCEEFF"/>
          </w:tcPr>
          <w:p>
            <w:pPr>
              <w:spacing w:after="0"/>
              <w:rPr>
                <w:sz w:val="23"/>
                <w:szCs w:val="23"/>
                <w:color w:val="auto"/>
              </w:rPr>
            </w:pPr>
          </w:p>
        </w:tc>
        <w:tc>
          <w:tcPr>
            <w:tcW w:w="8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71.2</w:t>
            </w:r>
          </w:p>
        </w:tc>
        <w:tc>
          <w:tcPr>
            <w:tcW w:w="10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6.6 pts</w:t>
            </w:r>
          </w:p>
        </w:tc>
        <w:tc>
          <w:tcPr>
            <w:tcW w:w="108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8"/>
              </w:rPr>
              <w:t>0.4 pts</w:t>
            </w:r>
          </w:p>
        </w:tc>
        <w:tc>
          <w:tcPr>
            <w:tcW w:w="10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0.9 pts</w:t>
            </w:r>
          </w:p>
        </w:tc>
        <w:tc>
          <w:tcPr>
            <w:tcW w:w="0" w:type="dxa"/>
            <w:vAlign w:val="bottom"/>
          </w:tcPr>
          <w:p>
            <w:pPr>
              <w:spacing w:after="0"/>
              <w:rPr>
                <w:sz w:val="1"/>
                <w:szCs w:val="1"/>
                <w:color w:val="auto"/>
              </w:rPr>
            </w:pPr>
          </w:p>
        </w:tc>
      </w:tr>
      <w:tr>
        <w:trPr>
          <w:trHeight w:val="264"/>
        </w:trPr>
        <w:tc>
          <w:tcPr>
            <w:tcW w:w="2520" w:type="dxa"/>
            <w:vAlign w:val="bottom"/>
          </w:tcPr>
          <w:p>
            <w:pPr>
              <w:ind w:left="20"/>
              <w:spacing w:after="0"/>
              <w:rPr>
                <w:sz w:val="20"/>
                <w:szCs w:val="20"/>
                <w:color w:val="auto"/>
              </w:rPr>
            </w:pPr>
            <w:r>
              <w:rPr>
                <w:rFonts w:ascii="Arial" w:cs="Arial" w:eastAsia="Arial" w:hAnsi="Arial"/>
                <w:sz w:val="14"/>
                <w:szCs w:val="14"/>
                <w:color w:val="auto"/>
              </w:rPr>
              <w:t xml:space="preserve">Completion factor </w:t>
            </w:r>
            <w:r>
              <w:rPr>
                <w:rFonts w:ascii="Arial" w:cs="Arial" w:eastAsia="Arial" w:hAnsi="Arial"/>
                <w:sz w:val="8"/>
                <w:szCs w:val="8"/>
                <w:color w:val="auto"/>
              </w:rPr>
              <w:t>(c)</w:t>
            </w:r>
          </w:p>
        </w:tc>
        <w:tc>
          <w:tcPr>
            <w:tcW w:w="340" w:type="dxa"/>
            <w:vAlign w:val="bottom"/>
          </w:tcPr>
          <w:p>
            <w:pPr>
              <w:ind w:left="20"/>
              <w:spacing w:after="0"/>
              <w:rPr>
                <w:sz w:val="20"/>
                <w:szCs w:val="20"/>
                <w:color w:val="auto"/>
              </w:rPr>
            </w:pPr>
            <w:r>
              <w:rPr>
                <w:rFonts w:ascii="Arial" w:cs="Arial" w:eastAsia="Arial" w:hAnsi="Arial"/>
                <w:sz w:val="18"/>
                <w:szCs w:val="18"/>
                <w:color w:val="auto"/>
                <w:w w:val="85"/>
              </w:rPr>
              <w:t>99.4</w:t>
            </w:r>
          </w:p>
        </w:tc>
        <w:tc>
          <w:tcPr>
            <w:tcW w:w="340" w:type="dxa"/>
            <w:vAlign w:val="bottom"/>
          </w:tcPr>
          <w:p>
            <w:pPr>
              <w:spacing w:after="0"/>
              <w:rPr>
                <w:sz w:val="22"/>
                <w:szCs w:val="22"/>
                <w:color w:val="auto"/>
              </w:rPr>
            </w:pPr>
          </w:p>
        </w:tc>
        <w:tc>
          <w:tcPr>
            <w:tcW w:w="1000" w:type="dxa"/>
            <w:vAlign w:val="bottom"/>
            <w:gridSpan w:val="3"/>
          </w:tcPr>
          <w:p>
            <w:pPr>
              <w:jc w:val="center"/>
              <w:spacing w:after="0"/>
              <w:rPr>
                <w:sz w:val="20"/>
                <w:szCs w:val="20"/>
                <w:color w:val="auto"/>
              </w:rPr>
            </w:pPr>
            <w:r>
              <w:rPr>
                <w:rFonts w:ascii="Arial" w:cs="Arial" w:eastAsia="Arial" w:hAnsi="Arial"/>
                <w:sz w:val="18"/>
                <w:szCs w:val="18"/>
                <w:color w:val="auto"/>
                <w:w w:val="91"/>
              </w:rPr>
              <w:t>98.2</w:t>
            </w:r>
          </w:p>
        </w:tc>
        <w:tc>
          <w:tcPr>
            <w:tcW w:w="760" w:type="dxa"/>
            <w:vAlign w:val="bottom"/>
            <w:gridSpan w:val="3"/>
          </w:tcPr>
          <w:p>
            <w:pPr>
              <w:jc w:val="right"/>
              <w:ind w:right="15"/>
              <w:spacing w:after="0"/>
              <w:rPr>
                <w:sz w:val="20"/>
                <w:szCs w:val="20"/>
                <w:color w:val="auto"/>
              </w:rPr>
            </w:pPr>
            <w:r>
              <w:rPr>
                <w:rFonts w:ascii="Arial" w:cs="Arial" w:eastAsia="Arial" w:hAnsi="Arial"/>
                <w:sz w:val="18"/>
                <w:szCs w:val="18"/>
                <w:color w:val="auto"/>
              </w:rPr>
              <w:t>98.8</w:t>
            </w:r>
          </w:p>
        </w:tc>
        <w:tc>
          <w:tcPr>
            <w:tcW w:w="64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w w:val="85"/>
              </w:rPr>
              <w:t>98.4</w:t>
            </w:r>
          </w:p>
        </w:tc>
        <w:tc>
          <w:tcPr>
            <w:tcW w:w="620" w:type="dxa"/>
            <w:vAlign w:val="bottom"/>
          </w:tcPr>
          <w:p>
            <w:pPr>
              <w:spacing w:after="0"/>
              <w:rPr>
                <w:sz w:val="22"/>
                <w:szCs w:val="22"/>
                <w:color w:val="auto"/>
              </w:rPr>
            </w:pPr>
          </w:p>
        </w:tc>
        <w:tc>
          <w:tcPr>
            <w:tcW w:w="460" w:type="dxa"/>
            <w:vAlign w:val="bottom"/>
            <w:gridSpan w:val="3"/>
          </w:tcPr>
          <w:p>
            <w:pPr>
              <w:jc w:val="center"/>
              <w:spacing w:after="0"/>
              <w:rPr>
                <w:sz w:val="20"/>
                <w:szCs w:val="20"/>
                <w:color w:val="auto"/>
              </w:rPr>
            </w:pPr>
            <w:r>
              <w:rPr>
                <w:rFonts w:ascii="Arial" w:cs="Arial" w:eastAsia="Arial" w:hAnsi="Arial"/>
                <w:sz w:val="18"/>
                <w:szCs w:val="18"/>
                <w:color w:val="auto"/>
                <w:w w:val="91"/>
              </w:rPr>
              <w:t>99.0</w:t>
            </w:r>
          </w:p>
        </w:tc>
        <w:tc>
          <w:tcPr>
            <w:tcW w:w="320" w:type="dxa"/>
            <w:vAlign w:val="bottom"/>
          </w:tcPr>
          <w:p>
            <w:pPr>
              <w:spacing w:after="0"/>
              <w:rPr>
                <w:sz w:val="22"/>
                <w:szCs w:val="22"/>
                <w:color w:val="auto"/>
              </w:rPr>
            </w:pPr>
          </w:p>
        </w:tc>
        <w:tc>
          <w:tcPr>
            <w:tcW w:w="880" w:type="dxa"/>
            <w:vAlign w:val="bottom"/>
            <w:gridSpan w:val="3"/>
          </w:tcPr>
          <w:p>
            <w:pPr>
              <w:ind w:left="320"/>
              <w:spacing w:after="0"/>
              <w:rPr>
                <w:sz w:val="20"/>
                <w:szCs w:val="20"/>
                <w:color w:val="auto"/>
              </w:rPr>
            </w:pPr>
            <w:r>
              <w:rPr>
                <w:rFonts w:ascii="Arial" w:cs="Arial" w:eastAsia="Arial" w:hAnsi="Arial"/>
                <w:sz w:val="18"/>
                <w:szCs w:val="18"/>
                <w:color w:val="auto"/>
              </w:rPr>
              <w:t>98.6</w:t>
            </w:r>
          </w:p>
        </w:tc>
        <w:tc>
          <w:tcPr>
            <w:tcW w:w="1020" w:type="dxa"/>
            <w:vAlign w:val="bottom"/>
            <w:gridSpan w:val="4"/>
          </w:tcPr>
          <w:p>
            <w:pPr>
              <w:jc w:val="right"/>
              <w:ind w:right="300"/>
              <w:spacing w:after="0"/>
              <w:rPr>
                <w:sz w:val="20"/>
                <w:szCs w:val="20"/>
                <w:color w:val="auto"/>
              </w:rPr>
            </w:pPr>
            <w:r>
              <w:rPr>
                <w:rFonts w:ascii="Arial" w:cs="Arial" w:eastAsia="Arial" w:hAnsi="Arial"/>
                <w:sz w:val="18"/>
                <w:szCs w:val="18"/>
                <w:color w:val="auto"/>
              </w:rPr>
              <w:t>1.0 pts</w:t>
            </w:r>
          </w:p>
        </w:tc>
        <w:tc>
          <w:tcPr>
            <w:tcW w:w="108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(0.8) pts</w:t>
            </w:r>
          </w:p>
        </w:tc>
        <w:tc>
          <w:tcPr>
            <w:tcW w:w="1060" w:type="dxa"/>
            <w:vAlign w:val="bottom"/>
            <w:gridSpan w:val="4"/>
          </w:tcPr>
          <w:p>
            <w:pPr>
              <w:ind w:left="180"/>
              <w:spacing w:after="0"/>
              <w:rPr>
                <w:sz w:val="20"/>
                <w:szCs w:val="20"/>
                <w:color w:val="auto"/>
              </w:rPr>
            </w:pPr>
            <w:r>
              <w:rPr>
                <w:rFonts w:ascii="Arial" w:cs="Arial" w:eastAsia="Arial" w:hAnsi="Arial"/>
                <w:sz w:val="18"/>
                <w:szCs w:val="18"/>
                <w:color w:val="auto"/>
              </w:rPr>
              <w:t>0.2 pts</w:t>
            </w:r>
          </w:p>
        </w:tc>
        <w:tc>
          <w:tcPr>
            <w:tcW w:w="0" w:type="dxa"/>
            <w:vAlign w:val="bottom"/>
          </w:tcPr>
          <w:p>
            <w:pPr>
              <w:spacing w:after="0"/>
              <w:rPr>
                <w:sz w:val="1"/>
                <w:szCs w:val="1"/>
                <w:color w:val="auto"/>
              </w:rPr>
            </w:pPr>
          </w:p>
        </w:tc>
      </w:tr>
      <w:tr>
        <w:trPr>
          <w:trHeight w:val="276"/>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Mishandled baggage </w:t>
            </w:r>
            <w:r>
              <w:rPr>
                <w:rFonts w:ascii="Arial" w:cs="Arial" w:eastAsia="Arial" w:hAnsi="Arial"/>
                <w:sz w:val="8"/>
                <w:szCs w:val="8"/>
                <w:color w:val="auto"/>
              </w:rPr>
              <w:t>(d)</w:t>
            </w: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5"/>
              </w:rPr>
              <w:t>3.00</w:t>
            </w:r>
          </w:p>
        </w:tc>
        <w:tc>
          <w:tcPr>
            <w:tcW w:w="34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3.73</w:t>
            </w:r>
          </w:p>
        </w:tc>
        <w:tc>
          <w:tcPr>
            <w:tcW w:w="760" w:type="dxa"/>
            <w:vAlign w:val="bottom"/>
            <w:gridSpan w:val="3"/>
            <w:shd w:val="clear" w:color="auto" w:fill="CCEEFF"/>
          </w:tcPr>
          <w:p>
            <w:pPr>
              <w:jc w:val="right"/>
              <w:ind w:right="15"/>
              <w:spacing w:after="0"/>
              <w:rPr>
                <w:sz w:val="20"/>
                <w:szCs w:val="20"/>
                <w:color w:val="auto"/>
              </w:rPr>
            </w:pPr>
            <w:r>
              <w:rPr>
                <w:rFonts w:ascii="Arial" w:cs="Arial" w:eastAsia="Arial" w:hAnsi="Arial"/>
                <w:sz w:val="18"/>
                <w:szCs w:val="18"/>
                <w:color w:val="auto"/>
              </w:rPr>
              <w:t>4.16</w:t>
            </w:r>
          </w:p>
        </w:tc>
        <w:tc>
          <w:tcPr>
            <w:tcW w:w="640" w:type="dxa"/>
            <w:vAlign w:val="bottom"/>
            <w:shd w:val="clear" w:color="auto" w:fill="CCEEFF"/>
          </w:tcPr>
          <w:p>
            <w:pPr>
              <w:spacing w:after="0"/>
              <w:rPr>
                <w:sz w:val="24"/>
                <w:szCs w:val="24"/>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5"/>
              </w:rPr>
              <w:t>2.77</w:t>
            </w:r>
          </w:p>
        </w:tc>
        <w:tc>
          <w:tcPr>
            <w:tcW w:w="620" w:type="dxa"/>
            <w:vAlign w:val="bottom"/>
            <w:shd w:val="clear" w:color="auto" w:fill="CCEEFF"/>
          </w:tcPr>
          <w:p>
            <w:pPr>
              <w:spacing w:after="0"/>
              <w:rPr>
                <w:sz w:val="24"/>
                <w:szCs w:val="24"/>
                <w:color w:val="auto"/>
              </w:rPr>
            </w:pPr>
          </w:p>
        </w:tc>
        <w:tc>
          <w:tcPr>
            <w:tcW w:w="4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2.63</w:t>
            </w:r>
          </w:p>
        </w:tc>
        <w:tc>
          <w:tcPr>
            <w:tcW w:w="320" w:type="dxa"/>
            <w:vAlign w:val="bottom"/>
            <w:shd w:val="clear" w:color="auto" w:fill="CCEEFF"/>
          </w:tcPr>
          <w:p>
            <w:pPr>
              <w:spacing w:after="0"/>
              <w:rPr>
                <w:sz w:val="24"/>
                <w:szCs w:val="24"/>
                <w:color w:val="auto"/>
              </w:rPr>
            </w:pPr>
          </w:p>
        </w:tc>
        <w:tc>
          <w:tcPr>
            <w:tcW w:w="8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3.38</w:t>
            </w:r>
          </w:p>
        </w:tc>
        <w:tc>
          <w:tcPr>
            <w:tcW w:w="1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1080" w:type="dxa"/>
            <w:vAlign w:val="bottom"/>
            <w:gridSpan w:val="3"/>
            <w:shd w:val="clear" w:color="auto" w:fill="CCEEFF"/>
          </w:tcPr>
          <w:p>
            <w:pPr>
              <w:jc w:val="center"/>
              <w:ind w:left="94"/>
              <w:spacing w:after="0"/>
              <w:rPr>
                <w:sz w:val="20"/>
                <w:szCs w:val="20"/>
                <w:color w:val="auto"/>
              </w:rPr>
            </w:pPr>
            <w:r>
              <w:rPr>
                <w:rFonts w:ascii="Arial" w:cs="Arial" w:eastAsia="Arial" w:hAnsi="Arial"/>
                <w:sz w:val="18"/>
                <w:szCs w:val="18"/>
                <w:color w:val="auto"/>
                <w:w w:val="91"/>
              </w:rPr>
              <w:t>(41.8)%</w:t>
            </w:r>
          </w:p>
        </w:tc>
        <w:tc>
          <w:tcPr>
            <w:tcW w:w="106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5"/>
              </w:rPr>
              <w:t>(23.1)%</w:t>
            </w:r>
          </w:p>
        </w:tc>
        <w:tc>
          <w:tcPr>
            <w:tcW w:w="0" w:type="dxa"/>
            <w:vAlign w:val="bottom"/>
          </w:tcPr>
          <w:p>
            <w:pPr>
              <w:spacing w:after="0"/>
              <w:rPr>
                <w:sz w:val="1"/>
                <w:szCs w:val="1"/>
                <w:color w:val="auto"/>
              </w:rPr>
            </w:pPr>
          </w:p>
        </w:tc>
      </w:tr>
      <w:tr>
        <w:trPr>
          <w:trHeight w:val="258"/>
        </w:trPr>
        <w:tc>
          <w:tcPr>
            <w:tcW w:w="2520" w:type="dxa"/>
            <w:vAlign w:val="bottom"/>
          </w:tcPr>
          <w:p>
            <w:pPr>
              <w:ind w:left="20"/>
              <w:spacing w:after="0"/>
              <w:rPr>
                <w:sz w:val="20"/>
                <w:szCs w:val="20"/>
                <w:color w:val="auto"/>
              </w:rPr>
            </w:pPr>
            <w:r>
              <w:rPr>
                <w:rFonts w:ascii="Arial" w:cs="Arial" w:eastAsia="Arial" w:hAnsi="Arial"/>
                <w:sz w:val="14"/>
                <w:szCs w:val="14"/>
                <w:color w:val="auto"/>
              </w:rPr>
              <w:t xml:space="preserve">Customer complaints </w:t>
            </w:r>
            <w:r>
              <w:rPr>
                <w:rFonts w:ascii="Arial" w:cs="Arial" w:eastAsia="Arial" w:hAnsi="Arial"/>
                <w:sz w:val="8"/>
                <w:szCs w:val="8"/>
                <w:color w:val="auto"/>
              </w:rPr>
              <w:t>(e)</w:t>
            </w:r>
          </w:p>
        </w:tc>
        <w:tc>
          <w:tcPr>
            <w:tcW w:w="340" w:type="dxa"/>
            <w:vAlign w:val="bottom"/>
          </w:tcPr>
          <w:p>
            <w:pPr>
              <w:ind w:left="20"/>
              <w:spacing w:after="0"/>
              <w:rPr>
                <w:sz w:val="20"/>
                <w:szCs w:val="20"/>
                <w:color w:val="auto"/>
              </w:rPr>
            </w:pPr>
            <w:r>
              <w:rPr>
                <w:rFonts w:ascii="Arial" w:cs="Arial" w:eastAsia="Arial" w:hAnsi="Arial"/>
                <w:sz w:val="18"/>
                <w:szCs w:val="18"/>
                <w:color w:val="auto"/>
                <w:w w:val="85"/>
              </w:rPr>
              <w:t>1.94</w:t>
            </w:r>
          </w:p>
        </w:tc>
        <w:tc>
          <w:tcPr>
            <w:tcW w:w="340" w:type="dxa"/>
            <w:vAlign w:val="bottom"/>
          </w:tcPr>
          <w:p>
            <w:pPr>
              <w:spacing w:after="0"/>
              <w:rPr>
                <w:sz w:val="22"/>
                <w:szCs w:val="22"/>
                <w:color w:val="auto"/>
              </w:rPr>
            </w:pPr>
          </w:p>
        </w:tc>
        <w:tc>
          <w:tcPr>
            <w:tcW w:w="1000" w:type="dxa"/>
            <w:vAlign w:val="bottom"/>
            <w:gridSpan w:val="3"/>
          </w:tcPr>
          <w:p>
            <w:pPr>
              <w:jc w:val="center"/>
              <w:spacing w:after="0"/>
              <w:rPr>
                <w:sz w:val="20"/>
                <w:szCs w:val="20"/>
                <w:color w:val="auto"/>
              </w:rPr>
            </w:pPr>
            <w:r>
              <w:rPr>
                <w:rFonts w:ascii="Arial" w:cs="Arial" w:eastAsia="Arial" w:hAnsi="Arial"/>
                <w:sz w:val="18"/>
                <w:szCs w:val="18"/>
                <w:color w:val="auto"/>
                <w:w w:val="91"/>
              </w:rPr>
              <w:t>2.25</w:t>
            </w:r>
          </w:p>
        </w:tc>
        <w:tc>
          <w:tcPr>
            <w:tcW w:w="760" w:type="dxa"/>
            <w:vAlign w:val="bottom"/>
            <w:gridSpan w:val="3"/>
          </w:tcPr>
          <w:p>
            <w:pPr>
              <w:jc w:val="right"/>
              <w:ind w:right="15"/>
              <w:spacing w:after="0"/>
              <w:rPr>
                <w:sz w:val="20"/>
                <w:szCs w:val="20"/>
                <w:color w:val="auto"/>
              </w:rPr>
            </w:pPr>
            <w:r>
              <w:rPr>
                <w:rFonts w:ascii="Arial" w:cs="Arial" w:eastAsia="Arial" w:hAnsi="Arial"/>
                <w:sz w:val="18"/>
                <w:szCs w:val="18"/>
                <w:color w:val="auto"/>
              </w:rPr>
              <w:t>2.25</w:t>
            </w:r>
          </w:p>
        </w:tc>
        <w:tc>
          <w:tcPr>
            <w:tcW w:w="640" w:type="dxa"/>
            <w:vAlign w:val="bottom"/>
          </w:tcPr>
          <w:p>
            <w:pPr>
              <w:spacing w:after="0"/>
              <w:rPr>
                <w:sz w:val="22"/>
                <w:szCs w:val="22"/>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w w:val="85"/>
              </w:rPr>
              <w:t>2.04</w:t>
            </w:r>
          </w:p>
        </w:tc>
        <w:tc>
          <w:tcPr>
            <w:tcW w:w="620" w:type="dxa"/>
            <w:vAlign w:val="bottom"/>
          </w:tcPr>
          <w:p>
            <w:pPr>
              <w:spacing w:after="0"/>
              <w:rPr>
                <w:sz w:val="22"/>
                <w:szCs w:val="22"/>
                <w:color w:val="auto"/>
              </w:rPr>
            </w:pPr>
          </w:p>
        </w:tc>
        <w:tc>
          <w:tcPr>
            <w:tcW w:w="460" w:type="dxa"/>
            <w:vAlign w:val="bottom"/>
            <w:gridSpan w:val="3"/>
          </w:tcPr>
          <w:p>
            <w:pPr>
              <w:jc w:val="center"/>
              <w:spacing w:after="0"/>
              <w:rPr>
                <w:sz w:val="20"/>
                <w:szCs w:val="20"/>
                <w:color w:val="auto"/>
              </w:rPr>
            </w:pPr>
            <w:r>
              <w:rPr>
                <w:rFonts w:ascii="Arial" w:cs="Arial" w:eastAsia="Arial" w:hAnsi="Arial"/>
                <w:sz w:val="18"/>
                <w:szCs w:val="18"/>
                <w:color w:val="auto"/>
                <w:w w:val="91"/>
              </w:rPr>
              <w:t>1.59</w:t>
            </w:r>
          </w:p>
        </w:tc>
        <w:tc>
          <w:tcPr>
            <w:tcW w:w="320" w:type="dxa"/>
            <w:vAlign w:val="bottom"/>
          </w:tcPr>
          <w:p>
            <w:pPr>
              <w:spacing w:after="0"/>
              <w:rPr>
                <w:sz w:val="22"/>
                <w:szCs w:val="22"/>
                <w:color w:val="auto"/>
              </w:rPr>
            </w:pPr>
          </w:p>
        </w:tc>
        <w:tc>
          <w:tcPr>
            <w:tcW w:w="880" w:type="dxa"/>
            <w:vAlign w:val="bottom"/>
            <w:gridSpan w:val="3"/>
          </w:tcPr>
          <w:p>
            <w:pPr>
              <w:ind w:left="320"/>
              <w:spacing w:after="0"/>
              <w:rPr>
                <w:sz w:val="20"/>
                <w:szCs w:val="20"/>
                <w:color w:val="auto"/>
              </w:rPr>
            </w:pPr>
            <w:r>
              <w:rPr>
                <w:rFonts w:ascii="Arial" w:cs="Arial" w:eastAsia="Arial" w:hAnsi="Arial"/>
                <w:sz w:val="18"/>
                <w:szCs w:val="18"/>
                <w:color w:val="auto"/>
              </w:rPr>
              <w:t>1.89</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22"/>
                <w:szCs w:val="22"/>
                <w:color w:val="auto"/>
              </w:rPr>
            </w:pPr>
          </w:p>
        </w:tc>
        <w:tc>
          <w:tcPr>
            <w:tcW w:w="1080" w:type="dxa"/>
            <w:vAlign w:val="bottom"/>
            <w:gridSpan w:val="3"/>
          </w:tcPr>
          <w:p>
            <w:pPr>
              <w:jc w:val="center"/>
              <w:ind w:left="94"/>
              <w:spacing w:after="0"/>
              <w:rPr>
                <w:sz w:val="20"/>
                <w:szCs w:val="20"/>
                <w:color w:val="auto"/>
              </w:rPr>
            </w:pPr>
            <w:r>
              <w:rPr>
                <w:rFonts w:ascii="Arial" w:cs="Arial" w:eastAsia="Arial" w:hAnsi="Arial"/>
                <w:sz w:val="18"/>
                <w:szCs w:val="18"/>
                <w:color w:val="auto"/>
                <w:w w:val="91"/>
              </w:rPr>
              <w:t>(41.5)%</w:t>
            </w:r>
          </w:p>
        </w:tc>
        <w:tc>
          <w:tcPr>
            <w:tcW w:w="1060" w:type="dxa"/>
            <w:vAlign w:val="bottom"/>
            <w:gridSpan w:val="4"/>
          </w:tcPr>
          <w:p>
            <w:pPr>
              <w:jc w:val="center"/>
              <w:spacing w:after="0"/>
              <w:rPr>
                <w:sz w:val="20"/>
                <w:szCs w:val="20"/>
                <w:color w:val="auto"/>
              </w:rPr>
            </w:pPr>
            <w:r>
              <w:rPr>
                <w:rFonts w:ascii="Arial" w:cs="Arial" w:eastAsia="Arial" w:hAnsi="Arial"/>
                <w:sz w:val="18"/>
                <w:szCs w:val="18"/>
                <w:color w:val="auto"/>
                <w:w w:val="95"/>
              </w:rPr>
              <w:t>(19.0)%</w:t>
            </w: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200" w:hanging="192"/>
        <w:spacing w:after="0"/>
        <w:tabs>
          <w:tab w:leader="none" w:pos="200" w:val="left"/>
        </w:tabs>
        <w:numPr>
          <w:ilvl w:val="0"/>
          <w:numId w:val="27"/>
        </w:numPr>
        <w:rPr>
          <w:rFonts w:ascii="Arial" w:cs="Arial" w:eastAsia="Arial" w:hAnsi="Arial"/>
          <w:sz w:val="23"/>
          <w:szCs w:val="23"/>
          <w:color w:val="auto"/>
          <w:vertAlign w:val="superscript"/>
        </w:rPr>
      </w:pPr>
      <w:r>
        <w:rPr>
          <w:rFonts w:ascii="Arial" w:cs="Arial" w:eastAsia="Arial" w:hAnsi="Arial"/>
          <w:sz w:val="17"/>
          <w:szCs w:val="17"/>
          <w:color w:val="auto"/>
        </w:rPr>
        <w:t>Represents the combined historical operating statistics for American and US Airways.</w:t>
      </w:r>
    </w:p>
    <w:p>
      <w:pPr>
        <w:spacing w:after="0" w:line="55"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27"/>
        </w:numPr>
        <w:rPr>
          <w:rFonts w:ascii="Arial" w:cs="Arial" w:eastAsia="Arial" w:hAnsi="Arial"/>
          <w:sz w:val="23"/>
          <w:szCs w:val="23"/>
          <w:color w:val="auto"/>
          <w:vertAlign w:val="superscript"/>
        </w:rPr>
      </w:pPr>
      <w:r>
        <w:rPr>
          <w:rFonts w:ascii="Arial" w:cs="Arial" w:eastAsia="Arial" w:hAnsi="Arial"/>
          <w:sz w:val="17"/>
          <w:szCs w:val="17"/>
          <w:color w:val="auto"/>
        </w:rPr>
        <w:t>Percentage of reported flight operations arriving on time as defined by the DOT.</w:t>
      </w:r>
    </w:p>
    <w:p>
      <w:pPr>
        <w:spacing w:after="0" w:line="56" w:lineRule="exact"/>
        <w:rPr>
          <w:rFonts w:ascii="Arial" w:cs="Arial" w:eastAsia="Arial" w:hAnsi="Arial"/>
          <w:sz w:val="23"/>
          <w:szCs w:val="23"/>
          <w:color w:val="auto"/>
          <w:vertAlign w:val="superscript"/>
        </w:rPr>
      </w:pPr>
    </w:p>
    <w:p>
      <w:pPr>
        <w:ind w:left="200" w:hanging="192"/>
        <w:spacing w:after="0" w:line="186" w:lineRule="auto"/>
        <w:tabs>
          <w:tab w:leader="none" w:pos="200" w:val="left"/>
        </w:tabs>
        <w:numPr>
          <w:ilvl w:val="0"/>
          <w:numId w:val="27"/>
        </w:numPr>
        <w:rPr>
          <w:rFonts w:ascii="Arial" w:cs="Arial" w:eastAsia="Arial" w:hAnsi="Arial"/>
          <w:sz w:val="24"/>
          <w:szCs w:val="24"/>
          <w:color w:val="auto"/>
          <w:vertAlign w:val="superscript"/>
        </w:rPr>
      </w:pPr>
      <w:r>
        <w:rPr>
          <w:rFonts w:ascii="Arial" w:cs="Arial" w:eastAsia="Arial" w:hAnsi="Arial"/>
          <w:sz w:val="17"/>
          <w:szCs w:val="17"/>
          <w:color w:val="auto"/>
        </w:rPr>
        <w:t>Percentage of scheduled flight operations completed.</w:t>
      </w:r>
    </w:p>
    <w:p>
      <w:pPr>
        <w:spacing w:after="0" w:line="56" w:lineRule="exact"/>
        <w:rPr>
          <w:rFonts w:ascii="Arial" w:cs="Arial" w:eastAsia="Arial" w:hAnsi="Arial"/>
          <w:sz w:val="24"/>
          <w:szCs w:val="24"/>
          <w:color w:val="auto"/>
          <w:vertAlign w:val="superscript"/>
        </w:rPr>
      </w:pPr>
    </w:p>
    <w:p>
      <w:pPr>
        <w:ind w:left="200" w:hanging="192"/>
        <w:spacing w:after="0" w:line="194" w:lineRule="auto"/>
        <w:tabs>
          <w:tab w:leader="none" w:pos="200" w:val="left"/>
        </w:tabs>
        <w:numPr>
          <w:ilvl w:val="0"/>
          <w:numId w:val="27"/>
        </w:numPr>
        <w:rPr>
          <w:rFonts w:ascii="Arial" w:cs="Arial" w:eastAsia="Arial" w:hAnsi="Arial"/>
          <w:sz w:val="23"/>
          <w:szCs w:val="23"/>
          <w:color w:val="auto"/>
          <w:vertAlign w:val="superscript"/>
        </w:rPr>
      </w:pPr>
      <w:r>
        <w:rPr>
          <w:rFonts w:ascii="Arial" w:cs="Arial" w:eastAsia="Arial" w:hAnsi="Arial"/>
          <w:sz w:val="17"/>
          <w:szCs w:val="17"/>
          <w:color w:val="auto"/>
        </w:rPr>
        <w:t>Rate of mishandled baggage reports per 1,000 passengers.</w:t>
      </w:r>
    </w:p>
    <w:p>
      <w:pPr>
        <w:spacing w:after="0" w:line="56"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27"/>
        </w:numPr>
        <w:rPr>
          <w:rFonts w:ascii="Arial" w:cs="Arial" w:eastAsia="Arial" w:hAnsi="Arial"/>
          <w:sz w:val="23"/>
          <w:szCs w:val="23"/>
          <w:color w:val="auto"/>
          <w:vertAlign w:val="superscript"/>
        </w:rPr>
      </w:pPr>
      <w:r>
        <w:rPr>
          <w:rFonts w:ascii="Arial" w:cs="Arial" w:eastAsia="Arial" w:hAnsi="Arial"/>
          <w:sz w:val="17"/>
          <w:szCs w:val="17"/>
          <w:color w:val="auto"/>
        </w:rPr>
        <w:t>Rate of customer complaints filed with the DOT per 100,000 enplanements.</w:t>
      </w:r>
    </w:p>
    <w:p>
      <w:pPr>
        <w:spacing w:after="0" w:line="56" w:lineRule="exact"/>
        <w:rPr>
          <w:rFonts w:ascii="Arial" w:cs="Arial" w:eastAsia="Arial" w:hAnsi="Arial"/>
          <w:sz w:val="23"/>
          <w:szCs w:val="23"/>
          <w:color w:val="auto"/>
          <w:vertAlign w:val="superscript"/>
        </w:rPr>
      </w:pPr>
    </w:p>
    <w:p>
      <w:pPr>
        <w:ind w:left="180" w:hanging="172"/>
        <w:spacing w:after="0" w:line="186" w:lineRule="auto"/>
        <w:tabs>
          <w:tab w:leader="none" w:pos="180" w:val="left"/>
        </w:tabs>
        <w:numPr>
          <w:ilvl w:val="0"/>
          <w:numId w:val="27"/>
        </w:numPr>
        <w:rPr>
          <w:rFonts w:ascii="Arial" w:cs="Arial" w:eastAsia="Arial" w:hAnsi="Arial"/>
          <w:sz w:val="24"/>
          <w:szCs w:val="24"/>
          <w:color w:val="auto"/>
          <w:vertAlign w:val="superscript"/>
        </w:rPr>
      </w:pPr>
      <w:r>
        <w:rPr>
          <w:rFonts w:ascii="Arial" w:cs="Arial" w:eastAsia="Arial" w:hAnsi="Arial"/>
          <w:sz w:val="17"/>
          <w:szCs w:val="17"/>
          <w:color w:val="auto"/>
        </w:rPr>
        <w:t>June 2014 operating statistics are preliminary as the DOT has not issued its June 2014 Air Travel Consumer Report as of the date of this filing.</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Liquidity Position</w:t>
      </w:r>
    </w:p>
    <w:p>
      <w:pPr>
        <w:spacing w:after="0" w:line="5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June 30, 2014, AAG's total cash and short-term investments was $10.3 billion, of which $882 million was restricted. The Company also has a $1 billion undrawn revolving credit facility.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30"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June 30,</w:t>
            </w: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w w:val="95"/>
              </w:rPr>
              <w:t>December 31,</w:t>
            </w:r>
          </w:p>
        </w:tc>
      </w:tr>
      <w:tr>
        <w:trPr>
          <w:trHeight w:val="230"/>
        </w:trPr>
        <w:tc>
          <w:tcPr>
            <w:tcW w:w="6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53"/>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color w:val="auto"/>
                <w:w w:val="99"/>
              </w:rPr>
              <w:t>2013</w:t>
            </w:r>
          </w:p>
        </w:tc>
      </w:tr>
      <w:tr>
        <w:trPr>
          <w:trHeight w:val="27"/>
        </w:trPr>
        <w:tc>
          <w:tcPr>
            <w:tcW w:w="6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60" w:type="dxa"/>
            <w:vAlign w:val="bottom"/>
          </w:tcPr>
          <w:p>
            <w:pPr>
              <w:spacing w:after="0"/>
              <w:rPr>
                <w:sz w:val="21"/>
                <w:szCs w:val="21"/>
                <w:color w:val="auto"/>
              </w:rPr>
            </w:pPr>
          </w:p>
        </w:tc>
      </w:tr>
      <w:tr>
        <w:trPr>
          <w:trHeight w:val="276"/>
        </w:trPr>
        <w:tc>
          <w:tcPr>
            <w:tcW w:w="646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Cash and short-term investments </w:t>
            </w:r>
            <w:r>
              <w:rPr>
                <w:rFonts w:ascii="Arial" w:cs="Arial" w:eastAsia="Arial" w:hAnsi="Arial"/>
                <w:sz w:val="25"/>
                <w:szCs w:val="25"/>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9,251</w:t>
            </w:r>
          </w:p>
        </w:tc>
      </w:tr>
      <w:tr>
        <w:trPr>
          <w:trHeight w:val="270"/>
        </w:trPr>
        <w:tc>
          <w:tcPr>
            <w:tcW w:w="64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5"/>
                <w:szCs w:val="25"/>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w:t>
            </w:r>
          </w:p>
        </w:tc>
      </w:tr>
      <w:tr>
        <w:trPr>
          <w:trHeight w:val="257"/>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and short-term investments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10,286</w:t>
            </w: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4248150</wp:posOffset>
            </wp:positionH>
            <wp:positionV relativeFrom="page">
              <wp:posOffset>328930</wp:posOffset>
            </wp:positionV>
            <wp:extent cx="16465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jc w:val="both"/>
        <w:ind w:left="340" w:hanging="332"/>
        <w:spacing w:after="0" w:line="257" w:lineRule="auto"/>
        <w:tabs>
          <w:tab w:leader="none" w:pos="340" w:val="left"/>
        </w:tabs>
        <w:numPr>
          <w:ilvl w:val="0"/>
          <w:numId w:val="28"/>
        </w:numPr>
        <w:rPr>
          <w:rFonts w:ascii="Arial" w:cs="Arial" w:eastAsia="Arial" w:hAnsi="Arial"/>
          <w:sz w:val="24"/>
          <w:szCs w:val="24"/>
          <w:color w:val="auto"/>
          <w:vertAlign w:val="superscript"/>
        </w:rPr>
      </w:pPr>
      <w:r>
        <w:rPr>
          <w:rFonts w:ascii="Arial" w:cs="Arial" w:eastAsia="Arial" w:hAnsi="Arial"/>
          <w:sz w:val="17"/>
          <w:szCs w:val="17"/>
          <w:color w:val="auto"/>
        </w:rPr>
        <w:t>As of June 30, 2014, $791 million of our unrestricted cash balance was held in Venezuelan bolivars, valued at the weighted average applicable exchange rate of 6.53 bolivars to the dollar. This includes approximately $94 million valued at 4.3 bolivars, approximately $611 million valued at 6.3 bolivars, and approximately $86 million valued at 10.6 bolivars, with the rate depending on the date we submitted our repatriation request to the Venezuelan government. In the first quarter of 2014, the Venezuelan government announced that a newly-implemented system (SICAD I) will determine the exchange rate (which fluctuates as determined by weekly auctions and at June 30, 2014 was 10.6 bolivars to the dollar) for repatriation of cash proceeds from ticket sales after January 1, 2014, and introduced new procedures for approval of repatriation of local currency. We are continuing to work with Venezuelan authorities regarding the timing and exchange rate applicable to the repatriation of funds held in local currency. However, pending further repatriation of funds, and due to the significant decrease in demand for air travel resulting from the effective devaluation of the bolivar, we recently significantly reduced capacity in this market. We are monitoring this situation closely and continue to evaluate our holdings of Venezuelan bolivars for potential impairment. See Part II, Item 1A - Risk Factors "</w:t>
      </w:r>
      <w:r>
        <w:rPr>
          <w:rFonts w:ascii="Arial" w:cs="Arial" w:eastAsia="Arial" w:hAnsi="Arial"/>
          <w:sz w:val="17"/>
          <w:szCs w:val="17"/>
          <w:i w:val="1"/>
          <w:iCs w:val="1"/>
          <w:color w:val="auto"/>
        </w:rPr>
        <w:t>We operate a global business with international operations that are subject to economic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political instability and have been, and in the future may continue to be, adversely affected by numerous events, circumstances or government actions beyond our control" </w:t>
      </w:r>
      <w:r>
        <w:rPr>
          <w:rFonts w:ascii="Arial" w:cs="Arial" w:eastAsia="Arial" w:hAnsi="Arial"/>
          <w:sz w:val="17"/>
          <w:szCs w:val="17"/>
          <w:color w:val="auto"/>
        </w:rPr>
        <w:t>for additional discussion of this and other currency risks.</w:t>
      </w:r>
    </w:p>
    <w:p>
      <w:pPr>
        <w:spacing w:after="0" w:line="9" w:lineRule="exact"/>
        <w:rPr>
          <w:rFonts w:ascii="Arial" w:cs="Arial" w:eastAsia="Arial" w:hAnsi="Arial"/>
          <w:sz w:val="24"/>
          <w:szCs w:val="24"/>
          <w:color w:val="auto"/>
          <w:vertAlign w:val="superscript"/>
        </w:rPr>
      </w:pPr>
    </w:p>
    <w:p>
      <w:pPr>
        <w:ind w:left="340" w:hanging="332"/>
        <w:spacing w:after="0" w:line="180" w:lineRule="auto"/>
        <w:tabs>
          <w:tab w:leader="none" w:pos="34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Restricted cash and investments primarily include cash collateral to secure workers’ compensation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-1791335</wp:posOffset>
            </wp:positionV>
            <wp:extent cx="16465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first six months of 2014, we utilized cash generated from operations to pay down certain debt obligations and reduce our diluted share count.</w:t>
      </w:r>
    </w:p>
    <w:p>
      <w:pPr>
        <w:spacing w:after="0" w:line="1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we prepaid $100 million of our 7.50% senior secured notes at a redemption price of 103%, in May we prepaid $113 million of certain aircraft debt, and in June we prepaid $51 million of obligations, of which $29 million was reflected as debt on our balance sheet, associated with special facility revenue bonds issued by municipalities to build or improve certain airport and maintenance facilities. In June, we also gave notice that we intend to prepay an additional $261 million of special facility bond related obligations in the third quarter of 2014, of which $106 million is reflected as debt on our balance sheet. The off-balance sheet portion of these obligations are accounted for as operating leases. We also used $630 million of cash to purchase aircraft that were previously leased.</w:t>
      </w:r>
    </w:p>
    <w:p>
      <w:pPr>
        <w:spacing w:after="0" w:line="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first and second quarter 2014 distributions under the Plan, we paid $246 million in cash for tax withholdings for employees in lieu of issuing 7 million shares of AAG Common Stock under the Plan. This brings the total cash paid since the Effective Date for tax withholdings in lieu of the issuance of approximately 20 million shares of AAG Common Stock under the Plan to $542 million. Additionally in May 2014, we settled US Airways Group's 7.25% convertible notes for approximately $175 million in cash instead of shares of AAG Common Stock. This reduced our diluted share count by approximately 4 million shares.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Additionally, in July 2014 we announced the following:</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Capital Deployment Program</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23, 2014, our Board of Directors authorized a $1.0 billion share repurchase program to be completed no later than December 31, 2015. Shares repurchased under the program may be made through a variety of methods, which may include open market purchases, privately negotiated transactions, block trades or accelerated share repurchase transactions. Any such repurchases will be made from time to time subject to market and economic conditions, applicable legal requirements and other relevant factors. Additionally on June 23, 2014, the Board of Directors declared a $0.10 per share dividend for stockholders of record on August 4, 2014, and payable on August 18, 2014.</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program described above does not obligate us to repurchase any specific number of shares or continue a dividend for any fixed period, and may be suspended at any time at management’s discretion.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Redemption of 7.50% Senior Secured Notes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July 23, 2014, we gave irrevocable notice calling for the redemption of the $900 million principal amount of 7.50% senior secured notes due March 31, 2016 that remain outstanding at a redemption price of 103.75% of the principal amount plus accrued and unpaid interest. These notes will be required to be redeemed on August 22, 2014.</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44" w:right="239" w:bottom="1440" w:gutter="0" w:footer="0" w:header="0"/>
        </w:sectPr>
      </w:pPr>
    </w:p>
    <w:bookmarkStart w:id="58" w:name="page59"/>
    <w:bookmarkEnd w:id="58"/>
    <w:p>
      <w:pPr>
        <w:ind w:left="660"/>
        <w:spacing w:after="0"/>
        <w:rPr>
          <w:sz w:val="20"/>
          <w:szCs w:val="20"/>
          <w:color w:val="auto"/>
        </w:rPr>
      </w:pPr>
      <w:r>
        <w:rPr>
          <w:rFonts w:ascii="Arial" w:cs="Arial" w:eastAsia="Arial" w:hAnsi="Arial"/>
          <w:sz w:val="18"/>
          <w:szCs w:val="18"/>
          <w:u w:val="single" w:color="auto"/>
          <w:color w:val="auto"/>
        </w:rPr>
        <w:t>Pension Prefunding</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July 23, 2014, our Board of Directors approved plans to make supplemental contributions of up to $600 million to our defined benefit plans in 2014. These contributions would be above and beyond the $120 million minimum required contributions for 2014.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2014 Outlook</w:t>
      </w:r>
    </w:p>
    <w:p>
      <w:pPr>
        <w:spacing w:after="0" w:line="6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taken significant actions in the last year to restore our competitiveness, including the completion of our restructuring and the Merger. Although it is difficult to predict the price of oil or the strength of the economy, we believe that our second quarter 2014 financial results are evidence of the strong foundation we have in place and can build 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Reconciliation of GAAP Financial Information to Non-GAAP Financial Information</w:t>
      </w:r>
    </w:p>
    <w:p>
      <w:pPr>
        <w:spacing w:after="0" w:line="11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believe that the presentation of mainline CASM excluding fuel is useful to investors as both the cost and availability of fuel are subject to many economic and political factors beyond our control, and the exclusion of special items provides investors the ability to measure financial performance in a way that is more indicative of our ongoing performance and is more comparable to measures reported by other major airlines. Management uses mainline CASM excluding special items and fuel to evaluate our operating performance. Amounts may not recalculate due to rounding.</w:t>
      </w:r>
    </w:p>
    <w:p>
      <w:pPr>
        <w:spacing w:after="0" w:line="15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gridSpan w:val="7"/>
          </w:tcPr>
          <w:p>
            <w:pPr>
              <w:jc w:val="center"/>
              <w:ind w:right="130"/>
              <w:spacing w:after="0"/>
              <w:rPr>
                <w:sz w:val="20"/>
                <w:szCs w:val="20"/>
                <w:color w:val="auto"/>
              </w:rPr>
            </w:pPr>
            <w:r>
              <w:rPr>
                <w:rFonts w:ascii="Arial" w:cs="Arial" w:eastAsia="Arial" w:hAnsi="Arial"/>
                <w:sz w:val="18"/>
                <w:szCs w:val="18"/>
                <w:color w:val="auto"/>
                <w:w w:val="89"/>
              </w:rPr>
              <w:t>Three Months Ended June 30, 2013</w:t>
            </w:r>
          </w:p>
        </w:tc>
        <w:tc>
          <w:tcPr>
            <w:tcW w:w="0" w:type="dxa"/>
            <w:vAlign w:val="bottom"/>
          </w:tcPr>
          <w:p>
            <w:pPr>
              <w:spacing w:after="0"/>
              <w:rPr>
                <w:sz w:val="1"/>
                <w:szCs w:val="1"/>
                <w:color w:val="auto"/>
              </w:rPr>
            </w:pPr>
          </w:p>
        </w:tc>
      </w:tr>
      <w:tr>
        <w:trPr>
          <w:trHeight w:val="27"/>
        </w:trPr>
        <w:tc>
          <w:tcPr>
            <w:tcW w:w="570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3"/>
              </w:rPr>
              <w:t>Reconciliation of Operating Cost per ASM Excluding Special Items and</w:t>
            </w: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7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ind w:right="51"/>
              <w:spacing w:after="0"/>
              <w:rPr>
                <w:sz w:val="20"/>
                <w:szCs w:val="20"/>
                <w:color w:val="auto"/>
              </w:rPr>
            </w:pPr>
            <w:r>
              <w:rPr>
                <w:rFonts w:ascii="Arial" w:cs="Arial" w:eastAsia="Arial" w:hAnsi="Arial"/>
                <w:sz w:val="18"/>
                <w:szCs w:val="18"/>
                <w:color w:val="auto"/>
                <w:w w:val="89"/>
              </w:rPr>
              <w:t>Three Months 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US Airways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Fuel - Mainline Only</w:t>
            </w:r>
          </w:p>
        </w:tc>
        <w:tc>
          <w:tcPr>
            <w:tcW w:w="140" w:type="dxa"/>
            <w:vAlign w:val="bottom"/>
          </w:tcPr>
          <w:p>
            <w:pPr>
              <w:spacing w:after="0"/>
              <w:rPr>
                <w:sz w:val="20"/>
                <w:szCs w:val="20"/>
                <w:color w:val="auto"/>
              </w:rPr>
            </w:pPr>
          </w:p>
        </w:tc>
        <w:tc>
          <w:tcPr>
            <w:tcW w:w="1660" w:type="dxa"/>
            <w:vAlign w:val="bottom"/>
          </w:tcPr>
          <w:p>
            <w:pPr>
              <w:jc w:val="right"/>
              <w:ind w:right="311"/>
              <w:spacing w:after="0"/>
              <w:rPr>
                <w:sz w:val="20"/>
                <w:szCs w:val="20"/>
                <w:color w:val="auto"/>
              </w:rPr>
            </w:pPr>
            <w:r>
              <w:rPr>
                <w:rFonts w:ascii="Arial" w:cs="Arial" w:eastAsia="Arial" w:hAnsi="Arial"/>
                <w:sz w:val="18"/>
                <w:szCs w:val="18"/>
                <w:color w:val="auto"/>
              </w:rPr>
              <w:t>June 30, 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Arial" w:cs="Arial" w:eastAsia="Arial" w:hAnsi="Arial"/>
                <w:sz w:val="18"/>
                <w:szCs w:val="18"/>
                <w:color w:val="auto"/>
              </w:rPr>
              <w:t>AAG</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Group</w:t>
            </w:r>
          </w:p>
        </w:tc>
        <w:tc>
          <w:tcPr>
            <w:tcW w:w="14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color w:val="auto"/>
                <w:w w:val="92"/>
              </w:rPr>
              <w:t>Combined</w:t>
            </w:r>
          </w:p>
        </w:tc>
        <w:tc>
          <w:tcPr>
            <w:tcW w:w="0" w:type="dxa"/>
            <w:vAlign w:val="bottom"/>
          </w:tcPr>
          <w:p>
            <w:pPr>
              <w:spacing w:after="0"/>
              <w:rPr>
                <w:sz w:val="1"/>
                <w:szCs w:val="1"/>
                <w:color w:val="auto"/>
              </w:rPr>
            </w:pPr>
          </w:p>
        </w:tc>
      </w:tr>
      <w:tr>
        <w:trPr>
          <w:trHeight w:val="27"/>
        </w:trPr>
        <w:tc>
          <w:tcPr>
            <w:tcW w:w="5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gridSpan w:val="8"/>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40" w:type="dxa"/>
            <w:vAlign w:val="bottom"/>
            <w:gridSpan w:val="8"/>
          </w:tcPr>
          <w:p>
            <w:pPr>
              <w:ind w:left="1360"/>
              <w:spacing w:after="0"/>
              <w:rPr>
                <w:sz w:val="20"/>
                <w:szCs w:val="20"/>
                <w:color w:val="auto"/>
              </w:rPr>
            </w:pPr>
            <w:r>
              <w:rPr>
                <w:rFonts w:ascii="Arial" w:cs="Arial" w:eastAsia="Arial" w:hAnsi="Arial"/>
                <w:sz w:val="16"/>
                <w:szCs w:val="16"/>
                <w:color w:val="auto"/>
              </w:rPr>
              <w:t>(In millions, except per ASM amounts)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9,956</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9,308</w:t>
            </w: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Less regional expenses:</w:t>
            </w: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Fuel</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43"/>
        </w:trPr>
        <w:tc>
          <w:tcPr>
            <w:tcW w:w="5700" w:type="dxa"/>
            <w:vAlign w:val="bottom"/>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mainline 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7,717</w:t>
            </w:r>
          </w:p>
        </w:tc>
        <w:tc>
          <w:tcPr>
            <w:tcW w:w="0" w:type="dxa"/>
            <w:vAlign w:val="bottom"/>
          </w:tcPr>
          <w:p>
            <w:pPr>
              <w:spacing w:after="0"/>
              <w:rPr>
                <w:sz w:val="1"/>
                <w:szCs w:val="1"/>
                <w:color w:val="auto"/>
              </w:rPr>
            </w:pPr>
          </w:p>
        </w:tc>
      </w:tr>
      <w:tr>
        <w:trPr>
          <w:trHeight w:val="243"/>
        </w:trPr>
        <w:tc>
          <w:tcPr>
            <w:tcW w:w="5700" w:type="dxa"/>
            <w:vAlign w:val="bottom"/>
          </w:tcPr>
          <w:p>
            <w:pPr>
              <w:ind w:left="160"/>
              <w:spacing w:after="0"/>
              <w:rPr>
                <w:sz w:val="20"/>
                <w:szCs w:val="20"/>
                <w:color w:val="auto"/>
              </w:rPr>
            </w:pPr>
            <w:r>
              <w:rPr>
                <w:rFonts w:ascii="Arial" w:cs="Arial" w:eastAsia="Arial" w:hAnsi="Arial"/>
                <w:sz w:val="18"/>
                <w:szCs w:val="18"/>
                <w:color w:val="auto"/>
              </w:rPr>
              <w:t>Less: Special items, net</w:t>
            </w: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Mainline operating expenses, excluding special items</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7,681</w:t>
            </w:r>
          </w:p>
        </w:tc>
        <w:tc>
          <w:tcPr>
            <w:tcW w:w="0" w:type="dxa"/>
            <w:vAlign w:val="bottom"/>
          </w:tcPr>
          <w:p>
            <w:pPr>
              <w:spacing w:after="0"/>
              <w:rPr>
                <w:sz w:val="1"/>
                <w:szCs w:val="1"/>
                <w:color w:val="auto"/>
              </w:rPr>
            </w:pPr>
          </w:p>
        </w:tc>
      </w:tr>
      <w:tr>
        <w:trPr>
          <w:trHeight w:val="243"/>
        </w:trPr>
        <w:tc>
          <w:tcPr>
            <w:tcW w:w="5700" w:type="dxa"/>
            <w:vAlign w:val="bottom"/>
          </w:tcPr>
          <w:p>
            <w:pPr>
              <w:ind w:left="160"/>
              <w:spacing w:after="0"/>
              <w:rPr>
                <w:sz w:val="20"/>
                <w:szCs w:val="20"/>
                <w:color w:val="auto"/>
              </w:rPr>
            </w:pPr>
            <w:r>
              <w:rPr>
                <w:rFonts w:ascii="Arial" w:cs="Arial" w:eastAsia="Arial" w:hAnsi="Arial"/>
                <w:sz w:val="18"/>
                <w:szCs w:val="18"/>
                <w:color w:val="auto"/>
              </w:rPr>
              <w:t>Less: Aircraft fuel and related taxes</w:t>
            </w: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(2,752)</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Mainline operating expenses, excluding special items and fuel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5,218</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3,276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4,929</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 Seat Miles (ASM)</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60,999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58,915</w:t>
            </w:r>
          </w:p>
        </w:tc>
        <w:tc>
          <w:tcPr>
            <w:tcW w:w="0" w:type="dxa"/>
            <w:vAlign w:val="bottom"/>
          </w:tcPr>
          <w:p>
            <w:pPr>
              <w:spacing w:after="0"/>
              <w:rPr>
                <w:sz w:val="1"/>
                <w:szCs w:val="1"/>
                <w:color w:val="auto"/>
              </w:rPr>
            </w:pPr>
          </w:p>
        </w:tc>
      </w:tr>
      <w:tr>
        <w:trPr>
          <w:trHeight w:val="324"/>
        </w:trPr>
        <w:tc>
          <w:tcPr>
            <w:tcW w:w="5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(In cents)</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Mainline operating expenses per ASM</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13.61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Special items, net per ASM</w:t>
            </w: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color w:val="auto"/>
              </w:rPr>
              <w:t>Mainline operating expenses per ASM, excluding special items</w:t>
            </w:r>
          </w:p>
        </w:tc>
        <w:tc>
          <w:tcPr>
            <w:tcW w:w="1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Less: Aircraft fuel and related taxes per ASM</w:t>
            </w: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57"/>
        </w:trPr>
        <w:tc>
          <w:tcPr>
            <w:tcW w:w="5700" w:type="dxa"/>
            <w:vAlign w:val="bottom"/>
          </w:tcPr>
          <w:p>
            <w:pPr>
              <w:ind w:left="20"/>
              <w:spacing w:after="0"/>
              <w:rPr>
                <w:sz w:val="20"/>
                <w:szCs w:val="20"/>
                <w:color w:val="auto"/>
              </w:rPr>
            </w:pPr>
            <w:r>
              <w:rPr>
                <w:rFonts w:ascii="Arial" w:cs="Arial" w:eastAsia="Arial" w:hAnsi="Arial"/>
                <w:sz w:val="18"/>
                <w:szCs w:val="18"/>
                <w:color w:val="auto"/>
                <w:w w:val="99"/>
              </w:rPr>
              <w:t>Mainline operating expenses per ASM, excluding special items and fuel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5500"/>
              <w:spacing w:after="0"/>
              <w:rPr>
                <w:sz w:val="20"/>
                <w:szCs w:val="20"/>
                <w:color w:val="auto"/>
              </w:rPr>
            </w:pPr>
            <w:r>
              <w:rPr>
                <w:rFonts w:ascii="Arial" w:cs="Arial" w:eastAsia="Arial" w:hAnsi="Arial"/>
                <w:sz w:val="18"/>
                <w:szCs w:val="18"/>
                <w:color w:val="auto"/>
                <w:w w:val="89"/>
              </w:rPr>
              <w:t>59</w:t>
            </w: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6"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AAG's Results of Operations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second quarter of 2014, we realized operating income of $1.4 billion and net income of $864 million. Our second quarter 2014 net income included net special operating charges of $253 million and total net special charges of $592 million. Excluding the effects of these special charges, we realized operating income of $1.7 billion and net income of $1.5 billion.</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first six months of 2014, we realized operating income of $2.1 billion and net income of $1.3 billion. Our 2014 six month period net income included net special operating charges of $120 million and total net special charges of $515 million. Excluding the effects of these special charges, we realized operating income of $2.2 billion and net income of $1.9 billion.</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GAAP, AAG’s results do not include the financial results of US Airways Group prior to the closing of the Merger. Accordingly, our 2014 second quarter and six month period GAAP results are not comparable to the GAAP results for the 2013 second quarter and six month period as the 2013 periods exclude the results of US Airways Group.</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When compared to the combined separate company results of AMR and US Airways Group for the second quarter of 2013, our second quarter 2014 net income excluding net special items improved $775 million. In the second quarter of 2013, on a standalone basis, AMR reported net income of $220 million and US Airways Group reported net income of $287 million. Excluding the effects of net special charges, AMR and US Airways Group reported net income of $357 million and $324 million, respectively.</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When compared to the combined separate company results of AMR and US Airways Group for the first six months of 2013, our 2014 six month period net income excluding net special items improved $1.1 billion. In the first six months of 2013, on a standalone basis, AMR reported a net loss of $122 million and US Airways Group reported net income of $331 million. Excluding the effects of net special charges, AMR and US Airways Group reported net income of $364 million and $379 million, respectively.</w:t>
      </w:r>
    </w:p>
    <w:p>
      <w:pPr>
        <w:spacing w:after="0" w:line="13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components of our net special charges (credits) included in our accompanying condensed consolidated statements of operations are as follows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5"/>
          </w:tcPr>
          <w:p>
            <w:pPr>
              <w:jc w:val="center"/>
              <w:ind w:right="240"/>
              <w:spacing w:after="0"/>
              <w:rPr>
                <w:sz w:val="20"/>
                <w:szCs w:val="20"/>
                <w:color w:val="auto"/>
              </w:rPr>
            </w:pPr>
            <w:r>
              <w:rPr>
                <w:rFonts w:ascii="Arial" w:cs="Arial" w:eastAsia="Arial" w:hAnsi="Arial"/>
                <w:sz w:val="18"/>
                <w:szCs w:val="18"/>
                <w:color w:val="auto"/>
                <w:w w:val="91"/>
              </w:rPr>
              <w:t>Three Months</w:t>
            </w:r>
          </w:p>
        </w:tc>
        <w:tc>
          <w:tcPr>
            <w:tcW w:w="1520" w:type="dxa"/>
            <w:vAlign w:val="bottom"/>
            <w:gridSpan w:val="5"/>
          </w:tcPr>
          <w:p>
            <w:pPr>
              <w:jc w:val="right"/>
              <w:spacing w:after="0"/>
              <w:rPr>
                <w:sz w:val="20"/>
                <w:szCs w:val="20"/>
                <w:color w:val="auto"/>
              </w:rPr>
            </w:pPr>
            <w:r>
              <w:rPr>
                <w:rFonts w:ascii="Arial" w:cs="Arial" w:eastAsia="Arial" w:hAnsi="Arial"/>
                <w:sz w:val="18"/>
                <w:szCs w:val="18"/>
                <w:color w:val="auto"/>
                <w:w w:val="97"/>
              </w:rPr>
              <w:t>Six Months Ended</w:t>
            </w:r>
          </w:p>
        </w:tc>
      </w:tr>
      <w:tr>
        <w:trPr>
          <w:trHeight w:val="230"/>
        </w:trPr>
        <w:tc>
          <w:tcPr>
            <w:tcW w:w="5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5"/>
          </w:tcPr>
          <w:p>
            <w:pPr>
              <w:jc w:val="center"/>
              <w:ind w:right="240"/>
              <w:spacing w:after="0"/>
              <w:rPr>
                <w:sz w:val="20"/>
                <w:szCs w:val="20"/>
                <w:color w:val="auto"/>
              </w:rPr>
            </w:pPr>
            <w:r>
              <w:rPr>
                <w:rFonts w:ascii="Arial" w:cs="Arial" w:eastAsia="Arial" w:hAnsi="Arial"/>
                <w:sz w:val="18"/>
                <w:szCs w:val="18"/>
                <w:color w:val="auto"/>
                <w:w w:val="87"/>
              </w:rPr>
              <w:t>Ended June 30,</w:t>
            </w:r>
          </w:p>
        </w:tc>
        <w:tc>
          <w:tcPr>
            <w:tcW w:w="140" w:type="dxa"/>
            <w:vAlign w:val="bottom"/>
          </w:tcPr>
          <w:p>
            <w:pPr>
              <w:spacing w:after="0"/>
              <w:rPr>
                <w:sz w:val="20"/>
                <w:szCs w:val="20"/>
                <w:color w:val="auto"/>
              </w:rPr>
            </w:pPr>
          </w:p>
        </w:tc>
        <w:tc>
          <w:tcPr>
            <w:tcW w:w="1380" w:type="dxa"/>
            <w:vAlign w:val="bottom"/>
            <w:gridSpan w:val="4"/>
          </w:tcPr>
          <w:p>
            <w:pPr>
              <w:jc w:val="right"/>
              <w:ind w:right="370"/>
              <w:spacing w:after="0"/>
              <w:rPr>
                <w:sz w:val="20"/>
                <w:szCs w:val="20"/>
                <w:color w:val="auto"/>
              </w:rPr>
            </w:pPr>
            <w:r>
              <w:rPr>
                <w:rFonts w:ascii="Arial" w:cs="Arial" w:eastAsia="Arial" w:hAnsi="Arial"/>
                <w:sz w:val="18"/>
                <w:szCs w:val="18"/>
                <w:color w:val="auto"/>
              </w:rPr>
              <w:t>June 30,</w:t>
            </w:r>
          </w:p>
        </w:tc>
      </w:tr>
      <w:tr>
        <w:trPr>
          <w:trHeight w:val="27"/>
        </w:trPr>
        <w:tc>
          <w:tcPr>
            <w:tcW w:w="5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70"/>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w w:val="89"/>
              </w:rPr>
              <w:t>2013</w:t>
            </w:r>
          </w:p>
        </w:tc>
      </w:tr>
      <w:tr>
        <w:trPr>
          <w:trHeight w:val="27"/>
        </w:trPr>
        <w:tc>
          <w:tcPr>
            <w:tcW w:w="5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64"/>
        </w:trPr>
        <w:tc>
          <w:tcPr>
            <w:tcW w:w="59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Mainline operating special items, net </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Regional operating special items, net</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59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Nonoperating special items, net </w:t>
            </w:r>
            <w:r>
              <w:rPr>
                <w:rFonts w:ascii="Arial" w:cs="Arial" w:eastAsia="Arial" w:hAnsi="Arial"/>
                <w:sz w:val="25"/>
                <w:szCs w:val="25"/>
                <w:color w:val="auto"/>
                <w:vertAlign w:val="superscript"/>
              </w:rPr>
              <w:t>(2)</w:t>
            </w: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70"/>
        </w:trPr>
        <w:tc>
          <w:tcPr>
            <w:tcW w:w="59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Reorganization items, net </w:t>
            </w:r>
            <w:r>
              <w:rPr>
                <w:rFonts w:ascii="Arial" w:cs="Arial" w:eastAsia="Arial" w:hAnsi="Arial"/>
                <w:sz w:val="25"/>
                <w:szCs w:val="25"/>
                <w:color w:val="auto"/>
                <w:vertAlign w:val="superscript"/>
              </w:rPr>
              <w:t>(3)</w:t>
            </w:r>
          </w:p>
        </w:tc>
        <w:tc>
          <w:tcPr>
            <w:tcW w:w="140" w:type="dxa"/>
            <w:vAlign w:val="bottom"/>
          </w:tcPr>
          <w:p>
            <w:pPr>
              <w:spacing w:after="0"/>
              <w:rPr>
                <w:sz w:val="23"/>
                <w:szCs w:val="2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284</w:t>
            </w:r>
          </w:p>
        </w:tc>
      </w:tr>
      <w:tr>
        <w:trPr>
          <w:trHeight w:val="270"/>
        </w:trPr>
        <w:tc>
          <w:tcPr>
            <w:tcW w:w="59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Income tax special items, net </w:t>
            </w:r>
            <w:r>
              <w:rPr>
                <w:rFonts w:ascii="Arial" w:cs="Arial" w:eastAsia="Arial" w:hAnsi="Arial"/>
                <w:sz w:val="25"/>
                <w:szCs w:val="25"/>
                <w:color w:val="auto"/>
                <w:vertAlign w:val="superscript"/>
              </w:rPr>
              <w:t>(4)</w:t>
            </w: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960" w:type="dxa"/>
            <w:vAlign w:val="bottom"/>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w:t>
            </w:r>
          </w:p>
        </w:tc>
      </w:tr>
      <w:tr>
        <w:trPr>
          <w:trHeight w:val="20"/>
        </w:trPr>
        <w:tc>
          <w:tcPr>
            <w:tcW w:w="5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left="340" w:hanging="332"/>
        <w:spacing w:after="0" w:line="254" w:lineRule="auto"/>
        <w:tabs>
          <w:tab w:leader="none" w:pos="340" w:val="left"/>
        </w:tabs>
        <w:numPr>
          <w:ilvl w:val="0"/>
          <w:numId w:val="29"/>
        </w:numPr>
        <w:rPr>
          <w:rFonts w:ascii="Arial" w:cs="Arial" w:eastAsia="Arial" w:hAnsi="Arial"/>
          <w:sz w:val="24"/>
          <w:szCs w:val="24"/>
          <w:color w:val="auto"/>
          <w:vertAlign w:val="superscript"/>
        </w:rPr>
      </w:pPr>
      <w:r>
        <w:rPr>
          <w:rFonts w:ascii="Arial" w:cs="Arial" w:eastAsia="Arial" w:hAnsi="Arial"/>
          <w:sz w:val="17"/>
          <w:szCs w:val="17"/>
          <w:color w:val="auto"/>
        </w:rPr>
        <w:t>The 2014 second quarter mainline operating special items totaled a net charge of $251 million, which principally included $163 million of merger integration expenses related to information technology, professional fees, severance, re-branding of aircraft and airport facilities, relocation and training as well as a net $38 million charge for bankruptcy related items primarily reflecting fair value adjustments for bankruptcy settlement obligations and $37 million in charges relating to the buyout of leases associated with certain aircraft. The 2014 six month period mainline operating special items totaled a net charge of $114 million, which principally included $365 million of merger integration expenses, $40 million in charges primarily relating to the buyout of leases associated with certain aircraft and a net $5 million charge for bankruptcy related items as described above. These charges were offset in part by a $309 million gain on the sale of slots at Ronald Reagan Washington National Airport (DCA).</w:t>
      </w:r>
    </w:p>
    <w:p>
      <w:pPr>
        <w:spacing w:after="0" w:line="33" w:lineRule="exact"/>
        <w:rPr>
          <w:sz w:val="20"/>
          <w:szCs w:val="20"/>
          <w:color w:val="auto"/>
        </w:rPr>
      </w:pPr>
    </w:p>
    <w:p>
      <w:pPr>
        <w:ind w:left="340" w:firstLine="648"/>
        <w:spacing w:after="0" w:line="298" w:lineRule="auto"/>
        <w:rPr>
          <w:sz w:val="20"/>
          <w:szCs w:val="20"/>
          <w:color w:val="auto"/>
        </w:rPr>
      </w:pPr>
      <w:r>
        <w:rPr>
          <w:rFonts w:ascii="Arial" w:cs="Arial" w:eastAsia="Arial" w:hAnsi="Arial"/>
          <w:sz w:val="17"/>
          <w:szCs w:val="17"/>
          <w:color w:val="auto"/>
        </w:rPr>
        <w:t>The 2013 second quarter mainline operating special items primarily consisted of merger related expenses. The 2013 six month period mainline operating special items included $40 million in merger related expenses and a $43 million charge for workers' compensation claims.</w:t>
      </w:r>
    </w:p>
    <w:p>
      <w:pPr>
        <w:spacing w:after="0" w:line="1" w:lineRule="exact"/>
        <w:rPr>
          <w:sz w:val="20"/>
          <w:szCs w:val="20"/>
          <w:color w:val="auto"/>
        </w:rPr>
      </w:pPr>
    </w:p>
    <w:p>
      <w:pPr>
        <w:ind w:left="340" w:hanging="332"/>
        <w:spacing w:after="0" w:line="227" w:lineRule="auto"/>
        <w:tabs>
          <w:tab w:leader="none" w:pos="208" w:val="left"/>
        </w:tabs>
        <w:numPr>
          <w:ilvl w:val="0"/>
          <w:numId w:val="30"/>
        </w:numPr>
        <w:rPr>
          <w:rFonts w:ascii="Arial" w:cs="Arial" w:eastAsia="Arial" w:hAnsi="Arial"/>
          <w:sz w:val="24"/>
          <w:szCs w:val="24"/>
          <w:color w:val="auto"/>
          <w:vertAlign w:val="superscript"/>
        </w:rPr>
      </w:pPr>
      <w:r>
        <w:rPr>
          <w:rFonts w:ascii="Arial" w:cs="Arial" w:eastAsia="Arial" w:hAnsi="Arial"/>
          <w:sz w:val="17"/>
          <w:szCs w:val="17"/>
          <w:color w:val="auto"/>
        </w:rPr>
        <w:t>The 2014 second quarter and six month period nonoperating special items were primarily due to non-cash interest accretion of $2 million and $33 million, respectively, on the bankruptcy settlement obligations.</w:t>
      </w:r>
    </w:p>
    <w:p>
      <w:pPr>
        <w:spacing w:after="0" w:line="40" w:lineRule="exact"/>
        <w:rPr>
          <w:sz w:val="20"/>
          <w:szCs w:val="20"/>
          <w:color w:val="auto"/>
        </w:rPr>
      </w:pPr>
    </w:p>
    <w:p>
      <w:pPr>
        <w:ind w:left="340" w:firstLine="648"/>
        <w:spacing w:after="0" w:line="277" w:lineRule="auto"/>
        <w:rPr>
          <w:sz w:val="20"/>
          <w:szCs w:val="20"/>
          <w:color w:val="auto"/>
        </w:rPr>
      </w:pPr>
      <w:r>
        <w:rPr>
          <w:rFonts w:ascii="Arial" w:cs="Arial" w:eastAsia="Arial" w:hAnsi="Arial"/>
          <w:sz w:val="18"/>
          <w:szCs w:val="18"/>
          <w:color w:val="auto"/>
        </w:rPr>
        <w:t>The 2013 six month period nonoperating special items consisted of interest charges to recognize post-petition interest expense on unsecured obligations pursuant to the Plan.</w:t>
      </w:r>
    </w:p>
    <w:p>
      <w:pPr>
        <w:spacing w:after="0" w:line="8" w:lineRule="exact"/>
        <w:rPr>
          <w:sz w:val="20"/>
          <w:szCs w:val="20"/>
          <w:color w:val="auto"/>
        </w:rPr>
      </w:pPr>
    </w:p>
    <w:p>
      <w:pPr>
        <w:ind w:left="340" w:right="20" w:hanging="332"/>
        <w:spacing w:after="0" w:line="216" w:lineRule="auto"/>
        <w:tabs>
          <w:tab w:leader="none" w:pos="221"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In the 2013 second quarter and six month period, we recognized reorganization expenses as a result of the filing of voluntary petitions for relief under Chapter 11. These amounts consisted primarily of estimated allowed claim amounts and professional fees.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26" w:right="239" w:bottom="1440" w:gutter="0" w:footer="0" w:header="0"/>
        </w:sectPr>
      </w:pPr>
    </w:p>
    <w:bookmarkStart w:id="60" w:name="page61"/>
    <w:bookmarkEnd w:id="60"/>
    <w:p>
      <w:pPr>
        <w:ind w:left="340" w:hanging="332"/>
        <w:spacing w:after="0" w:line="256" w:lineRule="auto"/>
        <w:tabs>
          <w:tab w:leader="none" w:pos="208" w:val="left"/>
        </w:tabs>
        <w:numPr>
          <w:ilvl w:val="0"/>
          <w:numId w:val="32"/>
        </w:numPr>
        <w:rPr>
          <w:rFonts w:ascii="Arial" w:cs="Arial" w:eastAsia="Arial" w:hAnsi="Arial"/>
          <w:sz w:val="24"/>
          <w:szCs w:val="24"/>
          <w:color w:val="auto"/>
          <w:vertAlign w:val="superscript"/>
        </w:rPr>
      </w:pPr>
      <w:r>
        <w:rPr>
          <w:rFonts w:ascii="Arial" w:cs="Arial" w:eastAsia="Arial" w:hAnsi="Arial"/>
          <w:sz w:val="17"/>
          <w:szCs w:val="17"/>
          <w:color w:val="auto"/>
        </w:rPr>
        <w:t>During the second quarter of 2014, we sold our portfolio of fuel hedging contracts that were scheduled to settle on or after June 30, 2014. In connection with this sale, we recorded a special non-cash tax provision of $330 million in the statement of operations for the second quarter of 2014 that reverses the non-cash tax provision which was recorded in Other Comprehensive Income (OCI), a subset of stockholders’ equity, principally in 2009. This provision represents the tax effect associated with gains recorded in OCI principally in 2009 due to a net increase in the fair value of our fuel hedging contracts. In accordance with GAAP, we retained the $330 million tax provision in OCI until the last contract was settled or terminated. In addition, we recorded $7 million in non-cash deferred income tax provision related to certain indefinite-lived intangible assets in the 2014 second quarter. The 2014 six month period included the $330 million non-cash tax provision related to the settlement of fuel hedges discussed above as well as $15 million in non-cash deferred income tax provision related to certain indefinite-lived intangible assets.</w:t>
      </w:r>
    </w:p>
    <w:p>
      <w:pPr>
        <w:spacing w:after="0" w:line="1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result of the Merger, US Airways Group and its subsidiaries are included in the AAG consolidated federal and state income tax returns for the three and six months ended June 30, 2014. The Merger resulted in a statutory "ownership change" on December 9, 2013, as defined in Section 382 of the Internal Revenue Code of 1986, as amended (Section 382), which limits our future ability to utilize net operating losses (NOLs) generated before the ownership change and certain subsequently recognized "built-in" losses and deductions, if any, existing as of the date of the ownership change. The general limitation rules for a debtor in a bankruptcy case are liberalized where an ownership change occurs upon emergence from bankruptcy. Our ability to utilize any new NOLs arising after the ownership change is not affected.</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December 31, 2013, we had approximately $10.6 billion of gross NOLs to reduce future federal taxable income, the majority of which are expected to be available for use in 2014, subject to the Section 382 limitation described above. The federal NOLs will expire beginning in 2022 if unused. These NOLs include an unrealized tax benefit of $762 million related to the implementation of share-based compensation accounting guidance that will be recorded in equity when realized. We also had approximately $4.7 billion of gross NOLs to reduce future state taxable income at December 31, 2013, which will expire in years 2014 through 2033 if unused. At December 31, 2013, we had an Alternative Minimum Tax (AMT) credit carryforward of approximately $370 million available for federal income tax purposes, which is available for an indefinite period. Our net deferred tax assets, which include the NOLs, are subject to a full valuation allowance. At December 31, 2013, the federal and state valuation allowances were $4.6 billion and $415 million, respectively. In accordance with GAAP, utilization of the NOLs after December 9, 2013 will result in a corresponding decrease in the valuation allowance and offset our tax provision dollar for dollar.</w:t>
      </w:r>
    </w:p>
    <w:p>
      <w:pPr>
        <w:spacing w:after="0" w:line="1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second quarter of 2014, we recorded a special $330 million non-cash income tax provision in connection with the settlement of our fuel hedges as discussed above. In addition, we recorded a special $7 million and $15 million non-cash deferred income tax provision related to certain indefinite-lived intangible assets in the 2014 second quarter and the 2014 six month period, respectively.</w:t>
      </w:r>
    </w:p>
    <w:p>
      <w:pPr>
        <w:spacing w:after="0" w:line="12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three and six months ended June 30, 2014, we recorded $3 million and $8 million, respectively, of state and international income tax expense related to certain states and countries where NOLs were limited or unavailable to be used.</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did not record an income tax provision for the 2013 second quarter. For the six months ended June 30, 2013, we reported a loss before income taxes and recorded an income tax benefit of approximately $22 million as a result of the American Taxpayer Relief Act of 2012.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22" w:right="239" w:bottom="1440" w:gutter="0" w:footer="0" w:header="0"/>
        </w:sectPr>
      </w:pPr>
    </w:p>
    <w:bookmarkStart w:id="61" w:name="page62"/>
    <w:bookmarkEnd w:id="61"/>
    <w:p>
      <w:pPr>
        <w:ind w:left="660"/>
        <w:spacing w:after="0"/>
        <w:rPr>
          <w:sz w:val="20"/>
          <w:szCs w:val="20"/>
          <w:color w:val="auto"/>
        </w:rPr>
      </w:pPr>
      <w:r>
        <w:rPr>
          <w:rFonts w:ascii="Arial" w:cs="Arial" w:eastAsia="Arial" w:hAnsi="Arial"/>
          <w:sz w:val="18"/>
          <w:szCs w:val="18"/>
          <w:b w:val="1"/>
          <w:bCs w:val="1"/>
          <w:i w:val="1"/>
          <w:iCs w:val="1"/>
          <w:color w:val="auto"/>
        </w:rPr>
        <w:t>Operating Statistics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selected mainline and regional operating data for the three and six months ended June 30, 2014 and 2013.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1660" w:type="dxa"/>
            <w:vAlign w:val="bottom"/>
            <w:gridSpan w:val="3"/>
          </w:tcPr>
          <w:p>
            <w:pPr>
              <w:jc w:val="right"/>
              <w:ind w:right="59"/>
              <w:spacing w:after="0"/>
              <w:rPr>
                <w:sz w:val="20"/>
                <w:szCs w:val="20"/>
                <w:color w:val="auto"/>
              </w:rPr>
            </w:pPr>
            <w:r>
              <w:rPr>
                <w:rFonts w:ascii="Arial" w:cs="Arial" w:eastAsia="Arial" w:hAnsi="Arial"/>
                <w:sz w:val="16"/>
                <w:szCs w:val="16"/>
                <w:color w:val="auto"/>
              </w:rPr>
              <w:t>Three Months Ended</w:t>
            </w: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40" w:type="dxa"/>
            <w:vAlign w:val="bottom"/>
          </w:tcPr>
          <w:p>
            <w:pPr>
              <w:spacing w:after="0"/>
              <w:rPr>
                <w:sz w:val="17"/>
                <w:szCs w:val="17"/>
                <w:color w:val="auto"/>
              </w:rPr>
            </w:pPr>
          </w:p>
        </w:tc>
        <w:tc>
          <w:tcPr>
            <w:tcW w:w="1660" w:type="dxa"/>
            <w:vAlign w:val="bottom"/>
            <w:gridSpan w:val="3"/>
          </w:tcPr>
          <w:p>
            <w:pPr>
              <w:jc w:val="right"/>
              <w:ind w:right="459"/>
              <w:spacing w:after="0"/>
              <w:rPr>
                <w:sz w:val="20"/>
                <w:szCs w:val="20"/>
                <w:color w:val="auto"/>
              </w:rPr>
            </w:pPr>
            <w:r>
              <w:rPr>
                <w:rFonts w:ascii="Arial" w:cs="Arial" w:eastAsia="Arial" w:hAnsi="Arial"/>
                <w:sz w:val="16"/>
                <w:szCs w:val="16"/>
                <w:color w:val="auto"/>
              </w:rPr>
              <w:t>June 30,</w:t>
            </w:r>
          </w:p>
        </w:tc>
        <w:tc>
          <w:tcPr>
            <w:tcW w:w="1340" w:type="dxa"/>
            <w:vAlign w:val="bottom"/>
          </w:tcPr>
          <w:p>
            <w:pPr>
              <w:spacing w:after="0"/>
              <w:rPr>
                <w:sz w:val="17"/>
                <w:szCs w:val="17"/>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color w:val="auto"/>
                <w:w w:val="94"/>
              </w:rPr>
              <w:t>Six Months Ended June 30,</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5240" w:type="dxa"/>
            <w:vAlign w:val="bottom"/>
          </w:tcPr>
          <w:p>
            <w:pPr>
              <w:spacing w:after="0"/>
              <w:rPr>
                <w:sz w:val="18"/>
                <w:szCs w:val="18"/>
                <w:color w:val="auto"/>
              </w:rPr>
            </w:pPr>
          </w:p>
        </w:tc>
        <w:tc>
          <w:tcPr>
            <w:tcW w:w="780" w:type="dxa"/>
            <w:vAlign w:val="bottom"/>
          </w:tcPr>
          <w:p>
            <w:pPr>
              <w:jc w:val="right"/>
              <w:ind w:right="159"/>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8"/>
                <w:szCs w:val="18"/>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2013</w:t>
            </w:r>
          </w:p>
        </w:tc>
        <w:tc>
          <w:tcPr>
            <w:tcW w:w="1340" w:type="dxa"/>
            <w:vAlign w:val="bottom"/>
          </w:tcPr>
          <w:p>
            <w:pPr>
              <w:jc w:val="right"/>
              <w:ind w:right="319"/>
              <w:spacing w:after="0"/>
              <w:rPr>
                <w:sz w:val="20"/>
                <w:szCs w:val="20"/>
                <w:color w:val="auto"/>
              </w:rPr>
            </w:pPr>
            <w:r>
              <w:rPr>
                <w:rFonts w:ascii="Arial" w:cs="Arial" w:eastAsia="Arial" w:hAnsi="Arial"/>
                <w:sz w:val="16"/>
                <w:szCs w:val="16"/>
                <w:color w:val="auto"/>
              </w:rPr>
              <w:t>Increase</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2013 (Note</w:t>
            </w:r>
          </w:p>
        </w:tc>
        <w:tc>
          <w:tcPr>
            <w:tcW w:w="1220" w:type="dxa"/>
            <w:vAlign w:val="bottom"/>
          </w:tcPr>
          <w:p>
            <w:pPr>
              <w:jc w:val="right"/>
              <w:ind w:right="199"/>
              <w:spacing w:after="0"/>
              <w:rPr>
                <w:sz w:val="20"/>
                <w:szCs w:val="20"/>
                <w:color w:val="auto"/>
              </w:rPr>
            </w:pPr>
            <w:r>
              <w:rPr>
                <w:rFonts w:ascii="Arial" w:cs="Arial" w:eastAsia="Arial" w:hAnsi="Arial"/>
                <w:sz w:val="16"/>
                <w:szCs w:val="16"/>
                <w:color w:val="auto"/>
              </w:rPr>
              <w:t>Increase</w:t>
            </w:r>
          </w:p>
        </w:tc>
        <w:tc>
          <w:tcPr>
            <w:tcW w:w="0" w:type="dxa"/>
            <w:vAlign w:val="bottom"/>
          </w:tcPr>
          <w:p>
            <w:pPr>
              <w:spacing w:after="0"/>
              <w:rPr>
                <w:sz w:val="1"/>
                <w:szCs w:val="1"/>
                <w:color w:val="auto"/>
              </w:rPr>
            </w:pPr>
          </w:p>
        </w:tc>
      </w:tr>
      <w:tr>
        <w:trPr>
          <w:trHeight w:val="206"/>
        </w:trPr>
        <w:tc>
          <w:tcPr>
            <w:tcW w:w="5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(Note 1)</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(Decrease)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99"/>
              <w:spacing w:after="0"/>
              <w:rPr>
                <w:sz w:val="20"/>
                <w:szCs w:val="20"/>
                <w:color w:val="auto"/>
              </w:rPr>
            </w:pPr>
            <w:r>
              <w:rPr>
                <w:rFonts w:ascii="Arial" w:cs="Arial" w:eastAsia="Arial" w:hAnsi="Arial"/>
                <w:sz w:val="16"/>
                <w:szCs w:val="16"/>
                <w:color w:val="auto"/>
              </w:rPr>
              <w:t>1)</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33"/>
        </w:trPr>
        <w:tc>
          <w:tcPr>
            <w:tcW w:w="52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Mainline</w:t>
            </w: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240" w:type="dxa"/>
            <w:vAlign w:val="bottom"/>
            <w:vMerge w:val="continue"/>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Revenue passenger miles (millions) </w:t>
            </w:r>
            <w:r>
              <w:rPr>
                <w:rFonts w:ascii="Arial" w:cs="Arial" w:eastAsia="Arial" w:hAnsi="Arial"/>
                <w:sz w:val="21"/>
                <w:szCs w:val="21"/>
                <w:color w:val="auto"/>
                <w:vertAlign w:val="superscript"/>
              </w:rPr>
              <w:t>(a)</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51,407</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50,226</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2.4 %</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97,234</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95,249</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6"/>
                <w:szCs w:val="16"/>
                <w:color w:val="auto"/>
              </w:rPr>
              <w:t xml:space="preserve">Available seat miles (ASM) (millions) </w:t>
            </w:r>
            <w:r>
              <w:rPr>
                <w:rFonts w:ascii="Arial" w:cs="Arial" w:eastAsia="Arial" w:hAnsi="Arial"/>
                <w:sz w:val="21"/>
                <w:szCs w:val="21"/>
                <w:color w:val="auto"/>
                <w:vertAlign w:val="superscript"/>
              </w:rPr>
              <w:t>(b)</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60,999</w:t>
            </w:r>
          </w:p>
        </w:tc>
        <w:tc>
          <w:tcPr>
            <w:tcW w:w="1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58,915</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3.5 %</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117,830</w:t>
            </w:r>
          </w:p>
        </w:tc>
        <w:tc>
          <w:tcPr>
            <w:tcW w:w="10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114,269</w:t>
            </w:r>
          </w:p>
        </w:tc>
        <w:tc>
          <w:tcPr>
            <w:tcW w:w="1220" w:type="dxa"/>
            <w:vAlign w:val="bottom"/>
          </w:tcPr>
          <w:p>
            <w:pPr>
              <w:jc w:val="right"/>
              <w:spacing w:after="0"/>
              <w:rPr>
                <w:sz w:val="20"/>
                <w:szCs w:val="20"/>
                <w:color w:val="auto"/>
              </w:rPr>
            </w:pPr>
            <w:r>
              <w:rPr>
                <w:rFonts w:ascii="Arial" w:cs="Arial" w:eastAsia="Arial" w:hAnsi="Arial"/>
                <w:sz w:val="16"/>
                <w:szCs w:val="16"/>
                <w:color w:val="auto"/>
              </w:rPr>
              <w:t>3.1 %</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Passenger load factor (percent) </w:t>
            </w:r>
            <w:r>
              <w:rPr>
                <w:rFonts w:ascii="Arial" w:cs="Arial" w:eastAsia="Arial" w:hAnsi="Arial"/>
                <w:sz w:val="21"/>
                <w:szCs w:val="21"/>
                <w:color w:val="auto"/>
                <w:vertAlign w:val="superscript"/>
              </w:rPr>
              <w:t>(c)</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84.3</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85.3</w:t>
            </w: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 pts</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82.5</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83.4</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(0.9) pts</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6"/>
                <w:szCs w:val="16"/>
                <w:color w:val="auto"/>
              </w:rPr>
              <w:t xml:space="preserve">Yield (cents) </w:t>
            </w:r>
            <w:r>
              <w:rPr>
                <w:rFonts w:ascii="Arial" w:cs="Arial" w:eastAsia="Arial" w:hAnsi="Arial"/>
                <w:sz w:val="21"/>
                <w:szCs w:val="21"/>
                <w:color w:val="auto"/>
                <w:vertAlign w:val="superscript"/>
              </w:rPr>
              <w:t>(d)</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15.98</w:t>
            </w:r>
          </w:p>
        </w:tc>
        <w:tc>
          <w:tcPr>
            <w:tcW w:w="1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14.83</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7.7 %</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15.91</w:t>
            </w:r>
          </w:p>
        </w:tc>
        <w:tc>
          <w:tcPr>
            <w:tcW w:w="10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14.97</w:t>
            </w:r>
          </w:p>
        </w:tc>
        <w:tc>
          <w:tcPr>
            <w:tcW w:w="1220" w:type="dxa"/>
            <w:vAlign w:val="bottom"/>
          </w:tcPr>
          <w:p>
            <w:pPr>
              <w:jc w:val="right"/>
              <w:spacing w:after="0"/>
              <w:rPr>
                <w:sz w:val="20"/>
                <w:szCs w:val="20"/>
                <w:color w:val="auto"/>
              </w:rPr>
            </w:pPr>
            <w:r>
              <w:rPr>
                <w:rFonts w:ascii="Arial" w:cs="Arial" w:eastAsia="Arial" w:hAnsi="Arial"/>
                <w:sz w:val="16"/>
                <w:szCs w:val="16"/>
                <w:color w:val="auto"/>
              </w:rPr>
              <w:t>6.3 %</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Passenger revenue per ASM (cents) </w:t>
            </w:r>
            <w:r>
              <w:rPr>
                <w:rFonts w:ascii="Arial" w:cs="Arial" w:eastAsia="Arial" w:hAnsi="Arial"/>
                <w:sz w:val="21"/>
                <w:szCs w:val="21"/>
                <w:color w:val="auto"/>
                <w:vertAlign w:val="superscript"/>
              </w:rPr>
              <w:t>(e)</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13.46</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12.64</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6.5 %</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13.13</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12.48</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6"/>
                <w:szCs w:val="16"/>
                <w:color w:val="auto"/>
              </w:rPr>
              <w:t xml:space="preserve">Operating cost per ASM (cents) </w:t>
            </w:r>
            <w:r>
              <w:rPr>
                <w:rFonts w:ascii="Arial" w:cs="Arial" w:eastAsia="Arial" w:hAnsi="Arial"/>
                <w:sz w:val="21"/>
                <w:szCs w:val="21"/>
                <w:color w:val="auto"/>
                <w:vertAlign w:val="superscript"/>
              </w:rPr>
              <w:t>(f)</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13.61</w:t>
            </w:r>
          </w:p>
        </w:tc>
        <w:tc>
          <w:tcPr>
            <w:tcW w:w="1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13.10</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3.9 %</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13.55</w:t>
            </w:r>
          </w:p>
        </w:tc>
        <w:tc>
          <w:tcPr>
            <w:tcW w:w="10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13.48</w:t>
            </w:r>
          </w:p>
        </w:tc>
        <w:tc>
          <w:tcPr>
            <w:tcW w:w="1220" w:type="dxa"/>
            <w:vAlign w:val="bottom"/>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Passenger enplanements (thousands) </w:t>
            </w:r>
            <w:r>
              <w:rPr>
                <w:rFonts w:ascii="Arial" w:cs="Arial" w:eastAsia="Arial" w:hAnsi="Arial"/>
                <w:sz w:val="21"/>
                <w:szCs w:val="21"/>
                <w:color w:val="auto"/>
                <w:vertAlign w:val="superscript"/>
              </w:rPr>
              <w:t>(g)</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37,910</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36,987</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2.5 %</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72,754</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71,420</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37"/>
        </w:trPr>
        <w:tc>
          <w:tcPr>
            <w:tcW w:w="5240" w:type="dxa"/>
            <w:vAlign w:val="bottom"/>
          </w:tcPr>
          <w:p>
            <w:pPr>
              <w:ind w:left="280"/>
              <w:spacing w:after="0"/>
              <w:rPr>
                <w:sz w:val="20"/>
                <w:szCs w:val="20"/>
                <w:color w:val="auto"/>
              </w:rPr>
            </w:pPr>
            <w:r>
              <w:rPr>
                <w:rFonts w:ascii="Arial" w:cs="Arial" w:eastAsia="Arial" w:hAnsi="Arial"/>
                <w:sz w:val="16"/>
                <w:szCs w:val="16"/>
                <w:color w:val="auto"/>
              </w:rPr>
              <w:t>Departures (thousands)</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289</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0.9 %</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569</w:t>
            </w:r>
          </w:p>
        </w:tc>
        <w:tc>
          <w:tcPr>
            <w:tcW w:w="1220" w:type="dxa"/>
            <w:vAlign w:val="bottom"/>
          </w:tcPr>
          <w:p>
            <w:pPr>
              <w:jc w:val="right"/>
              <w:spacing w:after="0"/>
              <w:rPr>
                <w:sz w:val="20"/>
                <w:szCs w:val="20"/>
                <w:color w:val="auto"/>
              </w:rPr>
            </w:pPr>
            <w:r>
              <w:rPr>
                <w:rFonts w:ascii="Arial" w:cs="Arial" w:eastAsia="Arial" w:hAnsi="Arial"/>
                <w:sz w:val="16"/>
                <w:szCs w:val="16"/>
                <w:color w:val="auto"/>
              </w:rPr>
              <w:t>0.4 %</w:t>
            </w: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Aircraft at end of period</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975</w:t>
            </w: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0.9 %</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975</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6"/>
                <w:szCs w:val="16"/>
                <w:color w:val="auto"/>
              </w:rPr>
              <w:t xml:space="preserve">Block hours (thousands) </w:t>
            </w:r>
            <w:r>
              <w:rPr>
                <w:rFonts w:ascii="Arial" w:cs="Arial" w:eastAsia="Arial" w:hAnsi="Arial"/>
                <w:sz w:val="21"/>
                <w:szCs w:val="21"/>
                <w:color w:val="auto"/>
                <w:vertAlign w:val="superscript"/>
              </w:rPr>
              <w:t>(h)</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901</w:t>
            </w:r>
          </w:p>
        </w:tc>
        <w:tc>
          <w:tcPr>
            <w:tcW w:w="1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882</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2.2 %</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1,754</w:t>
            </w:r>
          </w:p>
        </w:tc>
        <w:tc>
          <w:tcPr>
            <w:tcW w:w="10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1,723</w:t>
            </w:r>
          </w:p>
        </w:tc>
        <w:tc>
          <w:tcPr>
            <w:tcW w:w="1220" w:type="dxa"/>
            <w:vAlign w:val="bottom"/>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Average stage length (miles) </w:t>
            </w:r>
            <w:r>
              <w:rPr>
                <w:rFonts w:ascii="Arial" w:cs="Arial" w:eastAsia="Arial" w:hAnsi="Arial"/>
                <w:sz w:val="21"/>
                <w:szCs w:val="21"/>
                <w:color w:val="auto"/>
                <w:vertAlign w:val="superscript"/>
              </w:rPr>
              <w:t>(i)</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1,215</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1,193</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1.8 %</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1,202</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1,182</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37"/>
        </w:trPr>
        <w:tc>
          <w:tcPr>
            <w:tcW w:w="5240" w:type="dxa"/>
            <w:vAlign w:val="bottom"/>
          </w:tcPr>
          <w:p>
            <w:pPr>
              <w:ind w:left="280"/>
              <w:spacing w:after="0"/>
              <w:rPr>
                <w:sz w:val="20"/>
                <w:szCs w:val="20"/>
                <w:color w:val="auto"/>
              </w:rPr>
            </w:pPr>
            <w:r>
              <w:rPr>
                <w:rFonts w:ascii="Arial" w:cs="Arial" w:eastAsia="Arial" w:hAnsi="Arial"/>
                <w:sz w:val="16"/>
                <w:szCs w:val="16"/>
                <w:color w:val="auto"/>
              </w:rPr>
              <w:t>Fuel consumption (gallons in millions)</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937</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922</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1.6 %</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1,811</w:t>
            </w:r>
          </w:p>
        </w:tc>
        <w:tc>
          <w:tcPr>
            <w:tcW w:w="10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1,780</w:t>
            </w:r>
          </w:p>
        </w:tc>
        <w:tc>
          <w:tcPr>
            <w:tcW w:w="1220" w:type="dxa"/>
            <w:vAlign w:val="bottom"/>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Average aircraft fuel price including related taxes ($/gallon)</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w:t>
            </w: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1.2 %</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7"/>
        </w:trPr>
        <w:tc>
          <w:tcPr>
            <w:tcW w:w="5240" w:type="dxa"/>
            <w:vAlign w:val="bottom"/>
          </w:tcPr>
          <w:p>
            <w:pPr>
              <w:ind w:left="280"/>
              <w:spacing w:after="0"/>
              <w:rPr>
                <w:sz w:val="20"/>
                <w:szCs w:val="20"/>
                <w:color w:val="auto"/>
              </w:rPr>
            </w:pPr>
            <w:r>
              <w:rPr>
                <w:rFonts w:ascii="Arial" w:cs="Arial" w:eastAsia="Arial" w:hAnsi="Arial"/>
                <w:sz w:val="16"/>
                <w:szCs w:val="16"/>
                <w:color w:val="auto"/>
              </w:rPr>
              <w:t>Full-time equivalent employees at end of period</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94,061</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91,710</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2.6 %</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94,061</w:t>
            </w:r>
          </w:p>
        </w:tc>
        <w:tc>
          <w:tcPr>
            <w:tcW w:w="10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91,710</w:t>
            </w:r>
          </w:p>
        </w:tc>
        <w:tc>
          <w:tcPr>
            <w:tcW w:w="1220" w:type="dxa"/>
            <w:vAlign w:val="bottom"/>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 xml:space="preserve">Regional </w:t>
            </w:r>
            <w:r>
              <w:rPr>
                <w:rFonts w:ascii="Arial" w:cs="Arial" w:eastAsia="Arial" w:hAnsi="Arial"/>
                <w:sz w:val="21"/>
                <w:szCs w:val="21"/>
                <w:b w:val="1"/>
                <w:bCs w:val="1"/>
                <w:color w:val="auto"/>
                <w:vertAlign w:val="superscript"/>
              </w:rPr>
              <w:t>(j)</w:t>
            </w: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6"/>
                <w:szCs w:val="16"/>
                <w:color w:val="auto"/>
              </w:rPr>
              <w:t xml:space="preserve">Revenue passenger miles (millions) </w:t>
            </w:r>
            <w:r>
              <w:rPr>
                <w:rFonts w:ascii="Arial" w:cs="Arial" w:eastAsia="Arial" w:hAnsi="Arial"/>
                <w:sz w:val="21"/>
                <w:szCs w:val="21"/>
                <w:color w:val="auto"/>
                <w:vertAlign w:val="superscript"/>
              </w:rPr>
              <w:t>(a)</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5,787</w:t>
            </w:r>
          </w:p>
        </w:tc>
        <w:tc>
          <w:tcPr>
            <w:tcW w:w="1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5,589</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3.6 %</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10,846</w:t>
            </w:r>
          </w:p>
        </w:tc>
        <w:tc>
          <w:tcPr>
            <w:tcW w:w="10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10,585</w:t>
            </w:r>
          </w:p>
        </w:tc>
        <w:tc>
          <w:tcPr>
            <w:tcW w:w="1220" w:type="dxa"/>
            <w:vAlign w:val="bottom"/>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Available seat miles (millions) </w:t>
            </w:r>
            <w:r>
              <w:rPr>
                <w:rFonts w:ascii="Arial" w:cs="Arial" w:eastAsia="Arial" w:hAnsi="Arial"/>
                <w:sz w:val="21"/>
                <w:szCs w:val="21"/>
                <w:color w:val="auto"/>
                <w:vertAlign w:val="superscript"/>
              </w:rPr>
              <w:t>(b)</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7,091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7,120</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13,652</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13,895</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6"/>
                <w:szCs w:val="16"/>
                <w:color w:val="auto"/>
              </w:rPr>
              <w:t xml:space="preserve">Passenger load factor (percent) </w:t>
            </w:r>
            <w:r>
              <w:rPr>
                <w:rFonts w:ascii="Arial" w:cs="Arial" w:eastAsia="Arial" w:hAnsi="Arial"/>
                <w:sz w:val="21"/>
                <w:szCs w:val="21"/>
                <w:color w:val="auto"/>
                <w:vertAlign w:val="superscript"/>
              </w:rPr>
              <w:t>(c)</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78.5</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3.1 pts</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79.4</w:t>
            </w:r>
          </w:p>
        </w:tc>
        <w:tc>
          <w:tcPr>
            <w:tcW w:w="10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76.2</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3.2 pts</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Yield (cents) </w:t>
            </w:r>
            <w:r>
              <w:rPr>
                <w:rFonts w:ascii="Arial" w:cs="Arial" w:eastAsia="Arial" w:hAnsi="Arial"/>
                <w:sz w:val="21"/>
                <w:szCs w:val="21"/>
                <w:color w:val="auto"/>
                <w:vertAlign w:val="superscript"/>
              </w:rPr>
              <w:t>(d)</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29.49</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29.34</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0.5 %</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28.71</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29.11</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6"/>
                <w:szCs w:val="16"/>
                <w:color w:val="auto"/>
              </w:rPr>
              <w:t xml:space="preserve">Passenger revenue per ASM (cents) </w:t>
            </w:r>
            <w:r>
              <w:rPr>
                <w:rFonts w:ascii="Arial" w:cs="Arial" w:eastAsia="Arial" w:hAnsi="Arial"/>
                <w:sz w:val="21"/>
                <w:szCs w:val="21"/>
                <w:color w:val="auto"/>
                <w:vertAlign w:val="superscript"/>
              </w:rPr>
              <w:t>(e)</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24.07</w:t>
            </w:r>
          </w:p>
        </w:tc>
        <w:tc>
          <w:tcPr>
            <w:tcW w:w="1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23.03</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4.5 %</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22.81</w:t>
            </w:r>
          </w:p>
        </w:tc>
        <w:tc>
          <w:tcPr>
            <w:tcW w:w="10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22.18</w:t>
            </w:r>
          </w:p>
        </w:tc>
        <w:tc>
          <w:tcPr>
            <w:tcW w:w="1220" w:type="dxa"/>
            <w:vAlign w:val="bottom"/>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Operating cost per ASM (cents) </w:t>
            </w:r>
            <w:r>
              <w:rPr>
                <w:rFonts w:ascii="Arial" w:cs="Arial" w:eastAsia="Arial" w:hAnsi="Arial"/>
                <w:sz w:val="21"/>
                <w:szCs w:val="21"/>
                <w:color w:val="auto"/>
                <w:vertAlign w:val="superscript"/>
              </w:rPr>
              <w:t>(f)</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23.37</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22.35</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4.6 %</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23.82</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23.05</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6"/>
                <w:szCs w:val="16"/>
                <w:color w:val="auto"/>
              </w:rPr>
              <w:t xml:space="preserve">Passenger enplanements (thousands) </w:t>
            </w:r>
            <w:r>
              <w:rPr>
                <w:rFonts w:ascii="Arial" w:cs="Arial" w:eastAsia="Arial" w:hAnsi="Arial"/>
                <w:sz w:val="21"/>
                <w:szCs w:val="21"/>
                <w:color w:val="auto"/>
                <w:vertAlign w:val="superscript"/>
              </w:rPr>
              <w:t>(g)</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13,553</w:t>
            </w:r>
          </w:p>
        </w:tc>
        <w:tc>
          <w:tcPr>
            <w:tcW w:w="1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12,957</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4.6 %</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25,262</w:t>
            </w:r>
          </w:p>
        </w:tc>
        <w:tc>
          <w:tcPr>
            <w:tcW w:w="10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24,624</w:t>
            </w:r>
          </w:p>
        </w:tc>
        <w:tc>
          <w:tcPr>
            <w:tcW w:w="1220" w:type="dxa"/>
            <w:vAlign w:val="bottom"/>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Aircraft at end of period</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554</w:t>
            </w: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0.5 %</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554</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237"/>
        </w:trPr>
        <w:tc>
          <w:tcPr>
            <w:tcW w:w="5240" w:type="dxa"/>
            <w:vAlign w:val="bottom"/>
          </w:tcPr>
          <w:p>
            <w:pPr>
              <w:ind w:left="280"/>
              <w:spacing w:after="0"/>
              <w:rPr>
                <w:sz w:val="20"/>
                <w:szCs w:val="20"/>
                <w:color w:val="auto"/>
              </w:rPr>
            </w:pPr>
            <w:r>
              <w:rPr>
                <w:rFonts w:ascii="Arial" w:cs="Arial" w:eastAsia="Arial" w:hAnsi="Arial"/>
                <w:sz w:val="16"/>
                <w:szCs w:val="16"/>
                <w:color w:val="auto"/>
              </w:rPr>
              <w:t>Fuel consumption (gallons in millions)</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175</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341</w:t>
            </w:r>
          </w:p>
        </w:tc>
        <w:tc>
          <w:tcPr>
            <w:tcW w:w="12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Average aircraft fuel price including related taxes ($/gallon)</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w:t>
            </w: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3.0 %</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6"/>
                <w:szCs w:val="16"/>
                <w:b w:val="1"/>
                <w:bCs w:val="1"/>
                <w:color w:val="auto"/>
              </w:rPr>
              <w:t>Total Mainline and Regional</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Revenue passenger miles (millions) </w:t>
            </w:r>
            <w:r>
              <w:rPr>
                <w:rFonts w:ascii="Arial" w:cs="Arial" w:eastAsia="Arial" w:hAnsi="Arial"/>
                <w:sz w:val="21"/>
                <w:szCs w:val="21"/>
                <w:color w:val="auto"/>
                <w:vertAlign w:val="superscript"/>
              </w:rPr>
              <w:t>(a)</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57,194</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55,815</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2.5 %</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108,080</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105,834</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6"/>
                <w:szCs w:val="16"/>
                <w:color w:val="auto"/>
              </w:rPr>
              <w:t xml:space="preserve">Available seat miles (millions) </w:t>
            </w:r>
            <w:r>
              <w:rPr>
                <w:rFonts w:ascii="Arial" w:cs="Arial" w:eastAsia="Arial" w:hAnsi="Arial"/>
                <w:sz w:val="21"/>
                <w:szCs w:val="21"/>
                <w:color w:val="auto"/>
                <w:vertAlign w:val="superscript"/>
              </w:rPr>
              <w:t>(b)</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68,090</w:t>
            </w:r>
          </w:p>
        </w:tc>
        <w:tc>
          <w:tcPr>
            <w:tcW w:w="1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66,035</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3.1 %</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131,482</w:t>
            </w:r>
          </w:p>
        </w:tc>
        <w:tc>
          <w:tcPr>
            <w:tcW w:w="10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128,164</w:t>
            </w:r>
          </w:p>
        </w:tc>
        <w:tc>
          <w:tcPr>
            <w:tcW w:w="1220" w:type="dxa"/>
            <w:vAlign w:val="bottom"/>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Cargo ton miles (millions) </w:t>
            </w:r>
            <w:r>
              <w:rPr>
                <w:rFonts w:ascii="Arial" w:cs="Arial" w:eastAsia="Arial" w:hAnsi="Arial"/>
                <w:sz w:val="21"/>
                <w:szCs w:val="21"/>
                <w:color w:val="auto"/>
                <w:vertAlign w:val="superscript"/>
              </w:rPr>
              <w:t>(k)</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595</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559</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6.5 %</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1,155</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1,059</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9.1 %</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6"/>
                <w:szCs w:val="16"/>
                <w:color w:val="auto"/>
              </w:rPr>
              <w:t xml:space="preserve">Passenger load factor (percent) </w:t>
            </w:r>
            <w:r>
              <w:rPr>
                <w:rFonts w:ascii="Arial" w:cs="Arial" w:eastAsia="Arial" w:hAnsi="Arial"/>
                <w:sz w:val="21"/>
                <w:szCs w:val="21"/>
                <w:color w:val="auto"/>
                <w:vertAlign w:val="superscript"/>
              </w:rPr>
              <w:t>(c)</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84.0</w:t>
            </w:r>
          </w:p>
        </w:tc>
        <w:tc>
          <w:tcPr>
            <w:tcW w:w="1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84.5</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(0.5) pts</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82.2</w:t>
            </w:r>
          </w:p>
        </w:tc>
        <w:tc>
          <w:tcPr>
            <w:tcW w:w="10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82.6</w:t>
            </w: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(0.4) pts</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Yield (cents) </w:t>
            </w:r>
            <w:r>
              <w:rPr>
                <w:rFonts w:ascii="Arial" w:cs="Arial" w:eastAsia="Arial" w:hAnsi="Arial"/>
                <w:sz w:val="21"/>
                <w:szCs w:val="21"/>
                <w:color w:val="auto"/>
                <w:vertAlign w:val="superscript"/>
              </w:rPr>
              <w:t>(d)</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17.34</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16.28</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6.5 %</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17.20</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16.38</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4.9 %</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6"/>
                <w:szCs w:val="16"/>
                <w:color w:val="auto"/>
              </w:rPr>
              <w:t xml:space="preserve">Passenger revenue per ASM (cents) </w:t>
            </w:r>
            <w:r>
              <w:rPr>
                <w:rFonts w:ascii="Arial" w:cs="Arial" w:eastAsia="Arial" w:hAnsi="Arial"/>
                <w:sz w:val="21"/>
                <w:szCs w:val="21"/>
                <w:color w:val="auto"/>
                <w:vertAlign w:val="superscript"/>
              </w:rPr>
              <w:t>(e)</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14.57</w:t>
            </w:r>
          </w:p>
        </w:tc>
        <w:tc>
          <w:tcPr>
            <w:tcW w:w="1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13.76</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5.9 %</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14.13</w:t>
            </w:r>
          </w:p>
        </w:tc>
        <w:tc>
          <w:tcPr>
            <w:tcW w:w="10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13.53</w:t>
            </w:r>
          </w:p>
        </w:tc>
        <w:tc>
          <w:tcPr>
            <w:tcW w:w="1220" w:type="dxa"/>
            <w:vAlign w:val="bottom"/>
          </w:tcPr>
          <w:p>
            <w:pPr>
              <w:jc w:val="right"/>
              <w:spacing w:after="0"/>
              <w:rPr>
                <w:sz w:val="20"/>
                <w:szCs w:val="20"/>
                <w:color w:val="auto"/>
              </w:rPr>
            </w:pPr>
            <w:r>
              <w:rPr>
                <w:rFonts w:ascii="Arial" w:cs="Arial" w:eastAsia="Arial" w:hAnsi="Arial"/>
                <w:sz w:val="16"/>
                <w:szCs w:val="16"/>
                <w:color w:val="auto"/>
              </w:rPr>
              <w:t>4.5 %</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Total revenue per ASM (cents) </w:t>
            </w:r>
            <w:r>
              <w:rPr>
                <w:rFonts w:ascii="Arial" w:cs="Arial" w:eastAsia="Arial" w:hAnsi="Arial"/>
                <w:sz w:val="21"/>
                <w:szCs w:val="21"/>
                <w:color w:val="auto"/>
                <w:vertAlign w:val="superscript"/>
              </w:rPr>
              <w:t>(l)</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16.68</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15.60</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6.9 %</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16.24</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15.42</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5.3 %</w:t>
            </w:r>
          </w:p>
        </w:tc>
        <w:tc>
          <w:tcPr>
            <w:tcW w:w="0" w:type="dxa"/>
            <w:vAlign w:val="bottom"/>
          </w:tcPr>
          <w:p>
            <w:pPr>
              <w:spacing w:after="0"/>
              <w:rPr>
                <w:sz w:val="1"/>
                <w:szCs w:val="1"/>
                <w:color w:val="auto"/>
              </w:rPr>
            </w:pPr>
          </w:p>
        </w:tc>
      </w:tr>
      <w:tr>
        <w:trPr>
          <w:trHeight w:val="270"/>
        </w:trPr>
        <w:tc>
          <w:tcPr>
            <w:tcW w:w="5240" w:type="dxa"/>
            <w:vAlign w:val="bottom"/>
          </w:tcPr>
          <w:p>
            <w:pPr>
              <w:ind w:left="280"/>
              <w:spacing w:after="0"/>
              <w:rPr>
                <w:sz w:val="20"/>
                <w:szCs w:val="20"/>
                <w:color w:val="auto"/>
              </w:rPr>
            </w:pPr>
            <w:r>
              <w:rPr>
                <w:rFonts w:ascii="Arial" w:cs="Arial" w:eastAsia="Arial" w:hAnsi="Arial"/>
                <w:sz w:val="16"/>
                <w:szCs w:val="16"/>
                <w:color w:val="auto"/>
              </w:rPr>
              <w:t xml:space="preserve">Cargo yield per ton mile (cents) </w:t>
            </w:r>
            <w:r>
              <w:rPr>
                <w:rFonts w:ascii="Arial" w:cs="Arial" w:eastAsia="Arial" w:hAnsi="Arial"/>
                <w:sz w:val="21"/>
                <w:szCs w:val="21"/>
                <w:color w:val="auto"/>
                <w:vertAlign w:val="superscript"/>
              </w:rPr>
              <w:t>(m)</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37.16</w:t>
            </w:r>
          </w:p>
        </w:tc>
        <w:tc>
          <w:tcPr>
            <w:tcW w:w="10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36.56</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1.6 %</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37.02</w:t>
            </w:r>
          </w:p>
        </w:tc>
        <w:tc>
          <w:tcPr>
            <w:tcW w:w="10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37.88</w:t>
            </w:r>
          </w:p>
        </w:tc>
        <w:tc>
          <w:tcPr>
            <w:tcW w:w="122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Passenger enplanements (thousands) </w:t>
            </w:r>
            <w:r>
              <w:rPr>
                <w:rFonts w:ascii="Arial" w:cs="Arial" w:eastAsia="Arial" w:hAnsi="Arial"/>
                <w:sz w:val="21"/>
                <w:szCs w:val="21"/>
                <w:color w:val="auto"/>
                <w:vertAlign w:val="superscript"/>
              </w:rPr>
              <w:t>(g)</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51,463</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49,944</w:t>
            </w: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3.0 %</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98,016</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96,044</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37"/>
        </w:trPr>
        <w:tc>
          <w:tcPr>
            <w:tcW w:w="5240" w:type="dxa"/>
            <w:vAlign w:val="bottom"/>
          </w:tcPr>
          <w:p>
            <w:pPr>
              <w:ind w:left="280"/>
              <w:spacing w:after="0"/>
              <w:rPr>
                <w:sz w:val="20"/>
                <w:szCs w:val="20"/>
                <w:color w:val="auto"/>
              </w:rPr>
            </w:pPr>
            <w:r>
              <w:rPr>
                <w:rFonts w:ascii="Arial" w:cs="Arial" w:eastAsia="Arial" w:hAnsi="Arial"/>
                <w:sz w:val="16"/>
                <w:szCs w:val="16"/>
                <w:color w:val="auto"/>
              </w:rPr>
              <w:t>Aircraft at end of period</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1,541</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1,529</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0.8 %</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1,541</w:t>
            </w:r>
          </w:p>
        </w:tc>
        <w:tc>
          <w:tcPr>
            <w:tcW w:w="10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1,529</w:t>
            </w:r>
          </w:p>
        </w:tc>
        <w:tc>
          <w:tcPr>
            <w:tcW w:w="1220" w:type="dxa"/>
            <w:vAlign w:val="bottom"/>
          </w:tcPr>
          <w:p>
            <w:pPr>
              <w:jc w:val="right"/>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33"/>
        </w:trPr>
        <w:tc>
          <w:tcPr>
            <w:tcW w:w="5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Fuel consumption (gallons in millions)</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1,097</w:t>
            </w: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1.3 %</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2,121</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0" w:type="dxa"/>
            <w:vAlign w:val="bottom"/>
          </w:tcPr>
          <w:p>
            <w:pPr>
              <w:spacing w:after="0"/>
              <w:rPr>
                <w:sz w:val="1"/>
                <w:szCs w:val="1"/>
                <w:color w:val="auto"/>
              </w:rPr>
            </w:pPr>
          </w:p>
        </w:tc>
      </w:tr>
      <w:tr>
        <w:trPr>
          <w:trHeight w:val="237"/>
        </w:trPr>
        <w:tc>
          <w:tcPr>
            <w:tcW w:w="5240" w:type="dxa"/>
            <w:vAlign w:val="bottom"/>
          </w:tcPr>
          <w:p>
            <w:pPr>
              <w:ind w:left="280"/>
              <w:spacing w:after="0"/>
              <w:rPr>
                <w:sz w:val="20"/>
                <w:szCs w:val="20"/>
                <w:color w:val="auto"/>
              </w:rPr>
            </w:pPr>
            <w:r>
              <w:rPr>
                <w:rFonts w:ascii="Arial" w:cs="Arial" w:eastAsia="Arial" w:hAnsi="Arial"/>
                <w:sz w:val="16"/>
                <w:szCs w:val="16"/>
                <w:color w:val="auto"/>
              </w:rPr>
              <w:t>Average aircraft fuel price including related taxes ($/gallon)</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2.98</w:t>
            </w: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1.5 %</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3.11</w:t>
            </w:r>
          </w:p>
        </w:tc>
        <w:tc>
          <w:tcPr>
            <w:tcW w:w="122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bl>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color w:val="auto"/>
        </w:rPr>
        <w:t>Represents the combined historical operating statistics of American and US Airways Group.</w:t>
      </w:r>
    </w:p>
    <w:p>
      <w:pPr>
        <w:spacing w:after="0" w:line="172"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Revenue passenger mile (RPM) — A basic measure of sales volume. One RPM represents one passenger flown one mile.</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33"/>
        </w:numPr>
        <w:rPr>
          <w:rFonts w:ascii="Arial" w:cs="Arial" w:eastAsia="Arial" w:hAnsi="Arial"/>
          <w:sz w:val="24"/>
          <w:szCs w:val="24"/>
          <w:color w:val="auto"/>
          <w:vertAlign w:val="superscript"/>
        </w:rPr>
      </w:pPr>
      <w:r>
        <w:rPr>
          <w:rFonts w:ascii="Arial" w:cs="Arial" w:eastAsia="Arial" w:hAnsi="Arial"/>
          <w:sz w:val="17"/>
          <w:szCs w:val="17"/>
          <w:color w:val="auto"/>
        </w:rPr>
        <w:t>Available seat mile (ASM) — A basic measure of production. One ASM represents one seat flown one mile.</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33"/>
        </w:numPr>
        <w:rPr>
          <w:rFonts w:ascii="Arial" w:cs="Arial" w:eastAsia="Arial" w:hAnsi="Arial"/>
          <w:sz w:val="24"/>
          <w:szCs w:val="24"/>
          <w:color w:val="auto"/>
          <w:vertAlign w:val="superscript"/>
        </w:rPr>
      </w:pPr>
      <w:r>
        <w:rPr>
          <w:rFonts w:ascii="Arial" w:cs="Arial" w:eastAsia="Arial" w:hAnsi="Arial"/>
          <w:sz w:val="17"/>
          <w:szCs w:val="17"/>
          <w:color w:val="auto"/>
        </w:rPr>
        <w:t>Passenger load factor — The percentage of available seats that are filled with revenue passengers.</w:t>
      </w:r>
    </w:p>
    <w:p>
      <w:pPr>
        <w:sectPr>
          <w:pgSz w:w="11900" w:h="16838" w:orient="portrait"/>
          <w:cols w:equalWidth="0" w:num="1">
            <w:col w:w="11360"/>
          </w:cols>
          <w:pgMar w:left="240" w:top="503" w:right="299" w:bottom="1440" w:gutter="0" w:footer="0" w:header="0"/>
        </w:sect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360"/>
          </w:cols>
          <w:pgMar w:left="240" w:top="503" w:right="299" w:bottom="1440" w:gutter="0" w:footer="0" w:header="0"/>
          <w:type w:val="continuous"/>
        </w:sectPr>
      </w:pPr>
    </w:p>
    <w:bookmarkStart w:id="62" w:name="page63"/>
    <w:bookmarkEnd w:id="62"/>
    <w:p>
      <w:pPr>
        <w:ind w:left="340" w:hanging="332"/>
        <w:spacing w:after="0"/>
        <w:tabs>
          <w:tab w:leader="none" w:pos="34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Yield — A measure of airline revenue derived by dividing passenger revenue by RPMs.</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34"/>
        </w:numPr>
        <w:rPr>
          <w:rFonts w:ascii="Arial" w:cs="Arial" w:eastAsia="Arial" w:hAnsi="Arial"/>
          <w:sz w:val="24"/>
          <w:szCs w:val="24"/>
          <w:color w:val="auto"/>
          <w:vertAlign w:val="superscript"/>
        </w:rPr>
      </w:pPr>
      <w:r>
        <w:rPr>
          <w:rFonts w:ascii="Arial" w:cs="Arial" w:eastAsia="Arial" w:hAnsi="Arial"/>
          <w:sz w:val="17"/>
          <w:szCs w:val="17"/>
          <w:color w:val="auto"/>
        </w:rPr>
        <w:t>Passenger revenue per available seat mile (PRASM) — Passenger revenues divided by ASMs.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34"/>
        </w:numPr>
        <w:rPr>
          <w:rFonts w:ascii="Arial" w:cs="Arial" w:eastAsia="Arial" w:hAnsi="Arial"/>
          <w:sz w:val="24"/>
          <w:szCs w:val="24"/>
          <w:color w:val="auto"/>
          <w:vertAlign w:val="superscript"/>
        </w:rPr>
      </w:pPr>
      <w:r>
        <w:rPr>
          <w:rFonts w:ascii="Arial" w:cs="Arial" w:eastAsia="Arial" w:hAnsi="Arial"/>
          <w:sz w:val="17"/>
          <w:szCs w:val="17"/>
          <w:color w:val="auto"/>
        </w:rPr>
        <w:t>Operating cost per available seat mile (CASM) — Operating expenses divided by ASMs.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34"/>
        </w:numPr>
        <w:rPr>
          <w:rFonts w:ascii="Arial" w:cs="Arial" w:eastAsia="Arial" w:hAnsi="Arial"/>
          <w:sz w:val="24"/>
          <w:szCs w:val="24"/>
          <w:color w:val="auto"/>
          <w:vertAlign w:val="superscript"/>
        </w:rPr>
      </w:pPr>
      <w:r>
        <w:rPr>
          <w:rFonts w:ascii="Arial" w:cs="Arial" w:eastAsia="Arial" w:hAnsi="Arial"/>
          <w:sz w:val="17"/>
          <w:szCs w:val="17"/>
          <w:color w:val="auto"/>
        </w:rPr>
        <w:t>Passenger enplanements — The number of passengers on board an aircraft, including local, connecting and through passengers.</w:t>
      </w:r>
    </w:p>
    <w:p>
      <w:pPr>
        <w:spacing w:after="0" w:line="2" w:lineRule="exact"/>
        <w:rPr>
          <w:rFonts w:ascii="Arial" w:cs="Arial" w:eastAsia="Arial" w:hAnsi="Arial"/>
          <w:sz w:val="24"/>
          <w:szCs w:val="24"/>
          <w:color w:val="auto"/>
          <w:vertAlign w:val="superscript"/>
        </w:rPr>
      </w:pPr>
    </w:p>
    <w:p>
      <w:pPr>
        <w:ind w:left="340" w:hanging="332"/>
        <w:spacing w:after="0" w:line="208" w:lineRule="auto"/>
        <w:tabs>
          <w:tab w:leader="none" w:pos="34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Block hours — The hours measured from the moment an aircraft first moves under its own power, including taxi time, for the purposes of flight until the aircraft is docked at the next point of landing and its power is shut down.</w:t>
      </w:r>
    </w:p>
    <w:p>
      <w:pPr>
        <w:spacing w:after="0" w:line="1" w:lineRule="exact"/>
        <w:rPr>
          <w:rFonts w:ascii="Arial" w:cs="Arial" w:eastAsia="Arial" w:hAnsi="Arial"/>
          <w:sz w:val="25"/>
          <w:szCs w:val="25"/>
          <w:color w:val="auto"/>
          <w:vertAlign w:val="superscript"/>
        </w:rPr>
      </w:pPr>
    </w:p>
    <w:p>
      <w:pPr>
        <w:ind w:left="340" w:hanging="332"/>
        <w:spacing w:after="0" w:line="180" w:lineRule="auto"/>
        <w:tabs>
          <w:tab w:leader="none" w:pos="34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Average stage length — The average of the distances flown on each segment of every route.</w:t>
      </w:r>
    </w:p>
    <w:p>
      <w:pPr>
        <w:spacing w:after="0" w:line="2" w:lineRule="exact"/>
        <w:rPr>
          <w:rFonts w:ascii="Arial" w:cs="Arial" w:eastAsia="Arial" w:hAnsi="Arial"/>
          <w:sz w:val="25"/>
          <w:szCs w:val="25"/>
          <w:color w:val="auto"/>
          <w:vertAlign w:val="superscript"/>
        </w:rPr>
      </w:pPr>
    </w:p>
    <w:p>
      <w:pPr>
        <w:jc w:val="both"/>
        <w:ind w:left="340" w:hanging="332"/>
        <w:spacing w:after="0" w:line="221" w:lineRule="auto"/>
        <w:tabs>
          <w:tab w:leader="none" w:pos="34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Regional statistics include our subsidiaries, Envoy Aviation Group Inc. (formerly known as AMR Eagle Holding Corporation), Piedmont Airlines, Inc. and PSA Airlines, Inc., and operating and financial results from our capacity purchase agreements with Air Wisconsin Airlines Corporation, Chautauqua Airlines, Inc., ExpressJet Airlines, Inc., Mesa Airlines, Inc., Republic Airline Inc. and SkyWest Airlines, Inc.</w:t>
      </w:r>
    </w:p>
    <w:p>
      <w:pPr>
        <w:ind w:left="340" w:hanging="332"/>
        <w:spacing w:after="0" w:line="180" w:lineRule="auto"/>
        <w:tabs>
          <w:tab w:leader="none" w:pos="34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Cargo ton miles — A basic measure of cargo transportation. One cargo ton mile represents one ton of cargo transported one mile.</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34"/>
        </w:numPr>
        <w:rPr>
          <w:rFonts w:ascii="Arial" w:cs="Arial" w:eastAsia="Arial" w:hAnsi="Arial"/>
          <w:sz w:val="24"/>
          <w:szCs w:val="24"/>
          <w:color w:val="auto"/>
          <w:vertAlign w:val="superscript"/>
        </w:rPr>
      </w:pPr>
      <w:r>
        <w:rPr>
          <w:rFonts w:ascii="Arial" w:cs="Arial" w:eastAsia="Arial" w:hAnsi="Arial"/>
          <w:sz w:val="17"/>
          <w:szCs w:val="17"/>
          <w:color w:val="auto"/>
        </w:rPr>
        <w:t>Total revenue per available seat mile (RASM) — Total revenues divided by total mainline and regional ASMs.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34"/>
        </w:numPr>
        <w:rPr>
          <w:rFonts w:ascii="Arial" w:cs="Arial" w:eastAsia="Arial" w:hAnsi="Arial"/>
          <w:sz w:val="24"/>
          <w:szCs w:val="24"/>
          <w:color w:val="auto"/>
          <w:vertAlign w:val="superscript"/>
        </w:rPr>
      </w:pPr>
      <w:r>
        <w:rPr>
          <w:rFonts w:ascii="Arial" w:cs="Arial" w:eastAsia="Arial" w:hAnsi="Arial"/>
          <w:sz w:val="17"/>
          <w:szCs w:val="17"/>
          <w:color w:val="auto"/>
        </w:rPr>
        <w:t>Cargo yield per ton mile — Cargo revenues divided by total mainline and regional cargo ton miles.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Three Months Ended June 30, 2014 Compared to Three Months Ended June 30, 2013</w:t>
      </w:r>
    </w:p>
    <w:p>
      <w:pPr>
        <w:spacing w:after="0" w:line="144"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To conform to current year presentation, certain revenues and expenses in prior years have been reclassified. As a result, prior year amounts may not agree to the amounts previously reported. See Note 1 to AAG's condensed consolidated financial statements in Part I, Item 1A for additional information.</w:t>
      </w:r>
    </w:p>
    <w:p>
      <w:pPr>
        <w:spacing w:after="0" w:line="26"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200" w:type="dxa"/>
            <w:vAlign w:val="bottom"/>
            <w:gridSpan w:val="3"/>
          </w:tcPr>
          <w:p>
            <w:pPr>
              <w:spacing w:after="0"/>
              <w:rPr>
                <w:sz w:val="20"/>
                <w:szCs w:val="20"/>
                <w:color w:val="auto"/>
              </w:rPr>
            </w:pPr>
            <w:r>
              <w:rPr>
                <w:rFonts w:ascii="Arial" w:cs="Arial" w:eastAsia="Arial" w:hAnsi="Arial"/>
                <w:sz w:val="18"/>
                <w:szCs w:val="18"/>
                <w:i w:val="1"/>
                <w:iCs w:val="1"/>
                <w:color w:val="auto"/>
              </w:rPr>
              <w:t>Operating Revenues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5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740" w:type="dxa"/>
            <w:vAlign w:val="bottom"/>
          </w:tcPr>
          <w:p>
            <w:pPr>
              <w:spacing w:after="0"/>
              <w:rPr>
                <w:sz w:val="24"/>
                <w:szCs w:val="24"/>
                <w:color w:val="auto"/>
              </w:rPr>
            </w:pPr>
          </w:p>
        </w:tc>
        <w:tc>
          <w:tcPr>
            <w:tcW w:w="1820" w:type="dxa"/>
            <w:vAlign w:val="bottom"/>
            <w:gridSpan w:val="6"/>
          </w:tcPr>
          <w:p>
            <w:pPr>
              <w:jc w:val="center"/>
              <w:ind w:right="100"/>
              <w:spacing w:after="0"/>
              <w:rPr>
                <w:sz w:val="20"/>
                <w:szCs w:val="20"/>
                <w:color w:val="auto"/>
              </w:rPr>
            </w:pPr>
            <w:r>
              <w:rPr>
                <w:rFonts w:ascii="Arial" w:cs="Arial" w:eastAsia="Arial" w:hAnsi="Arial"/>
                <w:sz w:val="18"/>
                <w:szCs w:val="18"/>
                <w:color w:val="auto"/>
                <w:w w:val="90"/>
              </w:rPr>
              <w:t>Three Months Ended</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ind w:left="40"/>
              <w:spacing w:after="0"/>
              <w:rPr>
                <w:sz w:val="20"/>
                <w:szCs w:val="20"/>
                <w:color w:val="auto"/>
              </w:rPr>
            </w:pPr>
            <w:r>
              <w:rPr>
                <w:rFonts w:ascii="Arial" w:cs="Arial" w:eastAsia="Arial" w:hAnsi="Arial"/>
                <w:sz w:val="18"/>
                <w:szCs w:val="18"/>
                <w:color w:val="auto"/>
              </w:rPr>
              <w:t>Change</w:t>
            </w:r>
          </w:p>
        </w:tc>
        <w:tc>
          <w:tcPr>
            <w:tcW w:w="140" w:type="dxa"/>
            <w:vAlign w:val="bottom"/>
          </w:tcPr>
          <w:p>
            <w:pPr>
              <w:spacing w:after="0"/>
              <w:rPr>
                <w:sz w:val="24"/>
                <w:szCs w:val="24"/>
                <w:color w:val="auto"/>
              </w:rPr>
            </w:pPr>
          </w:p>
        </w:tc>
        <w:tc>
          <w:tcPr>
            <w:tcW w:w="1580" w:type="dxa"/>
            <w:vAlign w:val="bottom"/>
            <w:gridSpan w:val="2"/>
          </w:tcPr>
          <w:p>
            <w:pPr>
              <w:jc w:val="right"/>
              <w:ind w:right="110"/>
              <w:spacing w:after="0"/>
              <w:rPr>
                <w:sz w:val="20"/>
                <w:szCs w:val="20"/>
                <w:color w:val="auto"/>
              </w:rPr>
            </w:pPr>
            <w:r>
              <w:rPr>
                <w:rFonts w:ascii="Arial" w:cs="Arial" w:eastAsia="Arial" w:hAnsi="Arial"/>
                <w:sz w:val="18"/>
                <w:szCs w:val="18"/>
                <w:color w:val="auto"/>
                <w:w w:val="93"/>
              </w:rPr>
              <w:t>Change Excluding</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60" w:type="dxa"/>
            <w:vAlign w:val="bottom"/>
            <w:gridSpan w:val="5"/>
            <w:vMerge w:val="restart"/>
          </w:tcPr>
          <w:p>
            <w:pPr>
              <w:jc w:val="center"/>
              <w:ind w:right="260"/>
              <w:spacing w:after="0"/>
              <w:rPr>
                <w:sz w:val="20"/>
                <w:szCs w:val="20"/>
                <w:color w:val="auto"/>
              </w:rPr>
            </w:pPr>
            <w:r>
              <w:rPr>
                <w:rFonts w:ascii="Arial" w:cs="Arial" w:eastAsia="Arial" w:hAnsi="Arial"/>
                <w:sz w:val="18"/>
                <w:szCs w:val="18"/>
                <w:color w:val="auto"/>
                <w:w w:val="86"/>
              </w:rPr>
              <w:t>June 30,</w:t>
            </w: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580" w:type="dxa"/>
            <w:vAlign w:val="bottom"/>
            <w:gridSpan w:val="2"/>
            <w:vMerge w:val="restart"/>
          </w:tcPr>
          <w:p>
            <w:pPr>
              <w:jc w:val="right"/>
              <w:ind w:right="230"/>
              <w:spacing w:after="0"/>
              <w:rPr>
                <w:sz w:val="20"/>
                <w:szCs w:val="20"/>
                <w:color w:val="auto"/>
              </w:rPr>
            </w:pPr>
            <w:r>
              <w:rPr>
                <w:rFonts w:ascii="Arial" w:cs="Arial" w:eastAsia="Arial" w:hAnsi="Arial"/>
                <w:sz w:val="18"/>
                <w:szCs w:val="18"/>
                <w:color w:val="auto"/>
              </w:rPr>
              <w:t>Merger Impact</w:t>
            </w: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restart"/>
          </w:tcPr>
          <w:p>
            <w:pPr>
              <w:ind w:left="20"/>
              <w:spacing w:after="0" w:line="190" w:lineRule="exact"/>
              <w:rPr>
                <w:sz w:val="20"/>
                <w:szCs w:val="20"/>
                <w:color w:val="auto"/>
              </w:rPr>
            </w:pPr>
            <w:r>
              <w:rPr>
                <w:rFonts w:ascii="Arial" w:cs="Arial" w:eastAsia="Arial" w:hAnsi="Arial"/>
                <w:sz w:val="18"/>
                <w:szCs w:val="18"/>
                <w:color w:val="auto"/>
              </w:rPr>
              <w:t>Due to</w:t>
            </w:r>
          </w:p>
        </w:tc>
        <w:tc>
          <w:tcPr>
            <w:tcW w:w="1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color w:val="auto"/>
                <w:w w:val="99"/>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53"/>
              <w:spacing w:after="0"/>
              <w:rPr>
                <w:sz w:val="20"/>
                <w:szCs w:val="20"/>
                <w:color w:val="auto"/>
              </w:rPr>
            </w:pPr>
            <w:r>
              <w:rPr>
                <w:rFonts w:ascii="Arial" w:cs="Arial" w:eastAsia="Arial" w:hAnsi="Arial"/>
                <w:sz w:val="18"/>
                <w:szCs w:val="18"/>
                <w:color w:val="auto"/>
                <w:w w:val="94"/>
              </w:rPr>
              <w:t>2013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0"/>
              <w:spacing w:after="0"/>
              <w:rPr>
                <w:sz w:val="20"/>
                <w:szCs w:val="20"/>
                <w:color w:val="auto"/>
              </w:rPr>
            </w:pPr>
            <w:r>
              <w:rPr>
                <w:rFonts w:ascii="Arial" w:cs="Arial" w:eastAsia="Arial" w:hAnsi="Arial"/>
                <w:sz w:val="18"/>
                <w:szCs w:val="18"/>
                <w:color w:val="auto"/>
              </w:rPr>
              <w:t>Change</w:t>
            </w:r>
          </w:p>
        </w:tc>
        <w:tc>
          <w:tcPr>
            <w:tcW w:w="920" w:type="dxa"/>
            <w:vAlign w:val="bottom"/>
            <w:gridSpan w:val="3"/>
          </w:tcPr>
          <w:p>
            <w:pPr>
              <w:ind w:left="140"/>
              <w:spacing w:after="0"/>
              <w:rPr>
                <w:sz w:val="20"/>
                <w:szCs w:val="20"/>
                <w:color w:val="auto"/>
              </w:rPr>
            </w:pPr>
            <w:r>
              <w:rPr>
                <w:rFonts w:ascii="Arial" w:cs="Arial" w:eastAsia="Arial" w:hAnsi="Arial"/>
                <w:sz w:val="18"/>
                <w:szCs w:val="18"/>
                <w:color w:val="auto"/>
              </w:rPr>
              <w:t>Merger</w:t>
            </w:r>
          </w:p>
        </w:tc>
        <w:tc>
          <w:tcPr>
            <w:tcW w:w="140" w:type="dxa"/>
            <w:vAlign w:val="bottom"/>
          </w:tcPr>
          <w:p>
            <w:pPr>
              <w:spacing w:after="0"/>
              <w:rPr>
                <w:sz w:val="20"/>
                <w:szCs w:val="20"/>
                <w:color w:val="auto"/>
              </w:rPr>
            </w:pPr>
          </w:p>
        </w:tc>
        <w:tc>
          <w:tcPr>
            <w:tcW w:w="6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10"/>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380" w:type="dxa"/>
            <w:vAlign w:val="bottom"/>
            <w:gridSpan w:val="10"/>
          </w:tcPr>
          <w:p>
            <w:pPr>
              <w:jc w:val="right"/>
              <w:ind w:right="450"/>
              <w:spacing w:after="0"/>
              <w:rPr>
                <w:sz w:val="20"/>
                <w:szCs w:val="20"/>
                <w:color w:val="auto"/>
              </w:rPr>
            </w:pPr>
            <w:r>
              <w:rPr>
                <w:rFonts w:ascii="Arial" w:cs="Arial" w:eastAsia="Arial" w:hAnsi="Arial"/>
                <w:sz w:val="14"/>
                <w:szCs w:val="14"/>
                <w:color w:val="auto"/>
              </w:rPr>
              <w:t>(In millions, except percentage changes)</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0" w:type="dxa"/>
            <w:vAlign w:val="bottom"/>
          </w:tcPr>
          <w:p>
            <w:pPr>
              <w:spacing w:after="0"/>
              <w:rPr>
                <w:sz w:val="22"/>
                <w:szCs w:val="22"/>
                <w:color w:val="auto"/>
              </w:rPr>
            </w:pPr>
          </w:p>
        </w:tc>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Mainline passenger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560" w:type="dxa"/>
            <w:vAlign w:val="bottom"/>
          </w:tcPr>
          <w:p>
            <w:pPr>
              <w:spacing w:after="0"/>
              <w:rPr>
                <w:sz w:val="21"/>
                <w:szCs w:val="21"/>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Regional passenger</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9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Cargo</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560" w:type="dxa"/>
            <w:vAlign w:val="bottom"/>
          </w:tcPr>
          <w:p>
            <w:pPr>
              <w:spacing w:after="0"/>
              <w:rPr>
                <w:sz w:val="21"/>
                <w:szCs w:val="21"/>
                <w:color w:val="auto"/>
              </w:rPr>
            </w:pPr>
          </w:p>
        </w:tc>
        <w:tc>
          <w:tcPr>
            <w:tcW w:w="36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186</w:t>
            </w:r>
          </w:p>
        </w:tc>
        <w:tc>
          <w:tcPr>
            <w:tcW w:w="92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 w:type="dxa"/>
            <w:vAlign w:val="bottom"/>
          </w:tcPr>
          <w:p>
            <w:pPr>
              <w:spacing w:after="0"/>
              <w:rPr>
                <w:sz w:val="22"/>
                <w:szCs w:val="22"/>
                <w:color w:val="auto"/>
              </w:rPr>
            </w:pPr>
          </w:p>
        </w:tc>
        <w:tc>
          <w:tcPr>
            <w:tcW w:w="36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operating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discussion of operating revenues excludes the results of US Airways Group in order to provide a more meaningful quarter-over-quarter comparison.</w:t>
      </w:r>
    </w:p>
    <w:p>
      <w:pPr>
        <w:spacing w:after="0" w:line="11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Total operating revenues in the second quarter of 2014 increased $693 million, or 10.7%, from the 2013 period which was driven by strong demand for air travel. Significant changes in the components of operating revenues, excluding the results of US Airways Group, are as follows:</w:t>
      </w:r>
    </w:p>
    <w:p>
      <w:pPr>
        <w:spacing w:after="0" w:line="38" w:lineRule="exact"/>
        <w:rPr>
          <w:sz w:val="20"/>
          <w:szCs w:val="20"/>
          <w:color w:val="auto"/>
        </w:rPr>
      </w:pPr>
    </w:p>
    <w:p>
      <w:pPr>
        <w:ind w:left="340" w:right="2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Mainline passenger revenues increased $464 million, or 9.5%, in the second quarter of 2014 from the 2013 period due to higher yields and ASMs, offset in part by slightly lower load factors.</w:t>
      </w:r>
    </w:p>
    <w:p>
      <w:pPr>
        <w:spacing w:after="0" w:line="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Cargo revenues increased $9 million, or 5.8%, in the second quarter of 2014 from the 2013 period driven primarily by an increase in transatlantic freight volumes.</w:t>
      </w:r>
    </w:p>
    <w:p>
      <w:pPr>
        <w:spacing w:after="0" w:line="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revenues increased $186 million, or 29.0%, in the second quarter of 2014 from the 2013 period driven primarily by higher revenues associated with our frequent flyer programs.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11"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4700" w:type="dxa"/>
            <w:vAlign w:val="bottom"/>
            <w:gridSpan w:val="3"/>
          </w:tcPr>
          <w:p>
            <w:pPr>
              <w:jc w:val="center"/>
              <w:ind w:right="1920"/>
              <w:spacing w:after="0"/>
              <w:rPr>
                <w:sz w:val="20"/>
                <w:szCs w:val="20"/>
                <w:color w:val="auto"/>
              </w:rPr>
            </w:pPr>
            <w:r>
              <w:rPr>
                <w:rFonts w:ascii="Arial" w:cs="Arial" w:eastAsia="Arial" w:hAnsi="Arial"/>
                <w:sz w:val="18"/>
                <w:szCs w:val="18"/>
                <w:i w:val="1"/>
                <w:iCs w:val="1"/>
                <w:color w:val="auto"/>
                <w:w w:val="89"/>
              </w:rPr>
              <w:t>Operating Expenses</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66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2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gridSpan w:val="5"/>
          </w:tcPr>
          <w:p>
            <w:pPr>
              <w:jc w:val="right"/>
              <w:ind w:right="30"/>
              <w:spacing w:after="0"/>
              <w:rPr>
                <w:sz w:val="20"/>
                <w:szCs w:val="20"/>
                <w:color w:val="auto"/>
              </w:rPr>
            </w:pPr>
            <w:r>
              <w:rPr>
                <w:rFonts w:ascii="Arial" w:cs="Arial" w:eastAsia="Arial" w:hAnsi="Arial"/>
                <w:sz w:val="18"/>
                <w:szCs w:val="18"/>
                <w:color w:val="auto"/>
                <w:w w:val="89"/>
              </w:rPr>
              <w:t>Three Months Ended June</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87"/>
              </w:rPr>
              <w:t>$ Change</w:t>
            </w:r>
          </w:p>
        </w:tc>
        <w:tc>
          <w:tcPr>
            <w:tcW w:w="120" w:type="dxa"/>
            <w:vAlign w:val="bottom"/>
          </w:tcPr>
          <w:p>
            <w:pPr>
              <w:spacing w:after="0"/>
              <w:rPr>
                <w:sz w:val="24"/>
                <w:szCs w:val="24"/>
                <w:color w:val="auto"/>
              </w:rPr>
            </w:pPr>
          </w:p>
        </w:tc>
        <w:tc>
          <w:tcPr>
            <w:tcW w:w="2040" w:type="dxa"/>
            <w:vAlign w:val="bottom"/>
            <w:gridSpan w:val="3"/>
          </w:tcPr>
          <w:p>
            <w:pPr>
              <w:jc w:val="center"/>
              <w:ind w:right="10"/>
              <w:spacing w:after="0"/>
              <w:rPr>
                <w:sz w:val="20"/>
                <w:szCs w:val="20"/>
                <w:color w:val="auto"/>
              </w:rPr>
            </w:pPr>
            <w:r>
              <w:rPr>
                <w:rFonts w:ascii="Arial" w:cs="Arial" w:eastAsia="Arial" w:hAnsi="Arial"/>
                <w:sz w:val="18"/>
                <w:szCs w:val="18"/>
                <w:color w:val="auto"/>
                <w:w w:val="91"/>
              </w:rPr>
              <w:t>Change Excluding Merger</w:t>
            </w:r>
          </w:p>
        </w:tc>
        <w:tc>
          <w:tcPr>
            <w:tcW w:w="0" w:type="dxa"/>
            <w:vAlign w:val="bottom"/>
          </w:tcPr>
          <w:p>
            <w:pPr>
              <w:spacing w:after="0"/>
              <w:rPr>
                <w:sz w:val="1"/>
                <w:szCs w:val="1"/>
                <w:color w:val="auto"/>
              </w:rPr>
            </w:pPr>
          </w:p>
        </w:tc>
      </w:tr>
      <w:tr>
        <w:trPr>
          <w:trHeight w:val="68"/>
        </w:trPr>
        <w:tc>
          <w:tcPr>
            <w:tcW w:w="6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w w:val="95"/>
              </w:rPr>
              <w:t>30,</w:t>
            </w: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restart"/>
          </w:tcPr>
          <w:p>
            <w:pPr>
              <w:jc w:val="center"/>
              <w:ind w:left="510"/>
              <w:spacing w:after="0"/>
              <w:rPr>
                <w:sz w:val="20"/>
                <w:szCs w:val="20"/>
                <w:color w:val="auto"/>
              </w:rPr>
            </w:pPr>
            <w:r>
              <w:rPr>
                <w:rFonts w:ascii="Arial" w:cs="Arial" w:eastAsia="Arial" w:hAnsi="Arial"/>
                <w:sz w:val="18"/>
                <w:szCs w:val="18"/>
                <w:color w:val="auto"/>
                <w:w w:val="92"/>
              </w:rPr>
              <w:t>Impact</w:t>
            </w: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center"/>
              <w:ind w:right="240"/>
              <w:spacing w:after="0" w:line="190" w:lineRule="exact"/>
              <w:rPr>
                <w:sz w:val="20"/>
                <w:szCs w:val="20"/>
                <w:color w:val="auto"/>
              </w:rPr>
            </w:pPr>
            <w:r>
              <w:rPr>
                <w:rFonts w:ascii="Arial" w:cs="Arial" w:eastAsia="Arial" w:hAnsi="Arial"/>
                <w:sz w:val="18"/>
                <w:szCs w:val="18"/>
                <w:color w:val="auto"/>
                <w:w w:val="90"/>
              </w:rPr>
              <w:t>Due to</w:t>
            </w: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 Change</w:t>
            </w:r>
          </w:p>
        </w:tc>
        <w:tc>
          <w:tcPr>
            <w:tcW w:w="1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Merger</w:t>
            </w:r>
          </w:p>
        </w:tc>
        <w:tc>
          <w:tcPr>
            <w:tcW w:w="12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7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7"/>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380" w:type="dxa"/>
            <w:vAlign w:val="bottom"/>
            <w:gridSpan w:val="7"/>
          </w:tcPr>
          <w:p>
            <w:pPr>
              <w:ind w:left="40"/>
              <w:spacing w:after="0"/>
              <w:rPr>
                <w:sz w:val="20"/>
                <w:szCs w:val="20"/>
                <w:color w:val="auto"/>
              </w:rPr>
            </w:pPr>
            <w:r>
              <w:rPr>
                <w:rFonts w:ascii="Arial" w:cs="Arial" w:eastAsia="Arial" w:hAnsi="Arial"/>
                <w:sz w:val="14"/>
                <w:szCs w:val="14"/>
                <w:color w:val="auto"/>
                <w:w w:val="92"/>
              </w:rPr>
              <w:t>(In millions, except percentage changes)</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4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Salaries, wages and benefits</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44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Other rent and landing fees</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Selling expenses</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Special items, net</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44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4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4700" w:type="dxa"/>
            <w:vAlign w:val="bottom"/>
            <w:gridSpan w:val="3"/>
          </w:tcPr>
          <w:p>
            <w:pPr>
              <w:jc w:val="center"/>
              <w:ind w:right="1880"/>
              <w:spacing w:after="0"/>
              <w:rPr>
                <w:sz w:val="20"/>
                <w:szCs w:val="20"/>
                <w:color w:val="auto"/>
              </w:rPr>
            </w:pPr>
            <w:r>
              <w:rPr>
                <w:rFonts w:ascii="Arial" w:cs="Arial" w:eastAsia="Arial" w:hAnsi="Arial"/>
                <w:sz w:val="18"/>
                <w:szCs w:val="18"/>
                <w:color w:val="auto"/>
                <w:w w:val="89"/>
              </w:rPr>
              <w:t>Total mainline operating expenses</w:t>
            </w: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8,299</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5,168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3,131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2,701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430</w:t>
            </w:r>
          </w:p>
        </w:tc>
        <w:tc>
          <w:tcPr>
            <w:tcW w:w="44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Regional expenses:</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280"/>
              <w:spacing w:after="0"/>
              <w:rPr>
                <w:sz w:val="20"/>
                <w:szCs w:val="20"/>
                <w:color w:val="auto"/>
              </w:rPr>
            </w:pPr>
            <w:r>
              <w:rPr>
                <w:rFonts w:ascii="Arial" w:cs="Arial" w:eastAsia="Arial" w:hAnsi="Arial"/>
                <w:sz w:val="18"/>
                <w:szCs w:val="18"/>
                <w:color w:val="auto"/>
              </w:rPr>
              <w:t>Fuel</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21"/>
                <w:szCs w:val="21"/>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4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7"/>
        </w:trPr>
        <w:tc>
          <w:tcPr>
            <w:tcW w:w="4700" w:type="dxa"/>
            <w:vAlign w:val="bottom"/>
            <w:gridSpan w:val="3"/>
          </w:tcPr>
          <w:p>
            <w:pPr>
              <w:jc w:val="center"/>
              <w:ind w:right="1920"/>
              <w:spacing w:after="0"/>
              <w:rPr>
                <w:sz w:val="20"/>
                <w:szCs w:val="20"/>
                <w:color w:val="auto"/>
              </w:rPr>
            </w:pPr>
            <w:r>
              <w:rPr>
                <w:rFonts w:ascii="Arial" w:cs="Arial" w:eastAsia="Arial" w:hAnsi="Arial"/>
                <w:sz w:val="18"/>
                <w:szCs w:val="18"/>
                <w:color w:val="auto"/>
                <w:w w:val="89"/>
              </w:rPr>
              <w:t>Total regional operating expenses</w:t>
            </w: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6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gridSpan w:val="3"/>
            <w:shd w:val="clear" w:color="auto" w:fill="CCEEFF"/>
          </w:tcPr>
          <w:p>
            <w:pPr>
              <w:jc w:val="center"/>
              <w:ind w:right="1920"/>
              <w:spacing w:after="0"/>
              <w:rPr>
                <w:sz w:val="20"/>
                <w:szCs w:val="20"/>
                <w:color w:val="auto"/>
              </w:rPr>
            </w:pPr>
            <w:r>
              <w:rPr>
                <w:rFonts w:ascii="Arial" w:cs="Arial" w:eastAsia="Arial" w:hAnsi="Arial"/>
                <w:sz w:val="18"/>
                <w:szCs w:val="18"/>
                <w:color w:val="auto"/>
                <w:w w:val="88"/>
              </w:rPr>
              <w:t>Total operating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9,956</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5,937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4,019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3,546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c>
          <w:tcPr>
            <w:tcW w:w="44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discussion of operating expenses excludes the results of US Airways Group in order to provide a more meaningful quarter-over-quarter comparison.</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Total operating expenses in the second quarter of 2014 increased $473 million, or 8.0%, from the 2013 period. Significant changes in the components of mainline operating expenses, excluding the results of US Airways Group, are as follows:</w:t>
      </w:r>
    </w:p>
    <w:p>
      <w:pPr>
        <w:spacing w:after="0" w:line="8" w:lineRule="exact"/>
        <w:rPr>
          <w:sz w:val="20"/>
          <w:szCs w:val="20"/>
          <w:color w:val="auto"/>
        </w:rPr>
      </w:pPr>
    </w:p>
    <w:p>
      <w:pPr>
        <w:ind w:right="2940" w:firstLine="8"/>
        <w:spacing w:after="0" w:line="331" w:lineRule="auto"/>
        <w:tabs>
          <w:tab w:leader="none" w:pos="324" w:val="left"/>
        </w:tabs>
        <w:numPr>
          <w:ilvl w:val="0"/>
          <w:numId w:val="36"/>
        </w:numPr>
        <w:rPr>
          <w:rFonts w:ascii="Arial" w:cs="Arial" w:eastAsia="Arial" w:hAnsi="Arial"/>
          <w:sz w:val="17"/>
          <w:szCs w:val="17"/>
          <w:color w:val="auto"/>
        </w:rPr>
      </w:pPr>
      <w:r>
        <w:rPr>
          <w:rFonts w:ascii="Arial" w:cs="Arial" w:eastAsia="Arial" w:hAnsi="Arial"/>
          <w:sz w:val="17"/>
          <w:szCs w:val="17"/>
          <w:color w:val="auto"/>
        </w:rPr>
        <w:t>Aircraft fuel and related taxes increased 0.9% primarily due to an increase in the average price per gallon of fuel. •Salaries, wages and benefits increased 12.4% primarily due to merger related labor contracts.</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•Maintenance, materials and repairs increased 9.1% primarily due to an increase in the volume of engine overhauls.</w:t>
      </w:r>
    </w:p>
    <w:p>
      <w:pPr>
        <w:spacing w:after="0" w:line="63" w:lineRule="exact"/>
        <w:rPr>
          <w:rFonts w:ascii="Arial" w:cs="Arial" w:eastAsia="Arial" w:hAnsi="Arial"/>
          <w:sz w:val="17"/>
          <w:szCs w:val="17"/>
          <w:color w:val="auto"/>
        </w:rPr>
      </w:pPr>
    </w:p>
    <w:p>
      <w:pPr>
        <w:ind w:left="660" w:hanging="652"/>
        <w:spacing w:after="0" w:line="277" w:lineRule="auto"/>
        <w:tabs>
          <w:tab w:leader="none" w:pos="336" w:val="left"/>
        </w:tabs>
        <w:numPr>
          <w:ilvl w:val="0"/>
          <w:numId w:val="36"/>
        </w:numPr>
        <w:rPr>
          <w:rFonts w:ascii="Arial" w:cs="Arial" w:eastAsia="Arial" w:hAnsi="Arial"/>
          <w:sz w:val="18"/>
          <w:szCs w:val="18"/>
          <w:color w:val="auto"/>
        </w:rPr>
      </w:pPr>
      <w:r>
        <w:rPr>
          <w:rFonts w:ascii="Arial" w:cs="Arial" w:eastAsia="Arial" w:hAnsi="Arial"/>
          <w:sz w:val="18"/>
          <w:szCs w:val="18"/>
          <w:color w:val="auto"/>
        </w:rPr>
        <w:t>Aircraft rent increased 15.7% primarily as a result of new leased aircraft deliveries since the end of the 2013 second quarter as we continue our fleet renewal program.</w:t>
      </w:r>
    </w:p>
    <w:p>
      <w:pPr>
        <w:spacing w:after="0" w:line="8" w:lineRule="exact"/>
        <w:rPr>
          <w:rFonts w:ascii="Arial" w:cs="Arial" w:eastAsia="Arial" w:hAnsi="Arial"/>
          <w:sz w:val="18"/>
          <w:szCs w:val="18"/>
          <w:color w:val="auto"/>
        </w:rPr>
      </w:pPr>
    </w:p>
    <w:p>
      <w:pPr>
        <w:ind w:left="660" w:hanging="652"/>
        <w:spacing w:after="0" w:line="277" w:lineRule="auto"/>
        <w:tabs>
          <w:tab w:leader="none" w:pos="336"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Depreciation and amortization increased 6.4% primarily as a result of new purchased aircraft deliveries since the end of the 2013 second quarter as we continue our fleet renewal program.</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Total regional expenses, excluding the results of US Airways Group, increased $43 million, or 5.5%, in the second quarter of 2014 from the 2013 period. This increase was primarily due to higher expenses associated with certain capacity purchase agreements.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Nonoperating Income (Expense)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5"/>
          </w:tcPr>
          <w:p>
            <w:pPr>
              <w:jc w:val="center"/>
              <w:ind w:right="220"/>
              <w:spacing w:after="0"/>
              <w:rPr>
                <w:sz w:val="20"/>
                <w:szCs w:val="20"/>
                <w:color w:val="auto"/>
              </w:rPr>
            </w:pPr>
            <w:r>
              <w:rPr>
                <w:rFonts w:ascii="Arial" w:cs="Arial" w:eastAsia="Arial" w:hAnsi="Arial"/>
                <w:sz w:val="16"/>
                <w:szCs w:val="16"/>
                <w:color w:val="auto"/>
                <w:w w:val="92"/>
              </w:rPr>
              <w:t>Three Months Ended</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vMerge w:val="restart"/>
          </w:tcPr>
          <w:p>
            <w:pPr>
              <w:ind w:left="40"/>
              <w:spacing w:after="0"/>
              <w:rPr>
                <w:sz w:val="20"/>
                <w:szCs w:val="20"/>
                <w:color w:val="auto"/>
              </w:rPr>
            </w:pPr>
            <w:r>
              <w:rPr>
                <w:rFonts w:ascii="Arial" w:cs="Arial" w:eastAsia="Arial" w:hAnsi="Arial"/>
                <w:sz w:val="16"/>
                <w:szCs w:val="16"/>
                <w:color w:val="auto"/>
              </w:rPr>
              <w:t>Change</w:t>
            </w:r>
          </w:p>
        </w:tc>
        <w:tc>
          <w:tcPr>
            <w:tcW w:w="220" w:type="dxa"/>
            <w:vAlign w:val="bottom"/>
          </w:tcPr>
          <w:p>
            <w:pPr>
              <w:spacing w:after="0"/>
              <w:rPr>
                <w:sz w:val="17"/>
                <w:szCs w:val="17"/>
                <w:color w:val="auto"/>
              </w:rPr>
            </w:pPr>
          </w:p>
        </w:tc>
        <w:tc>
          <w:tcPr>
            <w:tcW w:w="1480" w:type="dxa"/>
            <w:vAlign w:val="bottom"/>
            <w:gridSpan w:val="2"/>
          </w:tcPr>
          <w:p>
            <w:pPr>
              <w:jc w:val="right"/>
              <w:ind w:right="152"/>
              <w:spacing w:after="0"/>
              <w:rPr>
                <w:sz w:val="20"/>
                <w:szCs w:val="20"/>
                <w:color w:val="auto"/>
              </w:rPr>
            </w:pPr>
            <w:r>
              <w:rPr>
                <w:rFonts w:ascii="Arial" w:cs="Arial" w:eastAsia="Arial" w:hAnsi="Arial"/>
                <w:sz w:val="16"/>
                <w:szCs w:val="16"/>
                <w:color w:val="auto"/>
                <w:w w:val="93"/>
              </w:rPr>
              <w:t>Change Excluding</w:t>
            </w:r>
          </w:p>
        </w:tc>
        <w:tc>
          <w:tcPr>
            <w:tcW w:w="0" w:type="dxa"/>
            <w:vAlign w:val="bottom"/>
          </w:tcPr>
          <w:p>
            <w:pPr>
              <w:spacing w:after="0"/>
              <w:rPr>
                <w:sz w:val="1"/>
                <w:szCs w:val="1"/>
                <w:color w:val="auto"/>
              </w:rPr>
            </w:pPr>
          </w:p>
        </w:tc>
      </w:tr>
      <w:tr>
        <w:trPr>
          <w:trHeight w:val="81"/>
        </w:trPr>
        <w:tc>
          <w:tcPr>
            <w:tcW w:w="3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80" w:type="dxa"/>
            <w:vAlign w:val="bottom"/>
            <w:gridSpan w:val="5"/>
            <w:vMerge w:val="restart"/>
          </w:tcPr>
          <w:p>
            <w:pPr>
              <w:jc w:val="center"/>
              <w:ind w:right="220"/>
              <w:spacing w:after="0"/>
              <w:rPr>
                <w:sz w:val="20"/>
                <w:szCs w:val="20"/>
                <w:color w:val="auto"/>
              </w:rPr>
            </w:pPr>
            <w:r>
              <w:rPr>
                <w:rFonts w:ascii="Arial" w:cs="Arial" w:eastAsia="Arial" w:hAnsi="Arial"/>
                <w:sz w:val="16"/>
                <w:szCs w:val="16"/>
                <w:color w:val="auto"/>
                <w:w w:val="87"/>
              </w:rPr>
              <w:t>June 30,</w:t>
            </w: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gridSpan w:val="2"/>
            <w:vMerge w:val="restart"/>
          </w:tcPr>
          <w:p>
            <w:pPr>
              <w:jc w:val="right"/>
              <w:ind w:right="272"/>
              <w:spacing w:after="0"/>
              <w:rPr>
                <w:sz w:val="20"/>
                <w:szCs w:val="20"/>
                <w:color w:val="auto"/>
              </w:rPr>
            </w:pPr>
            <w:r>
              <w:rPr>
                <w:rFonts w:ascii="Arial" w:cs="Arial" w:eastAsia="Arial" w:hAnsi="Arial"/>
                <w:sz w:val="16"/>
                <w:szCs w:val="16"/>
                <w:color w:val="auto"/>
              </w:rPr>
              <w:t>Merger Impact</w:t>
            </w:r>
          </w:p>
        </w:tc>
        <w:tc>
          <w:tcPr>
            <w:tcW w:w="0" w:type="dxa"/>
            <w:vAlign w:val="bottom"/>
          </w:tcPr>
          <w:p>
            <w:pPr>
              <w:spacing w:after="0"/>
              <w:rPr>
                <w:sz w:val="1"/>
                <w:szCs w:val="1"/>
                <w:color w:val="auto"/>
              </w:rPr>
            </w:pPr>
          </w:p>
        </w:tc>
      </w:tr>
      <w:tr>
        <w:trPr>
          <w:trHeight w:val="125"/>
        </w:trPr>
        <w:tc>
          <w:tcPr>
            <w:tcW w:w="3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80" w:type="dxa"/>
            <w:vAlign w:val="bottom"/>
            <w:gridSpan w:val="5"/>
            <w:vMerge w:val="continue"/>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vMerge w:val="restart"/>
          </w:tcPr>
          <w:p>
            <w:pPr>
              <w:ind w:left="20"/>
              <w:spacing w:after="0" w:line="138" w:lineRule="exact"/>
              <w:rPr>
                <w:sz w:val="20"/>
                <w:szCs w:val="20"/>
                <w:color w:val="auto"/>
              </w:rPr>
            </w:pPr>
            <w:r>
              <w:rPr>
                <w:rFonts w:ascii="Arial" w:cs="Arial" w:eastAsia="Arial" w:hAnsi="Arial"/>
                <w:sz w:val="16"/>
                <w:szCs w:val="16"/>
                <w:color w:val="auto"/>
              </w:rPr>
              <w:t>Due to</w:t>
            </w:r>
          </w:p>
        </w:tc>
        <w:tc>
          <w:tcPr>
            <w:tcW w:w="22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33"/>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33"/>
              <w:spacing w:after="0"/>
              <w:rPr>
                <w:sz w:val="20"/>
                <w:szCs w:val="20"/>
                <w:color w:val="auto"/>
              </w:rPr>
            </w:pPr>
            <w:r>
              <w:rPr>
                <w:rFonts w:ascii="Arial" w:cs="Arial" w:eastAsia="Arial" w:hAnsi="Arial"/>
                <w:sz w:val="18"/>
                <w:szCs w:val="18"/>
                <w:color w:val="auto"/>
                <w:w w:val="99"/>
              </w:rPr>
              <w:t>2013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ind w:left="20"/>
              <w:spacing w:after="0"/>
              <w:rPr>
                <w:sz w:val="20"/>
                <w:szCs w:val="20"/>
                <w:color w:val="auto"/>
              </w:rPr>
            </w:pPr>
            <w:r>
              <w:rPr>
                <w:rFonts w:ascii="Arial" w:cs="Arial" w:eastAsia="Arial" w:hAnsi="Arial"/>
                <w:sz w:val="16"/>
                <w:szCs w:val="16"/>
                <w:color w:val="auto"/>
              </w:rPr>
              <w:t>Change</w:t>
            </w:r>
          </w:p>
        </w:tc>
        <w:tc>
          <w:tcPr>
            <w:tcW w:w="920" w:type="dxa"/>
            <w:vAlign w:val="bottom"/>
            <w:gridSpan w:val="3"/>
          </w:tcPr>
          <w:p>
            <w:pPr>
              <w:ind w:left="180"/>
              <w:spacing w:after="0"/>
              <w:rPr>
                <w:sz w:val="20"/>
                <w:szCs w:val="20"/>
                <w:color w:val="auto"/>
              </w:rPr>
            </w:pPr>
            <w:r>
              <w:rPr>
                <w:rFonts w:ascii="Arial" w:cs="Arial" w:eastAsia="Arial" w:hAnsi="Arial"/>
                <w:sz w:val="16"/>
                <w:szCs w:val="16"/>
                <w:color w:val="auto"/>
              </w:rPr>
              <w:t>Merger</w:t>
            </w:r>
          </w:p>
        </w:tc>
        <w:tc>
          <w:tcPr>
            <w:tcW w:w="220" w:type="dxa"/>
            <w:vAlign w:val="bottom"/>
          </w:tcPr>
          <w:p>
            <w:pPr>
              <w:spacing w:after="0"/>
              <w:rPr>
                <w:sz w:val="20"/>
                <w:szCs w:val="20"/>
                <w:color w:val="auto"/>
              </w:rPr>
            </w:pPr>
          </w:p>
        </w:tc>
        <w:tc>
          <w:tcPr>
            <w:tcW w:w="560" w:type="dxa"/>
            <w:vAlign w:val="bottom"/>
          </w:tcPr>
          <w:p>
            <w:pPr>
              <w:jc w:val="right"/>
              <w:ind w:right="254"/>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5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9"/>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20" w:type="dxa"/>
            <w:vAlign w:val="bottom"/>
            <w:gridSpan w:val="9"/>
          </w:tcPr>
          <w:p>
            <w:pPr>
              <w:jc w:val="right"/>
              <w:spacing w:after="0"/>
              <w:rPr>
                <w:sz w:val="20"/>
                <w:szCs w:val="20"/>
                <w:color w:val="auto"/>
              </w:rPr>
            </w:pPr>
            <w:r>
              <w:rPr>
                <w:rFonts w:ascii="Arial" w:cs="Arial" w:eastAsia="Arial" w:hAnsi="Arial"/>
                <w:sz w:val="14"/>
                <w:szCs w:val="14"/>
                <w:color w:val="auto"/>
              </w:rPr>
              <w:t>(In millions, except percentage changes)</w:t>
            </w: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Interest expense, net of capitalized interest</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7"/>
        </w:trPr>
        <w:tc>
          <w:tcPr>
            <w:tcW w:w="3660" w:type="dxa"/>
            <w:vAlign w:val="bottom"/>
          </w:tcPr>
          <w:p>
            <w:pPr>
              <w:ind w:left="280"/>
              <w:spacing w:after="0"/>
              <w:rPr>
                <w:sz w:val="20"/>
                <w:szCs w:val="20"/>
                <w:color w:val="auto"/>
              </w:rPr>
            </w:pPr>
            <w:r>
              <w:rPr>
                <w:rFonts w:ascii="Arial" w:cs="Arial" w:eastAsia="Arial" w:hAnsi="Arial"/>
                <w:sz w:val="18"/>
                <w:szCs w:val="18"/>
                <w:color w:val="auto"/>
              </w:rPr>
              <w:t>Total nonoperating expense,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discussion of nonoperating income and expense excludes the results of US Airways Group in order to provide a more meaningful quarter-over-quarter comparison.</w:t>
      </w:r>
    </w:p>
    <w:p>
      <w:pPr>
        <w:sectPr>
          <w:pgSz w:w="11900" w:h="16838" w:orient="portrait"/>
          <w:cols w:equalWidth="0" w:num="1">
            <w:col w:w="11420"/>
          </w:cols>
          <w:pgMar w:left="240" w:top="513"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513" w:right="239" w:bottom="1440" w:gutter="0" w:footer="0" w:header="0"/>
          <w:type w:val="continuous"/>
        </w:sectPr>
      </w:pPr>
    </w:p>
    <w:bookmarkStart w:id="64" w:name="page65"/>
    <w:bookmarkEnd w:id="64"/>
    <w:p>
      <w:pPr>
        <w:jc w:val="both"/>
        <w:ind w:firstLine="188"/>
        <w:spacing w:after="0" w:line="277" w:lineRule="auto"/>
        <w:rPr>
          <w:sz w:val="20"/>
          <w:szCs w:val="20"/>
          <w:color w:val="auto"/>
        </w:rPr>
      </w:pPr>
      <w:r>
        <w:rPr>
          <w:rFonts w:ascii="Arial" w:cs="Arial" w:eastAsia="Arial" w:hAnsi="Arial"/>
          <w:sz w:val="18"/>
          <w:szCs w:val="18"/>
          <w:color w:val="auto"/>
        </w:rPr>
        <w:t>Interest income was $8 million and $5 million in the second quarter of 2014 and 2013, respectively. Our short-term investments in each period consisted of highly liquid investments which provided nominal returns.</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expense, net of capitalized interest decreased $24 million, or 15.3%, in the second quarter of 2014 from the 2013 period principally due to interest expense recorded in the 2013 second quarter relating to unsecured obligations pursuant to the Plan.</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nonoperating income, net increased $29 million in the second quarter of 2014 from the 2013 period primarily due to the weakening of the U.S. dollar in foreign currency transactions. The second quarter of 2014 included $12 million in net foreign currency gains as compared to $23 million in net foreign currency losses in the 2013 period.</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Reorganization Items, Net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Reorganization items refer to revenues, expenses (including professional fees), realized gains and losses and provisions for losses that are realized or incurred as a direct result of the filing of voluntary petitions for relief under Chapter 11, which were filed in November of 2011. The following table summarizes the components included in reorganization items, net on AAG's condensed consolidated statement of operations for the three months ended June 30, 2013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Aircraft and facility financing renegotiations and rejections </w:t>
            </w:r>
            <w:r>
              <w:rPr>
                <w:rFonts w:ascii="Arial" w:cs="Arial" w:eastAsia="Arial" w:hAnsi="Arial"/>
                <w:sz w:val="25"/>
                <w:szCs w:val="25"/>
                <w:color w:val="auto"/>
                <w:vertAlign w:val="superscript"/>
              </w:rPr>
              <w:t>(1)</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Professional fees</w:t>
            </w:r>
          </w:p>
        </w:tc>
        <w:tc>
          <w:tcPr>
            <w:tcW w:w="7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9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9720" w:type="dxa"/>
            <w:vAlign w:val="bottom"/>
          </w:tcPr>
          <w:p>
            <w:pPr>
              <w:ind w:left="280"/>
              <w:spacing w:after="0"/>
              <w:rPr>
                <w:sz w:val="20"/>
                <w:szCs w:val="20"/>
                <w:color w:val="auto"/>
              </w:rPr>
            </w:pPr>
            <w:r>
              <w:rPr>
                <w:rFonts w:ascii="Arial" w:cs="Arial" w:eastAsia="Arial" w:hAnsi="Arial"/>
                <w:sz w:val="18"/>
                <w:szCs w:val="18"/>
                <w:color w:val="auto"/>
              </w:rPr>
              <w:t>Total reorganization items, net</w:t>
            </w: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124</w:t>
            </w:r>
          </w:p>
        </w:tc>
      </w:tr>
      <w:tr>
        <w:trPr>
          <w:trHeight w:val="20"/>
        </w:trPr>
        <w:tc>
          <w:tcPr>
            <w:tcW w:w="9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left="340" w:hanging="332"/>
        <w:spacing w:after="0" w:line="250" w:lineRule="auto"/>
        <w:tabs>
          <w:tab w:leader="none" w:pos="340" w:val="left"/>
        </w:tabs>
        <w:numPr>
          <w:ilvl w:val="0"/>
          <w:numId w:val="37"/>
        </w:numPr>
        <w:rPr>
          <w:rFonts w:ascii="Arial" w:cs="Arial" w:eastAsia="Arial" w:hAnsi="Arial"/>
          <w:sz w:val="24"/>
          <w:szCs w:val="24"/>
          <w:color w:val="auto"/>
          <w:vertAlign w:val="superscript"/>
        </w:rPr>
      </w:pPr>
      <w:r>
        <w:rPr>
          <w:rFonts w:ascii="Arial" w:cs="Arial" w:eastAsia="Arial" w:hAnsi="Arial"/>
          <w:sz w:val="17"/>
          <w:szCs w:val="17"/>
          <w:color w:val="auto"/>
        </w:rPr>
        <w:t>Amounts include allowed claims (claims approved by the Bankruptcy Court) and estimated allowed claims relating to (i) the rejection or modification of financings related to aircraft and (ii) entry of orders treated as unsecured claims with respect to facility agreements supporting certain issuances of special facility revenue bonds. The Debtors recorded an estimated claim associated with the rejection or modification of a financing or facility agreement when the applicable motion was filed with the Bankruptcy Court to reject or modify such financing and the Debtors believed that it was probable the motion would be approved, and there was sufficient information to estimate the claim.</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30" w:right="239" w:bottom="1440" w:gutter="0" w:footer="0" w:header="0"/>
        </w:sectPr>
      </w:pPr>
    </w:p>
    <w:bookmarkStart w:id="65" w:name="page66"/>
    <w:bookmarkEnd w:id="65"/>
    <w:p>
      <w:pPr>
        <w:ind w:left="660"/>
        <w:spacing w:after="0"/>
        <w:rPr>
          <w:sz w:val="20"/>
          <w:szCs w:val="20"/>
          <w:color w:val="auto"/>
        </w:rPr>
      </w:pPr>
      <w:r>
        <w:rPr>
          <w:rFonts w:ascii="Arial" w:cs="Arial" w:eastAsia="Arial" w:hAnsi="Arial"/>
          <w:sz w:val="18"/>
          <w:szCs w:val="18"/>
          <w:b w:val="1"/>
          <w:bCs w:val="1"/>
          <w:i w:val="1"/>
          <w:iCs w:val="1"/>
          <w:color w:val="auto"/>
        </w:rPr>
        <w:t>Six Months Ended June 30, 2014 Compared to Six Months Ended June 30, 2013</w:t>
      </w:r>
    </w:p>
    <w:p>
      <w:pPr>
        <w:spacing w:after="0" w:line="144"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To conform to current year presentation, certain revenues and expenses in prior years have been reclassified. As a result, prior year amounts may not agree to the amounts previously reported. See Note 1 to AAG's condensed consolidated financial statements in Part I, Item 1A for additional information.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gridSpan w:val="3"/>
          </w:tcPr>
          <w:p>
            <w:pPr>
              <w:ind w:left="660"/>
              <w:spacing w:after="0"/>
              <w:rPr>
                <w:sz w:val="20"/>
                <w:szCs w:val="20"/>
                <w:color w:val="auto"/>
              </w:rPr>
            </w:pPr>
            <w:r>
              <w:rPr>
                <w:rFonts w:ascii="Arial" w:cs="Arial" w:eastAsia="Arial" w:hAnsi="Arial"/>
                <w:sz w:val="18"/>
                <w:szCs w:val="18"/>
                <w:i w:val="1"/>
                <w:iCs w:val="1"/>
                <w:color w:val="auto"/>
              </w:rPr>
              <w:t>Operating Revenues</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66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5"/>
          </w:tcPr>
          <w:p>
            <w:pPr>
              <w:jc w:val="center"/>
              <w:ind w:right="260"/>
              <w:spacing w:after="0"/>
              <w:rPr>
                <w:sz w:val="20"/>
                <w:szCs w:val="20"/>
                <w:color w:val="auto"/>
              </w:rPr>
            </w:pPr>
            <w:r>
              <w:rPr>
                <w:rFonts w:ascii="Arial" w:cs="Arial" w:eastAsia="Arial" w:hAnsi="Arial"/>
                <w:sz w:val="18"/>
                <w:szCs w:val="18"/>
                <w:color w:val="auto"/>
                <w:w w:val="91"/>
              </w:rPr>
              <w:t>Six Months Ended</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ind w:left="4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24"/>
                <w:szCs w:val="24"/>
                <w:color w:val="auto"/>
              </w:rPr>
            </w:pPr>
          </w:p>
        </w:tc>
        <w:tc>
          <w:tcPr>
            <w:tcW w:w="1540" w:type="dxa"/>
            <w:vAlign w:val="bottom"/>
            <w:gridSpan w:val="2"/>
          </w:tcPr>
          <w:p>
            <w:pPr>
              <w:jc w:val="right"/>
              <w:ind w:right="70"/>
              <w:spacing w:after="0"/>
              <w:rPr>
                <w:sz w:val="20"/>
                <w:szCs w:val="20"/>
                <w:color w:val="auto"/>
              </w:rPr>
            </w:pPr>
            <w:r>
              <w:rPr>
                <w:rFonts w:ascii="Arial" w:cs="Arial" w:eastAsia="Arial" w:hAnsi="Arial"/>
                <w:sz w:val="18"/>
                <w:szCs w:val="18"/>
                <w:color w:val="auto"/>
                <w:w w:val="93"/>
              </w:rPr>
              <w:t>Change Excluding</w:t>
            </w:r>
          </w:p>
        </w:tc>
        <w:tc>
          <w:tcPr>
            <w:tcW w:w="0" w:type="dxa"/>
            <w:vAlign w:val="bottom"/>
          </w:tcPr>
          <w:p>
            <w:pPr>
              <w:spacing w:after="0"/>
              <w:rPr>
                <w:sz w:val="1"/>
                <w:szCs w:val="1"/>
                <w:color w:val="auto"/>
              </w:rPr>
            </w:pPr>
          </w:p>
        </w:tc>
      </w:tr>
      <w:tr>
        <w:trPr>
          <w:trHeight w:val="68"/>
        </w:trPr>
        <w:tc>
          <w:tcPr>
            <w:tcW w:w="6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80" w:type="dxa"/>
            <w:vAlign w:val="bottom"/>
            <w:gridSpan w:val="5"/>
            <w:vMerge w:val="restart"/>
          </w:tcPr>
          <w:p>
            <w:pPr>
              <w:jc w:val="center"/>
              <w:ind w:right="240"/>
              <w:spacing w:after="0"/>
              <w:rPr>
                <w:sz w:val="20"/>
                <w:szCs w:val="20"/>
                <w:color w:val="auto"/>
              </w:rPr>
            </w:pPr>
            <w:r>
              <w:rPr>
                <w:rFonts w:ascii="Arial" w:cs="Arial" w:eastAsia="Arial" w:hAnsi="Arial"/>
                <w:sz w:val="18"/>
                <w:szCs w:val="18"/>
                <w:color w:val="auto"/>
                <w:w w:val="86"/>
              </w:rPr>
              <w:t>June 30,</w:t>
            </w: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540" w:type="dxa"/>
            <w:vAlign w:val="bottom"/>
            <w:gridSpan w:val="2"/>
            <w:vMerge w:val="restart"/>
          </w:tcPr>
          <w:p>
            <w:pPr>
              <w:jc w:val="right"/>
              <w:ind w:right="210"/>
              <w:spacing w:after="0"/>
              <w:rPr>
                <w:sz w:val="20"/>
                <w:szCs w:val="20"/>
                <w:color w:val="auto"/>
              </w:rPr>
            </w:pPr>
            <w:r>
              <w:rPr>
                <w:rFonts w:ascii="Arial" w:cs="Arial" w:eastAsia="Arial" w:hAnsi="Arial"/>
                <w:sz w:val="18"/>
                <w:szCs w:val="18"/>
                <w:color w:val="auto"/>
              </w:rPr>
              <w:t>Merger Impact</w:t>
            </w:r>
          </w:p>
        </w:tc>
        <w:tc>
          <w:tcPr>
            <w:tcW w:w="0" w:type="dxa"/>
            <w:vAlign w:val="bottom"/>
          </w:tcPr>
          <w:p>
            <w:pPr>
              <w:spacing w:after="0"/>
              <w:rPr>
                <w:sz w:val="1"/>
                <w:szCs w:val="1"/>
                <w:color w:val="auto"/>
              </w:rPr>
            </w:pPr>
          </w:p>
        </w:tc>
      </w:tr>
      <w:tr>
        <w:trPr>
          <w:trHeight w:val="163"/>
        </w:trPr>
        <w:tc>
          <w:tcPr>
            <w:tcW w:w="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restart"/>
          </w:tcPr>
          <w:p>
            <w:pPr>
              <w:spacing w:after="0" w:line="190" w:lineRule="exact"/>
              <w:rPr>
                <w:sz w:val="20"/>
                <w:szCs w:val="20"/>
                <w:color w:val="auto"/>
              </w:rPr>
            </w:pPr>
            <w:r>
              <w:rPr>
                <w:rFonts w:ascii="Arial" w:cs="Arial" w:eastAsia="Arial" w:hAnsi="Arial"/>
                <w:sz w:val="18"/>
                <w:szCs w:val="18"/>
                <w:color w:val="auto"/>
              </w:rPr>
              <w:t>Due to</w:t>
            </w:r>
          </w:p>
        </w:tc>
        <w:tc>
          <w:tcPr>
            <w:tcW w:w="16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color w:val="auto"/>
                <w:w w:val="99"/>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33"/>
              <w:spacing w:after="0"/>
              <w:rPr>
                <w:sz w:val="20"/>
                <w:szCs w:val="20"/>
                <w:color w:val="auto"/>
              </w:rPr>
            </w:pPr>
            <w:r>
              <w:rPr>
                <w:rFonts w:ascii="Arial" w:cs="Arial" w:eastAsia="Arial" w:hAnsi="Arial"/>
                <w:sz w:val="18"/>
                <w:szCs w:val="18"/>
                <w:color w:val="auto"/>
                <w:w w:val="94"/>
              </w:rPr>
              <w:t>2013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Change</w:t>
            </w:r>
          </w:p>
        </w:tc>
        <w:tc>
          <w:tcPr>
            <w:tcW w:w="920" w:type="dxa"/>
            <w:vAlign w:val="bottom"/>
            <w:gridSpan w:val="3"/>
          </w:tcPr>
          <w:p>
            <w:pPr>
              <w:ind w:left="140"/>
              <w:spacing w:after="0"/>
              <w:rPr>
                <w:sz w:val="20"/>
                <w:szCs w:val="20"/>
                <w:color w:val="auto"/>
              </w:rPr>
            </w:pPr>
            <w:r>
              <w:rPr>
                <w:rFonts w:ascii="Arial" w:cs="Arial" w:eastAsia="Arial" w:hAnsi="Arial"/>
                <w:sz w:val="18"/>
                <w:szCs w:val="18"/>
                <w:color w:val="auto"/>
              </w:rPr>
              <w:t>Merger</w:t>
            </w:r>
          </w:p>
        </w:tc>
        <w:tc>
          <w:tcPr>
            <w:tcW w:w="160" w:type="dxa"/>
            <w:vAlign w:val="bottom"/>
          </w:tcPr>
          <w:p>
            <w:pPr>
              <w:spacing w:after="0"/>
              <w:rPr>
                <w:sz w:val="20"/>
                <w:szCs w:val="20"/>
                <w:color w:val="auto"/>
              </w:rPr>
            </w:pPr>
          </w:p>
        </w:tc>
        <w:tc>
          <w:tcPr>
            <w:tcW w:w="6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10"/>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80" w:type="dxa"/>
            <w:vAlign w:val="bottom"/>
            <w:gridSpan w:val="10"/>
          </w:tcPr>
          <w:p>
            <w:pPr>
              <w:jc w:val="right"/>
              <w:ind w:right="450"/>
              <w:spacing w:after="0"/>
              <w:rPr>
                <w:sz w:val="20"/>
                <w:szCs w:val="20"/>
                <w:color w:val="auto"/>
              </w:rPr>
            </w:pPr>
            <w:r>
              <w:rPr>
                <w:rFonts w:ascii="Arial" w:cs="Arial" w:eastAsia="Arial" w:hAnsi="Arial"/>
                <w:sz w:val="14"/>
                <w:szCs w:val="14"/>
                <w:color w:val="auto"/>
              </w:rPr>
              <w:t>(In millions, except percentage changes)</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Mainline passenger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3640" w:type="dxa"/>
            <w:vAlign w:val="bottom"/>
            <w:gridSpan w:val="3"/>
          </w:tcPr>
          <w:p>
            <w:pPr>
              <w:ind w:left="40"/>
              <w:spacing w:after="0"/>
              <w:rPr>
                <w:sz w:val="20"/>
                <w:szCs w:val="20"/>
                <w:color w:val="auto"/>
              </w:rPr>
            </w:pPr>
            <w:r>
              <w:rPr>
                <w:rFonts w:ascii="Arial" w:cs="Arial" w:eastAsia="Arial" w:hAnsi="Arial"/>
                <w:sz w:val="18"/>
                <w:szCs w:val="18"/>
                <w:color w:val="auto"/>
              </w:rPr>
              <w:t>Regional passenger</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Cargo</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364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281</w:t>
            </w:r>
          </w:p>
        </w:tc>
        <w:tc>
          <w:tcPr>
            <w:tcW w:w="90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6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Total operating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discussion of operating revenues excludes the results of US Airways Group in order to provide a more meaningful period-over-period comparison.</w:t>
      </w:r>
    </w:p>
    <w:p>
      <w:pPr>
        <w:spacing w:after="0" w:line="11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Total operating revenues in the first six months of 2014 increased $1.1 billion, or 8.6%, from the 2013 period which was driven by strong demand for air travel. Significant changes in the components of operating revenues, excluding the results of US Airways Group, are as follows:</w:t>
      </w:r>
    </w:p>
    <w:p>
      <w:pPr>
        <w:spacing w:after="0" w:line="38" w:lineRule="exact"/>
        <w:rPr>
          <w:sz w:val="20"/>
          <w:szCs w:val="20"/>
          <w:color w:val="auto"/>
        </w:rPr>
      </w:pPr>
    </w:p>
    <w:p>
      <w:pPr>
        <w:ind w:left="340" w:right="2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Mainline passenger revenues increased $756 million, or 8.0%, in the first six months of 2014 from the 2013 period due to higher yields and ASMs, offset in part by slightly lower load factors.</w:t>
      </w:r>
    </w:p>
    <w:p>
      <w:pPr>
        <w:spacing w:after="0" w:line="8"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Cargo revenues increased $22 million, or 6.6%, in the first six months of 2014 from the 2013 period driven primarily by an increase in transatlantic freight volumes.</w:t>
      </w:r>
    </w:p>
    <w:p>
      <w:pPr>
        <w:spacing w:after="0" w:line="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revenues increased $281 million, or 21.7%, in the first six months of 2014 from the 2013 period driven primarily by higher revenues associated with our frequent flyer programs.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03"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4620" w:type="dxa"/>
            <w:vAlign w:val="bottom"/>
            <w:gridSpan w:val="3"/>
          </w:tcPr>
          <w:p>
            <w:pPr>
              <w:jc w:val="center"/>
              <w:ind w:right="1840"/>
              <w:spacing w:after="0"/>
              <w:rPr>
                <w:sz w:val="20"/>
                <w:szCs w:val="20"/>
                <w:color w:val="auto"/>
              </w:rPr>
            </w:pPr>
            <w:r>
              <w:rPr>
                <w:rFonts w:ascii="Arial" w:cs="Arial" w:eastAsia="Arial" w:hAnsi="Arial"/>
                <w:sz w:val="18"/>
                <w:szCs w:val="18"/>
                <w:i w:val="1"/>
                <w:iCs w:val="1"/>
                <w:color w:val="auto"/>
                <w:w w:val="89"/>
              </w:rPr>
              <w:t>Operating Expenses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66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2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89"/>
              </w:rPr>
              <w:t>$ Change</w:t>
            </w:r>
          </w:p>
        </w:tc>
        <w:tc>
          <w:tcPr>
            <w:tcW w:w="140" w:type="dxa"/>
            <w:vAlign w:val="bottom"/>
          </w:tcPr>
          <w:p>
            <w:pPr>
              <w:spacing w:after="0"/>
              <w:rPr>
                <w:sz w:val="24"/>
                <w:szCs w:val="24"/>
                <w:color w:val="auto"/>
              </w:rPr>
            </w:pPr>
          </w:p>
        </w:tc>
        <w:tc>
          <w:tcPr>
            <w:tcW w:w="2120" w:type="dxa"/>
            <w:vAlign w:val="bottom"/>
            <w:gridSpan w:val="3"/>
          </w:tcPr>
          <w:p>
            <w:pPr>
              <w:jc w:val="center"/>
              <w:ind w:right="30"/>
              <w:spacing w:after="0"/>
              <w:rPr>
                <w:sz w:val="20"/>
                <w:szCs w:val="20"/>
                <w:color w:val="auto"/>
              </w:rPr>
            </w:pPr>
            <w:r>
              <w:rPr>
                <w:rFonts w:ascii="Arial" w:cs="Arial" w:eastAsia="Arial" w:hAnsi="Arial"/>
                <w:sz w:val="18"/>
                <w:szCs w:val="18"/>
                <w:color w:val="auto"/>
                <w:w w:val="92"/>
              </w:rPr>
              <w:t>Change Excluding Merger</w:t>
            </w:r>
          </w:p>
        </w:tc>
        <w:tc>
          <w:tcPr>
            <w:tcW w:w="0" w:type="dxa"/>
            <w:vAlign w:val="bottom"/>
          </w:tcPr>
          <w:p>
            <w:pPr>
              <w:spacing w:after="0"/>
              <w:rPr>
                <w:sz w:val="1"/>
                <w:szCs w:val="1"/>
                <w:color w:val="auto"/>
              </w:rPr>
            </w:pPr>
          </w:p>
        </w:tc>
      </w:tr>
      <w:tr>
        <w:trPr>
          <w:trHeight w:val="68"/>
        </w:trPr>
        <w:tc>
          <w:tcPr>
            <w:tcW w:w="66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500" w:type="dxa"/>
            <w:vAlign w:val="bottom"/>
          </w:tcPr>
          <w:p>
            <w:pPr>
              <w:spacing w:after="0"/>
              <w:rPr>
                <w:sz w:val="5"/>
                <w:szCs w:val="5"/>
                <w:color w:val="auto"/>
              </w:rPr>
            </w:pPr>
          </w:p>
        </w:tc>
        <w:tc>
          <w:tcPr>
            <w:tcW w:w="2160" w:type="dxa"/>
            <w:vAlign w:val="bottom"/>
            <w:gridSpan w:val="5"/>
            <w:vMerge w:val="restart"/>
          </w:tcPr>
          <w:p>
            <w:pPr>
              <w:jc w:val="right"/>
              <w:spacing w:after="0"/>
              <w:rPr>
                <w:sz w:val="20"/>
                <w:szCs w:val="20"/>
                <w:color w:val="auto"/>
              </w:rPr>
            </w:pPr>
            <w:r>
              <w:rPr>
                <w:rFonts w:ascii="Arial" w:cs="Arial" w:eastAsia="Arial" w:hAnsi="Arial"/>
                <w:sz w:val="18"/>
                <w:szCs w:val="18"/>
                <w:color w:val="auto"/>
                <w:w w:val="93"/>
              </w:rPr>
              <w:t>Six Months Ended June 30,</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gridSpan w:val="2"/>
            <w:vMerge w:val="restart"/>
          </w:tcPr>
          <w:p>
            <w:pPr>
              <w:jc w:val="center"/>
              <w:ind w:left="530"/>
              <w:spacing w:after="0"/>
              <w:rPr>
                <w:sz w:val="20"/>
                <w:szCs w:val="20"/>
                <w:color w:val="auto"/>
              </w:rPr>
            </w:pPr>
            <w:r>
              <w:rPr>
                <w:rFonts w:ascii="Arial" w:cs="Arial" w:eastAsia="Arial" w:hAnsi="Arial"/>
                <w:sz w:val="18"/>
                <w:szCs w:val="18"/>
                <w:color w:val="auto"/>
                <w:w w:val="92"/>
              </w:rPr>
              <w:t>Impact</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16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center"/>
              <w:ind w:right="260"/>
              <w:spacing w:after="0" w:line="190" w:lineRule="exact"/>
              <w:rPr>
                <w:sz w:val="20"/>
                <w:szCs w:val="20"/>
                <w:color w:val="auto"/>
              </w:rPr>
            </w:pPr>
            <w:r>
              <w:rPr>
                <w:rFonts w:ascii="Arial" w:cs="Arial" w:eastAsia="Arial" w:hAnsi="Arial"/>
                <w:sz w:val="18"/>
                <w:szCs w:val="18"/>
                <w:color w:val="auto"/>
                <w:w w:val="94"/>
              </w:rPr>
              <w:t>Due to</w:t>
            </w:r>
          </w:p>
        </w:tc>
        <w:tc>
          <w:tcPr>
            <w:tcW w:w="1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color w:val="auto"/>
              </w:rPr>
              <w:t>$ Change</w:t>
            </w:r>
          </w:p>
        </w:tc>
        <w:tc>
          <w:tcPr>
            <w:tcW w:w="140" w:type="dxa"/>
            <w:vAlign w:val="bottom"/>
          </w:tcPr>
          <w:p>
            <w:pPr>
              <w:spacing w:after="0"/>
              <w:rPr>
                <w:sz w:val="20"/>
                <w:szCs w:val="20"/>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Merger</w:t>
            </w:r>
          </w:p>
        </w:tc>
        <w:tc>
          <w:tcPr>
            <w:tcW w:w="140" w:type="dxa"/>
            <w:vAlign w:val="bottom"/>
          </w:tcPr>
          <w:p>
            <w:pPr>
              <w:spacing w:after="0"/>
              <w:rPr>
                <w:sz w:val="20"/>
                <w:szCs w:val="20"/>
                <w:color w:val="auto"/>
              </w:rPr>
            </w:pPr>
          </w:p>
        </w:tc>
        <w:tc>
          <w:tcPr>
            <w:tcW w:w="8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7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8"/>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520" w:type="dxa"/>
            <w:vAlign w:val="bottom"/>
            <w:gridSpan w:val="8"/>
          </w:tcPr>
          <w:p>
            <w:pPr>
              <w:jc w:val="right"/>
              <w:ind w:right="10"/>
              <w:spacing w:after="0"/>
              <w:rPr>
                <w:sz w:val="20"/>
                <w:szCs w:val="20"/>
                <w:color w:val="auto"/>
              </w:rPr>
            </w:pPr>
            <w:r>
              <w:rPr>
                <w:rFonts w:ascii="Arial" w:cs="Arial" w:eastAsia="Arial" w:hAnsi="Arial"/>
                <w:sz w:val="14"/>
                <w:szCs w:val="14"/>
                <w:color w:val="auto"/>
                <w:w w:val="95"/>
              </w:rPr>
              <w:t>(In millions, except percentage changes)</w:t>
            </w: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620" w:type="dxa"/>
            <w:vAlign w:val="bottom"/>
            <w:gridSpan w:val="3"/>
          </w:tcPr>
          <w:p>
            <w:pPr>
              <w:ind w:left="40"/>
              <w:spacing w:after="0"/>
              <w:rPr>
                <w:sz w:val="20"/>
                <w:szCs w:val="20"/>
                <w:color w:val="auto"/>
              </w:rPr>
            </w:pPr>
            <w:r>
              <w:rPr>
                <w:rFonts w:ascii="Arial" w:cs="Arial" w:eastAsia="Arial" w:hAnsi="Arial"/>
                <w:sz w:val="18"/>
                <w:szCs w:val="18"/>
                <w:color w:val="auto"/>
              </w:rPr>
              <w:t>Salaries, wages and benefits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4,282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2,551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292</w:t>
            </w:r>
          </w:p>
        </w:tc>
        <w:tc>
          <w:tcPr>
            <w:tcW w:w="480" w:type="dxa"/>
            <w:vAlign w:val="bottom"/>
          </w:tcPr>
          <w:p>
            <w:pPr>
              <w:spacing w:after="0"/>
              <w:rPr>
                <w:sz w:val="21"/>
                <w:szCs w:val="21"/>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4620" w:type="dxa"/>
            <w:vAlign w:val="bottom"/>
            <w:gridSpan w:val="3"/>
          </w:tcPr>
          <w:p>
            <w:pPr>
              <w:ind w:left="40"/>
              <w:spacing w:after="0"/>
              <w:rPr>
                <w:sz w:val="20"/>
                <w:szCs w:val="20"/>
                <w:color w:val="auto"/>
              </w:rPr>
            </w:pPr>
            <w:r>
              <w:rPr>
                <w:rFonts w:ascii="Arial" w:cs="Arial" w:eastAsia="Arial" w:hAnsi="Arial"/>
                <w:sz w:val="18"/>
                <w:szCs w:val="18"/>
                <w:color w:val="auto"/>
              </w:rPr>
              <w:t>Other rent and landing fees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1"/>
                <w:szCs w:val="21"/>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43"/>
        </w:trPr>
        <w:tc>
          <w:tcPr>
            <w:tcW w:w="4620" w:type="dxa"/>
            <w:vAlign w:val="bottom"/>
            <w:gridSpan w:val="3"/>
          </w:tcPr>
          <w:p>
            <w:pPr>
              <w:ind w:left="40"/>
              <w:spacing w:after="0"/>
              <w:rPr>
                <w:sz w:val="20"/>
                <w:szCs w:val="20"/>
                <w:color w:val="auto"/>
              </w:rPr>
            </w:pPr>
            <w:r>
              <w:rPr>
                <w:rFonts w:ascii="Arial" w:cs="Arial" w:eastAsia="Arial" w:hAnsi="Arial"/>
                <w:sz w:val="18"/>
                <w:szCs w:val="18"/>
                <w:color w:val="auto"/>
              </w:rPr>
              <w:t>Selling expenses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21"/>
                <w:szCs w:val="21"/>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4620" w:type="dxa"/>
            <w:vAlign w:val="bottom"/>
            <w:gridSpan w:val="3"/>
          </w:tcPr>
          <w:p>
            <w:pPr>
              <w:ind w:left="40"/>
              <w:spacing w:after="0"/>
              <w:rPr>
                <w:sz w:val="20"/>
                <w:szCs w:val="20"/>
                <w:color w:val="auto"/>
              </w:rPr>
            </w:pPr>
            <w:r>
              <w:rPr>
                <w:rFonts w:ascii="Arial" w:cs="Arial" w:eastAsia="Arial" w:hAnsi="Arial"/>
                <w:sz w:val="18"/>
                <w:szCs w:val="18"/>
                <w:color w:val="auto"/>
              </w:rPr>
              <w:t>Special items, net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w:t>
            </w:r>
          </w:p>
        </w:tc>
        <w:tc>
          <w:tcPr>
            <w:tcW w:w="480" w:type="dxa"/>
            <w:vAlign w:val="bottom"/>
          </w:tcPr>
          <w:p>
            <w:pPr>
              <w:spacing w:after="0"/>
              <w:rPr>
                <w:sz w:val="21"/>
                <w:szCs w:val="21"/>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4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4620" w:type="dxa"/>
            <w:vAlign w:val="bottom"/>
            <w:gridSpan w:val="3"/>
          </w:tcPr>
          <w:p>
            <w:pPr>
              <w:jc w:val="center"/>
              <w:ind w:right="1800"/>
              <w:spacing w:after="0"/>
              <w:rPr>
                <w:sz w:val="20"/>
                <w:szCs w:val="20"/>
                <w:color w:val="auto"/>
              </w:rPr>
            </w:pPr>
            <w:r>
              <w:rPr>
                <w:rFonts w:ascii="Arial" w:cs="Arial" w:eastAsia="Arial" w:hAnsi="Arial"/>
                <w:sz w:val="18"/>
                <w:szCs w:val="18"/>
                <w:color w:val="auto"/>
                <w:w w:val="89"/>
              </w:rPr>
              <w:t>Total mainline operating expenses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15,971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10,415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5,556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5,222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334</w:t>
            </w:r>
          </w:p>
        </w:tc>
        <w:tc>
          <w:tcPr>
            <w:tcW w:w="480" w:type="dxa"/>
            <w:vAlign w:val="bottom"/>
          </w:tcPr>
          <w:p>
            <w:pPr>
              <w:spacing w:after="0"/>
              <w:rPr>
                <w:sz w:val="20"/>
                <w:szCs w:val="20"/>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Regional expenses: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gridSpan w:val="3"/>
          </w:tcPr>
          <w:p>
            <w:pPr>
              <w:ind w:left="280"/>
              <w:spacing w:after="0"/>
              <w:rPr>
                <w:sz w:val="20"/>
                <w:szCs w:val="20"/>
                <w:color w:val="auto"/>
              </w:rPr>
            </w:pPr>
            <w:r>
              <w:rPr>
                <w:rFonts w:ascii="Arial" w:cs="Arial" w:eastAsia="Arial" w:hAnsi="Arial"/>
                <w:sz w:val="18"/>
                <w:szCs w:val="18"/>
                <w:color w:val="auto"/>
              </w:rPr>
              <w:t>Fuel</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4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4620" w:type="dxa"/>
            <w:vAlign w:val="bottom"/>
            <w:gridSpan w:val="3"/>
          </w:tcPr>
          <w:p>
            <w:pPr>
              <w:jc w:val="center"/>
              <w:ind w:right="1840"/>
              <w:spacing w:after="0"/>
              <w:rPr>
                <w:sz w:val="20"/>
                <w:szCs w:val="20"/>
                <w:color w:val="auto"/>
              </w:rPr>
            </w:pPr>
            <w:r>
              <w:rPr>
                <w:rFonts w:ascii="Arial" w:cs="Arial" w:eastAsia="Arial" w:hAnsi="Arial"/>
                <w:sz w:val="18"/>
                <w:szCs w:val="18"/>
                <w:color w:val="auto"/>
                <w:w w:val="89"/>
              </w:rPr>
              <w:t>Total regional operating expenses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3,251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w:t>
            </w:r>
          </w:p>
        </w:tc>
        <w:tc>
          <w:tcPr>
            <w:tcW w:w="480" w:type="dxa"/>
            <w:vAlign w:val="bottom"/>
          </w:tcPr>
          <w:p>
            <w:pPr>
              <w:spacing w:after="0"/>
              <w:rPr>
                <w:sz w:val="20"/>
                <w:szCs w:val="20"/>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6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gridSpan w:val="3"/>
            <w:shd w:val="clear" w:color="auto" w:fill="CCEEFF"/>
          </w:tcPr>
          <w:p>
            <w:pPr>
              <w:jc w:val="center"/>
              <w:ind w:right="1840"/>
              <w:spacing w:after="0"/>
              <w:rPr>
                <w:sz w:val="20"/>
                <w:szCs w:val="20"/>
                <w:color w:val="auto"/>
              </w:rPr>
            </w:pPr>
            <w:r>
              <w:rPr>
                <w:rFonts w:ascii="Arial" w:cs="Arial" w:eastAsia="Arial" w:hAnsi="Arial"/>
                <w:sz w:val="18"/>
                <w:szCs w:val="18"/>
                <w:color w:val="auto"/>
                <w:w w:val="88"/>
              </w:rPr>
              <w:t>Total operating expenses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19,222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11,964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7,258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6,876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382</w:t>
            </w:r>
          </w:p>
        </w:tc>
        <w:tc>
          <w:tcPr>
            <w:tcW w:w="48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discussion of operating expenses excludes the results of US Airways Group in order to provide a more meaningful quarter-over-quarter comparison.</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Total operating expenses in the first six months of 2014 increased $382 million, or 3.2%, from the 2013 period. Significant changes in the components of mainline operating expenses, excluding the results of US Airways Group, are as follows:</w:t>
      </w:r>
    </w:p>
    <w:p>
      <w:pPr>
        <w:spacing w:after="0" w:line="8"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Aircraft fuel and related taxes decreased 1.2% primarily due to a decrease in the average price per gallon of fuel.</w:t>
      </w:r>
    </w:p>
    <w:p>
      <w:pPr>
        <w:spacing w:after="0" w:line="63" w:lineRule="exact"/>
        <w:rPr>
          <w:sz w:val="20"/>
          <w:szCs w:val="20"/>
          <w:color w:val="auto"/>
        </w:rPr>
      </w:pPr>
    </w:p>
    <w:p>
      <w:pPr>
        <w:ind w:left="400" w:hanging="391"/>
        <w:spacing w:after="0" w:line="277" w:lineRule="auto"/>
        <w:rPr>
          <w:sz w:val="20"/>
          <w:szCs w:val="20"/>
          <w:color w:val="auto"/>
        </w:rPr>
      </w:pPr>
      <w:r>
        <w:rPr>
          <w:rFonts w:ascii="Arial" w:cs="Arial" w:eastAsia="Arial" w:hAnsi="Arial"/>
          <w:sz w:val="18"/>
          <w:szCs w:val="18"/>
          <w:color w:val="auto"/>
        </w:rPr>
        <w:t>•Salaries, wages and benefits increased 11.5% primarily due to merger related labor contracts as well as increased costs from certain share-based compensation programs.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•Maintenance, materials and repairs increased 5.5% primarily due to an increase in the volume of engine overhauls.</w:t>
      </w:r>
    </w:p>
    <w:p>
      <w:pPr>
        <w:spacing w:after="0" w:line="63" w:lineRule="exact"/>
        <w:rPr>
          <w:sz w:val="20"/>
          <w:szCs w:val="20"/>
          <w:color w:val="auto"/>
        </w:rPr>
      </w:pPr>
    </w:p>
    <w:p>
      <w:pPr>
        <w:ind w:left="660" w:hanging="652"/>
        <w:spacing w:after="0" w:line="277" w:lineRule="auto"/>
        <w:tabs>
          <w:tab w:leader="none" w:pos="336" w:val="left"/>
        </w:tabs>
        <w:numPr>
          <w:ilvl w:val="0"/>
          <w:numId w:val="40"/>
        </w:numPr>
        <w:rPr>
          <w:rFonts w:ascii="Arial" w:cs="Arial" w:eastAsia="Arial" w:hAnsi="Arial"/>
          <w:sz w:val="18"/>
          <w:szCs w:val="18"/>
          <w:color w:val="auto"/>
        </w:rPr>
      </w:pPr>
      <w:r>
        <w:rPr>
          <w:rFonts w:ascii="Arial" w:cs="Arial" w:eastAsia="Arial" w:hAnsi="Arial"/>
          <w:sz w:val="18"/>
          <w:szCs w:val="18"/>
          <w:color w:val="auto"/>
        </w:rPr>
        <w:t>Aircraft rent increased 23.0% primarily as a result of new leased aircraft deliveries since the end of the 2013 second quarter as we continue our fleet renewal program.</w:t>
      </w:r>
    </w:p>
    <w:p>
      <w:pPr>
        <w:spacing w:after="0" w:line="8" w:lineRule="exact"/>
        <w:rPr>
          <w:rFonts w:ascii="Arial" w:cs="Arial" w:eastAsia="Arial" w:hAnsi="Arial"/>
          <w:sz w:val="18"/>
          <w:szCs w:val="18"/>
          <w:color w:val="auto"/>
        </w:rPr>
      </w:pPr>
    </w:p>
    <w:p>
      <w:pPr>
        <w:ind w:left="660" w:hanging="652"/>
        <w:spacing w:after="0" w:line="277" w:lineRule="auto"/>
        <w:tabs>
          <w:tab w:leader="none" w:pos="336"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Depreciation and amortization increased 5.5% as a result of new purchased aircraft deliveries since the end of the 2013 second quarter as we continue our fleet renewal program.</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regional expenses, excluding the results of US Airways Group, increased $48 million, or 3.1%, in the first six months of 2014 from the 2013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period.</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Nonoperating Income (Expense)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840" w:type="dxa"/>
            <w:vAlign w:val="bottom"/>
            <w:gridSpan w:val="7"/>
          </w:tcPr>
          <w:p>
            <w:pPr>
              <w:ind w:left="120"/>
              <w:spacing w:after="0"/>
              <w:rPr>
                <w:sz w:val="20"/>
                <w:szCs w:val="20"/>
                <w:color w:val="auto"/>
              </w:rPr>
            </w:pPr>
            <w:r>
              <w:rPr>
                <w:rFonts w:ascii="Arial" w:cs="Arial" w:eastAsia="Arial" w:hAnsi="Arial"/>
                <w:sz w:val="16"/>
                <w:szCs w:val="16"/>
                <w:color w:val="auto"/>
              </w:rPr>
              <w:t>Six Months Ended June</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vMerge w:val="restart"/>
          </w:tcPr>
          <w:p>
            <w:pPr>
              <w:ind w:left="40"/>
              <w:spacing w:after="0"/>
              <w:rPr>
                <w:sz w:val="20"/>
                <w:szCs w:val="20"/>
                <w:color w:val="auto"/>
              </w:rPr>
            </w:pPr>
            <w:r>
              <w:rPr>
                <w:rFonts w:ascii="Arial" w:cs="Arial" w:eastAsia="Arial" w:hAnsi="Arial"/>
                <w:sz w:val="16"/>
                <w:szCs w:val="16"/>
                <w:color w:val="auto"/>
              </w:rPr>
              <w:t>Change</w:t>
            </w:r>
          </w:p>
        </w:tc>
        <w:tc>
          <w:tcPr>
            <w:tcW w:w="220" w:type="dxa"/>
            <w:vAlign w:val="bottom"/>
          </w:tcPr>
          <w:p>
            <w:pPr>
              <w:spacing w:after="0"/>
              <w:rPr>
                <w:sz w:val="17"/>
                <w:szCs w:val="17"/>
                <w:color w:val="auto"/>
              </w:rPr>
            </w:pPr>
          </w:p>
        </w:tc>
        <w:tc>
          <w:tcPr>
            <w:tcW w:w="1480" w:type="dxa"/>
            <w:vAlign w:val="bottom"/>
            <w:gridSpan w:val="2"/>
          </w:tcPr>
          <w:p>
            <w:pPr>
              <w:jc w:val="right"/>
              <w:ind w:right="152"/>
              <w:spacing w:after="0"/>
              <w:rPr>
                <w:sz w:val="20"/>
                <w:szCs w:val="20"/>
                <w:color w:val="auto"/>
              </w:rPr>
            </w:pPr>
            <w:r>
              <w:rPr>
                <w:rFonts w:ascii="Arial" w:cs="Arial" w:eastAsia="Arial" w:hAnsi="Arial"/>
                <w:sz w:val="16"/>
                <w:szCs w:val="16"/>
                <w:color w:val="auto"/>
                <w:w w:val="93"/>
              </w:rPr>
              <w:t>Change Excluding</w:t>
            </w:r>
          </w:p>
        </w:tc>
        <w:tc>
          <w:tcPr>
            <w:tcW w:w="0" w:type="dxa"/>
            <w:vAlign w:val="bottom"/>
          </w:tcPr>
          <w:p>
            <w:pPr>
              <w:spacing w:after="0"/>
              <w:rPr>
                <w:sz w:val="1"/>
                <w:szCs w:val="1"/>
                <w:color w:val="auto"/>
              </w:rPr>
            </w:pPr>
          </w:p>
        </w:tc>
      </w:tr>
      <w:tr>
        <w:trPr>
          <w:trHeight w:val="81"/>
        </w:trPr>
        <w:tc>
          <w:tcPr>
            <w:tcW w:w="3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gridSpan w:val="3"/>
            <w:vMerge w:val="restart"/>
          </w:tcPr>
          <w:p>
            <w:pPr>
              <w:jc w:val="right"/>
              <w:ind w:right="30"/>
              <w:spacing w:after="0"/>
              <w:rPr>
                <w:sz w:val="20"/>
                <w:szCs w:val="20"/>
                <w:color w:val="auto"/>
              </w:rPr>
            </w:pPr>
            <w:r>
              <w:rPr>
                <w:rFonts w:ascii="Arial" w:cs="Arial" w:eastAsia="Arial" w:hAnsi="Arial"/>
                <w:sz w:val="16"/>
                <w:szCs w:val="16"/>
                <w:color w:val="auto"/>
                <w:w w:val="80"/>
              </w:rPr>
              <w:t>30,</w:t>
            </w: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gridSpan w:val="2"/>
            <w:vMerge w:val="restart"/>
          </w:tcPr>
          <w:p>
            <w:pPr>
              <w:jc w:val="right"/>
              <w:ind w:right="272"/>
              <w:spacing w:after="0"/>
              <w:rPr>
                <w:sz w:val="20"/>
                <w:szCs w:val="20"/>
                <w:color w:val="auto"/>
              </w:rPr>
            </w:pPr>
            <w:r>
              <w:rPr>
                <w:rFonts w:ascii="Arial" w:cs="Arial" w:eastAsia="Arial" w:hAnsi="Arial"/>
                <w:sz w:val="16"/>
                <w:szCs w:val="16"/>
                <w:color w:val="auto"/>
              </w:rPr>
              <w:t>Merger Impact</w:t>
            </w:r>
          </w:p>
        </w:tc>
        <w:tc>
          <w:tcPr>
            <w:tcW w:w="0" w:type="dxa"/>
            <w:vAlign w:val="bottom"/>
          </w:tcPr>
          <w:p>
            <w:pPr>
              <w:spacing w:after="0"/>
              <w:rPr>
                <w:sz w:val="1"/>
                <w:szCs w:val="1"/>
                <w:color w:val="auto"/>
              </w:rPr>
            </w:pPr>
          </w:p>
        </w:tc>
      </w:tr>
      <w:tr>
        <w:trPr>
          <w:trHeight w:val="125"/>
        </w:trPr>
        <w:tc>
          <w:tcPr>
            <w:tcW w:w="3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vMerge w:val="restart"/>
          </w:tcPr>
          <w:p>
            <w:pPr>
              <w:ind w:left="20"/>
              <w:spacing w:after="0" w:line="138" w:lineRule="exact"/>
              <w:rPr>
                <w:sz w:val="20"/>
                <w:szCs w:val="20"/>
                <w:color w:val="auto"/>
              </w:rPr>
            </w:pPr>
            <w:r>
              <w:rPr>
                <w:rFonts w:ascii="Arial" w:cs="Arial" w:eastAsia="Arial" w:hAnsi="Arial"/>
                <w:sz w:val="16"/>
                <w:szCs w:val="16"/>
                <w:color w:val="auto"/>
              </w:rPr>
              <w:t>Due to</w:t>
            </w:r>
          </w:p>
        </w:tc>
        <w:tc>
          <w:tcPr>
            <w:tcW w:w="22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w w:val="99"/>
              </w:rPr>
              <w:t>2014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ind w:right="133"/>
              <w:spacing w:after="0"/>
              <w:rPr>
                <w:sz w:val="20"/>
                <w:szCs w:val="20"/>
                <w:color w:val="auto"/>
              </w:rPr>
            </w:pPr>
            <w:r>
              <w:rPr>
                <w:rFonts w:ascii="Arial" w:cs="Arial" w:eastAsia="Arial" w:hAnsi="Arial"/>
                <w:sz w:val="18"/>
                <w:szCs w:val="18"/>
                <w:color w:val="auto"/>
                <w:w w:val="99"/>
              </w:rPr>
              <w:t>2013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ind w:left="20"/>
              <w:spacing w:after="0"/>
              <w:rPr>
                <w:sz w:val="20"/>
                <w:szCs w:val="20"/>
                <w:color w:val="auto"/>
              </w:rPr>
            </w:pPr>
            <w:r>
              <w:rPr>
                <w:rFonts w:ascii="Arial" w:cs="Arial" w:eastAsia="Arial" w:hAnsi="Arial"/>
                <w:sz w:val="16"/>
                <w:szCs w:val="16"/>
                <w:color w:val="auto"/>
              </w:rPr>
              <w:t>Change</w:t>
            </w:r>
          </w:p>
        </w:tc>
        <w:tc>
          <w:tcPr>
            <w:tcW w:w="920" w:type="dxa"/>
            <w:vAlign w:val="bottom"/>
            <w:gridSpan w:val="3"/>
          </w:tcPr>
          <w:p>
            <w:pPr>
              <w:ind w:left="180"/>
              <w:spacing w:after="0"/>
              <w:rPr>
                <w:sz w:val="20"/>
                <w:szCs w:val="20"/>
                <w:color w:val="auto"/>
              </w:rPr>
            </w:pPr>
            <w:r>
              <w:rPr>
                <w:rFonts w:ascii="Arial" w:cs="Arial" w:eastAsia="Arial" w:hAnsi="Arial"/>
                <w:sz w:val="16"/>
                <w:szCs w:val="16"/>
                <w:color w:val="auto"/>
              </w:rPr>
              <w:t>Merger</w:t>
            </w:r>
          </w:p>
        </w:tc>
        <w:tc>
          <w:tcPr>
            <w:tcW w:w="220" w:type="dxa"/>
            <w:vAlign w:val="bottom"/>
          </w:tcPr>
          <w:p>
            <w:pPr>
              <w:spacing w:after="0"/>
              <w:rPr>
                <w:sz w:val="20"/>
                <w:szCs w:val="20"/>
                <w:color w:val="auto"/>
              </w:rPr>
            </w:pPr>
          </w:p>
        </w:tc>
        <w:tc>
          <w:tcPr>
            <w:tcW w:w="560" w:type="dxa"/>
            <w:vAlign w:val="bottom"/>
          </w:tcPr>
          <w:p>
            <w:pPr>
              <w:jc w:val="right"/>
              <w:ind w:right="254"/>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5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9"/>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20" w:type="dxa"/>
            <w:vAlign w:val="bottom"/>
            <w:gridSpan w:val="9"/>
          </w:tcPr>
          <w:p>
            <w:pPr>
              <w:jc w:val="right"/>
              <w:spacing w:after="0"/>
              <w:rPr>
                <w:sz w:val="20"/>
                <w:szCs w:val="20"/>
                <w:color w:val="auto"/>
              </w:rPr>
            </w:pPr>
            <w:r>
              <w:rPr>
                <w:rFonts w:ascii="Arial" w:cs="Arial" w:eastAsia="Arial" w:hAnsi="Arial"/>
                <w:sz w:val="14"/>
                <w:szCs w:val="14"/>
                <w:color w:val="auto"/>
              </w:rPr>
              <w:t>(In millions, except percentage changes)</w:t>
            </w: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Interest expense, net of capitalized interest</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110</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7"/>
        </w:trPr>
        <w:tc>
          <w:tcPr>
            <w:tcW w:w="3660" w:type="dxa"/>
            <w:vAlign w:val="bottom"/>
          </w:tcPr>
          <w:p>
            <w:pPr>
              <w:ind w:left="280"/>
              <w:spacing w:after="0"/>
              <w:rPr>
                <w:sz w:val="20"/>
                <w:szCs w:val="20"/>
                <w:color w:val="auto"/>
              </w:rPr>
            </w:pPr>
            <w:r>
              <w:rPr>
                <w:rFonts w:ascii="Arial" w:cs="Arial" w:eastAsia="Arial" w:hAnsi="Arial"/>
                <w:sz w:val="18"/>
                <w:szCs w:val="18"/>
                <w:color w:val="auto"/>
              </w:rPr>
              <w:t>Total nonoperating expense,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discussion of nonoperating income and expense excludes the results of US Airways Group in order to provide a more meaningful period-over-period comparison.</w:t>
      </w:r>
    </w:p>
    <w:p>
      <w:pPr>
        <w:sectPr>
          <w:pgSz w:w="11900" w:h="16838" w:orient="portrait"/>
          <w:cols w:equalWidth="0" w:num="1">
            <w:col w:w="11420"/>
          </w:cols>
          <w:pgMar w:left="240" w:top="513"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513" w:right="239" w:bottom="1440" w:gutter="0" w:footer="0" w:header="0"/>
          <w:type w:val="continuous"/>
        </w:sectPr>
      </w:pPr>
    </w:p>
    <w:bookmarkStart w:id="67" w:name="page68"/>
    <w:bookmarkEnd w:id="67"/>
    <w:p>
      <w:pPr>
        <w:jc w:val="both"/>
        <w:ind w:firstLine="188"/>
        <w:spacing w:after="0" w:line="277" w:lineRule="auto"/>
        <w:rPr>
          <w:sz w:val="20"/>
          <w:szCs w:val="20"/>
          <w:color w:val="auto"/>
        </w:rPr>
      </w:pPr>
      <w:r>
        <w:rPr>
          <w:rFonts w:ascii="Arial" w:cs="Arial" w:eastAsia="Arial" w:hAnsi="Arial"/>
          <w:sz w:val="18"/>
          <w:szCs w:val="18"/>
          <w:color w:val="auto"/>
        </w:rPr>
        <w:t>Interest income was $15 million and $9 million in the first six months of 2014 and 2013, respectively. Our short-term investments in each period consisted of highly liquid investments which provided nominal returns.</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expense, net of capitalized interest decreased $110 million, or 26.4%, in the first six months of 2014 from the 2013 period. This decrease was primarily due to $33 million of special charges recognized in the first six months of 2014 relating to non-cash interest accretion on bankruptcy settlement obligations, as compared to $116 million of special charges recognized in the first six months of 2013 relating to post-petition interest expense on unsecured obligations pursuant to the Plan.</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nonoperating income, net increased $48 million in the first six months of 2014 from the 2013 period primarily due to the weakening of the U.S. dollar in foreign currency transactions. The first six months of 2014 included $15 million in net foreign currency gains as compared to $42 million in net foreign currency losses in the 2013 period.</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Reorganization Items, Net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Reorganization items refer to revenues, expenses (including professional fees), realized gains and losses and provisions for losses that are realized or incurred as a direct result of the filing of voluntary petitions for relief under Chapter 11, which were filed in November of 2011. The following table summarizes the components included in reorganization items, net on AAG's condensed consolidated statement of operations for the six months ended June 30, 2013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Aircraft and facility financing renegotiations and rejections </w:t>
            </w:r>
            <w:r>
              <w:rPr>
                <w:rFonts w:ascii="Arial" w:cs="Arial" w:eastAsia="Arial" w:hAnsi="Arial"/>
                <w:sz w:val="25"/>
                <w:szCs w:val="25"/>
                <w:color w:val="auto"/>
                <w:vertAlign w:val="superscript"/>
              </w:rPr>
              <w:t>(1)</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Professional fees</w:t>
            </w:r>
          </w:p>
        </w:tc>
        <w:tc>
          <w:tcPr>
            <w:tcW w:w="7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7"/>
        </w:trPr>
        <w:tc>
          <w:tcPr>
            <w:tcW w:w="9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57"/>
        </w:trPr>
        <w:tc>
          <w:tcPr>
            <w:tcW w:w="9720" w:type="dxa"/>
            <w:vAlign w:val="bottom"/>
          </w:tcPr>
          <w:p>
            <w:pPr>
              <w:ind w:left="280"/>
              <w:spacing w:after="0"/>
              <w:rPr>
                <w:sz w:val="20"/>
                <w:szCs w:val="20"/>
                <w:color w:val="auto"/>
              </w:rPr>
            </w:pPr>
            <w:r>
              <w:rPr>
                <w:rFonts w:ascii="Arial" w:cs="Arial" w:eastAsia="Arial" w:hAnsi="Arial"/>
                <w:sz w:val="18"/>
                <w:szCs w:val="18"/>
                <w:color w:val="auto"/>
              </w:rPr>
              <w:t>Total reorganization items, net</w:t>
            </w: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284</w:t>
            </w:r>
          </w:p>
        </w:tc>
      </w:tr>
      <w:tr>
        <w:trPr>
          <w:trHeight w:val="20"/>
        </w:trPr>
        <w:tc>
          <w:tcPr>
            <w:tcW w:w="9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left="340" w:hanging="332"/>
        <w:spacing w:after="0" w:line="250" w:lineRule="auto"/>
        <w:tabs>
          <w:tab w:leader="none" w:pos="340" w:val="left"/>
        </w:tabs>
        <w:numPr>
          <w:ilvl w:val="0"/>
          <w:numId w:val="41"/>
        </w:numPr>
        <w:rPr>
          <w:rFonts w:ascii="Arial" w:cs="Arial" w:eastAsia="Arial" w:hAnsi="Arial"/>
          <w:sz w:val="24"/>
          <w:szCs w:val="24"/>
          <w:color w:val="auto"/>
          <w:vertAlign w:val="superscript"/>
        </w:rPr>
      </w:pPr>
      <w:r>
        <w:rPr>
          <w:rFonts w:ascii="Arial" w:cs="Arial" w:eastAsia="Arial" w:hAnsi="Arial"/>
          <w:sz w:val="17"/>
          <w:szCs w:val="17"/>
          <w:color w:val="auto"/>
        </w:rPr>
        <w:t>Amounts include allowed claims (claims approved by the Bankruptcy Court) and estimated allowed claims relating to (i) the rejection or modification of financings related to aircraft and (ii) entry of orders treated as unsecured claims with respect to facility agreements supporting certain issuances of special facility revenue bonds. The Debtors recorded an estimated claim associated with the rejection or modification of a financing or facility agreement when the applicable motion was filed with the Bankruptcy Court to reject or modify such financing and the Debtors believed that it was probable the motion would be approved, and there was sufficient information to estimate the claim.</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30"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American's Results of Operations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second quarter of 2014, American realized operating income of $718 million and net income of $265 million. American's second quarter 2014 net income included net special operating charges of $180 million and total net special charges of $511 million. Excluding the effects of these special charges, American realized operating income of $898 million and net income of $776 million.</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first six months of 2014, American realized operating income of $1.3 billion and net income of $666 million. American's 2014 six month period net income included net special operating credits of $35 million and total net special charges of $347 million. Excluding the effects of these special items, we realized operating income of $1.3 billion and net income of $1.0 billion.</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American's net special charges (credits) are as follows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6"/>
          </w:tcPr>
          <w:p>
            <w:pPr>
              <w:ind w:left="20"/>
              <w:spacing w:after="0"/>
              <w:rPr>
                <w:sz w:val="20"/>
                <w:szCs w:val="20"/>
                <w:color w:val="auto"/>
              </w:rPr>
            </w:pPr>
            <w:r>
              <w:rPr>
                <w:rFonts w:ascii="Arial" w:cs="Arial" w:eastAsia="Arial" w:hAnsi="Arial"/>
                <w:sz w:val="18"/>
                <w:szCs w:val="18"/>
                <w:color w:val="auto"/>
                <w:w w:val="98"/>
              </w:rPr>
              <w:t>Three Months Ended June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7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gridSpan w:val="3"/>
          </w:tcPr>
          <w:p>
            <w:pPr>
              <w:jc w:val="right"/>
              <w:ind w:right="140"/>
              <w:spacing w:after="0"/>
              <w:rPr>
                <w:sz w:val="20"/>
                <w:szCs w:val="20"/>
                <w:color w:val="auto"/>
              </w:rPr>
            </w:pPr>
            <w:r>
              <w:rPr>
                <w:rFonts w:ascii="Arial" w:cs="Arial" w:eastAsia="Arial" w:hAnsi="Arial"/>
                <w:sz w:val="18"/>
                <w:szCs w:val="18"/>
                <w:color w:val="auto"/>
                <w:w w:val="79"/>
              </w:rPr>
              <w:t>30,</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5"/>
          </w:tcPr>
          <w:p>
            <w:pPr>
              <w:jc w:val="right"/>
              <w:spacing w:after="0"/>
              <w:rPr>
                <w:sz w:val="20"/>
                <w:szCs w:val="20"/>
                <w:color w:val="auto"/>
              </w:rPr>
            </w:pPr>
            <w:r>
              <w:rPr>
                <w:rFonts w:ascii="Arial" w:cs="Arial" w:eastAsia="Arial" w:hAnsi="Arial"/>
                <w:sz w:val="18"/>
                <w:szCs w:val="18"/>
                <w:color w:val="auto"/>
                <w:w w:val="93"/>
              </w:rPr>
              <w:t>Six Months Ended June 30,</w:t>
            </w:r>
          </w:p>
        </w:tc>
      </w:tr>
      <w:tr>
        <w:trPr>
          <w:trHeight w:val="27"/>
        </w:trPr>
        <w:tc>
          <w:tcPr>
            <w:tcW w:w="70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7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2014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2013</w:t>
            </w:r>
          </w:p>
        </w:tc>
      </w:tr>
      <w:tr>
        <w:trPr>
          <w:trHeight w:val="27"/>
        </w:trPr>
        <w:tc>
          <w:tcPr>
            <w:tcW w:w="7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70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Mainline operating special items, net </w:t>
            </w:r>
            <w:r>
              <w:rPr>
                <w:rFonts w:ascii="Arial" w:cs="Arial" w:eastAsia="Arial" w:hAnsi="Arial"/>
                <w:sz w:val="25"/>
                <w:szCs w:val="25"/>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Regional operating special items, net</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Nonoperating special items, net </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70"/>
        </w:trPr>
        <w:tc>
          <w:tcPr>
            <w:tcW w:w="70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Reorganization items, net </w:t>
            </w:r>
            <w:r>
              <w:rPr>
                <w:rFonts w:ascii="Arial" w:cs="Arial" w:eastAsia="Arial" w:hAnsi="Arial"/>
                <w:sz w:val="25"/>
                <w:szCs w:val="25"/>
                <w:color w:val="auto"/>
                <w:vertAlign w:val="superscript"/>
              </w:rPr>
              <w:t>(3)</w:t>
            </w: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283</w:t>
            </w:r>
          </w:p>
        </w:tc>
      </w:tr>
      <w:tr>
        <w:trPr>
          <w:trHeight w:val="270"/>
        </w:trPr>
        <w:tc>
          <w:tcPr>
            <w:tcW w:w="7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Income tax special items, net </w:t>
            </w:r>
            <w:r>
              <w:rPr>
                <w:rFonts w:ascii="Arial" w:cs="Arial" w:eastAsia="Arial" w:hAnsi="Arial"/>
                <w:sz w:val="25"/>
                <w:szCs w:val="25"/>
                <w:color w:val="auto"/>
                <w:vertAlign w:val="superscript"/>
              </w:rPr>
              <w:t>(4)</w:t>
            </w:r>
          </w:p>
        </w:tc>
        <w:tc>
          <w:tcPr>
            <w:tcW w:w="1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000" w:type="dxa"/>
            <w:vAlign w:val="bottom"/>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511</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393</w:t>
            </w:r>
          </w:p>
        </w:tc>
      </w:tr>
      <w:tr>
        <w:trPr>
          <w:trHeight w:val="20"/>
        </w:trPr>
        <w:tc>
          <w:tcPr>
            <w:tcW w:w="7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340" w:hanging="332"/>
        <w:spacing w:after="0" w:line="241" w:lineRule="auto"/>
        <w:tabs>
          <w:tab w:leader="none" w:pos="235"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The 2014 second quarter mainline operating special items totaled a net charge of $179 million, which principally included $99 million of merger integration expenses related to information technology, professional fees, severance, re-branding of aircraft and airport facilities, relocation and training as well as a net $40 million charge for bankruptcy related items primarily reflecting fair value adjustments for bankruptcy settlement obligations and $26 million in charges relating to the buyout of leases associated with certain aircraft. The 2014 six month period mainline operating special items totaled a net credit of $37 million, which principally included a $305 million gain on the sale of slots at DCA and a net $16 million credit for bankruptcy related items primarily reflecting fair value adjustments for bankruptcy settlement obligations. These special credits were offset in part by $234 million of merger integration expenses as described above as well as $29 million in charges primarily relating to the buyout of leases associated with certain aircraft.</w:t>
      </w:r>
    </w:p>
    <w:p>
      <w:pPr>
        <w:spacing w:after="0" w:line="3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2013 second quarter mainline operating special items primarily consisted of merger related expenses. The 2013 six month period included $40 million in merger related expenses and a $43 million charge for workers' compensation claims.</w:t>
      </w:r>
    </w:p>
    <w:p>
      <w:pPr>
        <w:spacing w:after="0" w:line="8" w:lineRule="exact"/>
        <w:rPr>
          <w:sz w:val="20"/>
          <w:szCs w:val="20"/>
          <w:color w:val="auto"/>
        </w:rPr>
      </w:pPr>
    </w:p>
    <w:p>
      <w:pPr>
        <w:ind w:left="340" w:hanging="332"/>
        <w:spacing w:after="0" w:line="216" w:lineRule="auto"/>
        <w:tabs>
          <w:tab w:leader="none" w:pos="221"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The 2014 six month period nonoperating special items of $40 million were primarily due to non-cash interest accretion on the bankruptcy settlement obligations.</w:t>
      </w:r>
    </w:p>
    <w:p>
      <w:pPr>
        <w:spacing w:after="0" w:line="41"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The 2013 six month period nonoperating special items consisted of interest charges to recognize post-petition interest expense on unsecured obligations pursuant to the Plan.</w:t>
      </w:r>
    </w:p>
    <w:p>
      <w:pPr>
        <w:spacing w:after="0" w:line="8" w:lineRule="exact"/>
        <w:rPr>
          <w:sz w:val="20"/>
          <w:szCs w:val="20"/>
          <w:color w:val="auto"/>
        </w:rPr>
      </w:pPr>
    </w:p>
    <w:p>
      <w:pPr>
        <w:ind w:left="340" w:hanging="332"/>
        <w:spacing w:after="0" w:line="216" w:lineRule="auto"/>
        <w:tabs>
          <w:tab w:leader="none" w:pos="221"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auto"/>
        </w:rPr>
        <w:t>In the 2013 second quarter and six month period, American recognized reorganization expenses as a result of the filing of voluntary petitions for relief under Chapter 11. These amounts consisted primarily of estimated allowed claim amounts and professional fees.</w:t>
      </w:r>
    </w:p>
    <w:p>
      <w:pPr>
        <w:spacing w:after="0" w:line="41" w:lineRule="exact"/>
        <w:rPr>
          <w:rFonts w:ascii="Arial" w:cs="Arial" w:eastAsia="Arial" w:hAnsi="Arial"/>
          <w:sz w:val="25"/>
          <w:szCs w:val="25"/>
          <w:color w:val="auto"/>
          <w:vertAlign w:val="superscript"/>
        </w:rPr>
      </w:pPr>
    </w:p>
    <w:p>
      <w:pPr>
        <w:ind w:left="340" w:hanging="332"/>
        <w:spacing w:after="0" w:line="256" w:lineRule="auto"/>
        <w:tabs>
          <w:tab w:leader="none" w:pos="235" w:val="left"/>
        </w:tabs>
        <w:numPr>
          <w:ilvl w:val="0"/>
          <w:numId w:val="44"/>
        </w:numPr>
        <w:rPr>
          <w:rFonts w:ascii="Arial" w:cs="Arial" w:eastAsia="Arial" w:hAnsi="Arial"/>
          <w:sz w:val="24"/>
          <w:szCs w:val="24"/>
          <w:color w:val="auto"/>
          <w:vertAlign w:val="superscript"/>
        </w:rPr>
      </w:pPr>
      <w:r>
        <w:rPr>
          <w:rFonts w:ascii="Arial" w:cs="Arial" w:eastAsia="Arial" w:hAnsi="Arial"/>
          <w:sz w:val="17"/>
          <w:szCs w:val="17"/>
          <w:color w:val="auto"/>
        </w:rPr>
        <w:t>During the second quarter of 2014, American sold its portfolio of fuel hedging contracts that were scheduled to settle on or after June 30, 2014. In connection with this sale, American recorded a special non-cash tax provision of $328 million in the statement of operations for the second quarter of 2014 that reverses the non-cash tax provision which was recorded in OCI, a subset of stockholders’ equity, principally in 2009. This provision represents the tax effect associated with gains recorded in OCI principally in 2009 due to a net increase in the fair value of American's fuel hedging contracts. In accordance with GAAP, American retained the $328 million tax provision in OCI until the last contract was settled or terminated. In addition, American recorded $7 million in non-cash deferred income tax provision related to certain indefinite-lived intangible assets in the 2014 second quarter. The 2014 six month period included the $328 million non-cash tax provision related to the settlement of fuel hedges discussed above as well as $14 million in non-cash deferred income tax provision related to certain indefinite-lived intangible assets.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26" w:right="239" w:bottom="1440" w:gutter="0" w:footer="0" w:header="0"/>
        </w:sectPr>
      </w:pPr>
    </w:p>
    <w:bookmarkStart w:id="69" w:name="page70"/>
    <w:bookmarkEnd w:id="69"/>
    <w:p>
      <w:pPr>
        <w:jc w:val="both"/>
        <w:ind w:firstLine="648"/>
        <w:spacing w:after="0" w:line="279" w:lineRule="auto"/>
        <w:rPr>
          <w:sz w:val="20"/>
          <w:szCs w:val="20"/>
          <w:color w:val="auto"/>
        </w:rPr>
      </w:pPr>
      <w:r>
        <w:rPr>
          <w:rFonts w:ascii="Arial" w:cs="Arial" w:eastAsia="Arial" w:hAnsi="Arial"/>
          <w:sz w:val="17"/>
          <w:szCs w:val="17"/>
          <w:color w:val="auto"/>
        </w:rPr>
        <w:t>The emergence from bankruptcy resulted in a statutory "ownership change" on December 9, 2013, as defined in Section 382, which limits American's future ability to utilize NOLs generated before the ownership change and certain subsequently recognized "built-in" losses and deductions, if any, existing as of the date of the ownership change. The general limitation rules for a debtor in a bankruptcy case are liberalized where an ownership change occurs upon emergence from bankruptcy. American's ability to utilize any new NOLs arising after the ownership change is not affected.</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December 31, 2013, American had approximately $9.5 billion of gross NOLs to reduce future federal taxable income, the majority of which are expected to be available for use in 2014, subject to the Section 382 limitation described above. The federal NOLs will expire beginning in 2022 if unused. These NOLs include an unrealized tax benefit of $647 million related to the implementation of share-based compensation accounting guidance that will be recorded in equity when realized. American also had approximately $3.8 billion of gross NOLs to reduce future state taxable income at December 31, 2013, which will expire in years 2014 through 2033 if unused. At December 31, 2013, American had an AMT credit carryforward of approximately $467 million available for federal income tax purposes, which is available for an indefinite period. American's net deferred tax assets, which include the NOLs, are subject to a full valuation allowance. At December 31, 2013, the federal and state valuation allowances were $4.9 billion and $378 million, respectively. In accordance with GAAP, utilization of the NOLs after December 9, 2013 will result in a corresponding decrease in the valuation allowance and offset American's tax provision dollar for dollar.</w:t>
      </w:r>
    </w:p>
    <w:p>
      <w:pPr>
        <w:spacing w:after="0" w:line="1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second quarter of 2014, American recorded a special $328 million non-cash income tax provision in connection with the settlement of our fuel hedges as discussed above. In addition, American recorded a special $7 million and $14 million non-cash deferred income tax provision related to certain indefinite-lived intangible assets in the 2014 second quarter and 2014 six month period, respectively.</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three and six months ended June 30, 2014, American recorded $1 million and $5 million, respectively, of state and international income tax expense related to certain states and countries where NOLs were limited or unavailable to be used.</w:t>
      </w:r>
    </w:p>
    <w:p>
      <w:pPr>
        <w:spacing w:after="0" w:line="11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American did not record an income tax provision in the 2013 second quarter. For the six months ended June 30, 2013, American reported a loss before income taxes and recorded an income tax benefit of approximately $30 million as a result of the American Taxpayer Relief Act of 2012.</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30" w:right="239" w:bottom="1440" w:gutter="0" w:footer="0" w:header="0"/>
        </w:sectPr>
      </w:pPr>
    </w:p>
    <w:bookmarkStart w:id="70" w:name="page71"/>
    <w:bookmarkEnd w:id="70"/>
    <w:p>
      <w:pPr>
        <w:ind w:left="660"/>
        <w:spacing w:after="0"/>
        <w:rPr>
          <w:sz w:val="20"/>
          <w:szCs w:val="20"/>
          <w:color w:val="auto"/>
        </w:rPr>
      </w:pPr>
      <w:r>
        <w:rPr>
          <w:rFonts w:ascii="Arial" w:cs="Arial" w:eastAsia="Arial" w:hAnsi="Arial"/>
          <w:sz w:val="18"/>
          <w:szCs w:val="18"/>
          <w:b w:val="1"/>
          <w:bCs w:val="1"/>
          <w:i w:val="1"/>
          <w:iCs w:val="1"/>
          <w:color w:val="auto"/>
        </w:rPr>
        <w:t>Three Months Ended June 30, 2014 Compared to Three Months Ended June 30, 2013</w:t>
      </w:r>
    </w:p>
    <w:p>
      <w:pPr>
        <w:spacing w:after="0" w:line="14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To conform to current year presentation, certain revenues and expenses in prior years have been reclassified. As a result, prior year amounts may not agree to the amounts previously reported. See Note 1 to American's condensed consolidated financial statements in Part I, Item 1B for additional information.</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gridSpan w:val="3"/>
          </w:tcPr>
          <w:p>
            <w:pPr>
              <w:ind w:left="660"/>
              <w:spacing w:after="0"/>
              <w:rPr>
                <w:sz w:val="20"/>
                <w:szCs w:val="20"/>
                <w:color w:val="auto"/>
              </w:rPr>
            </w:pPr>
            <w:r>
              <w:rPr>
                <w:rFonts w:ascii="Arial" w:cs="Arial" w:eastAsia="Arial" w:hAnsi="Arial"/>
                <w:sz w:val="18"/>
                <w:szCs w:val="18"/>
                <w:i w:val="1"/>
                <w:iCs w:val="1"/>
                <w:color w:val="auto"/>
              </w:rPr>
              <w:t>Operating Revenues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66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3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gridSpan w:val="4"/>
            <w:vMerge w:val="restart"/>
          </w:tcPr>
          <w:p>
            <w:pPr>
              <w:jc w:val="right"/>
              <w:ind w:right="110"/>
              <w:spacing w:after="0"/>
              <w:rPr>
                <w:sz w:val="20"/>
                <w:szCs w:val="20"/>
                <w:color w:val="auto"/>
              </w:rPr>
            </w:pPr>
            <w:r>
              <w:rPr>
                <w:rFonts w:ascii="Arial" w:cs="Arial" w:eastAsia="Arial" w:hAnsi="Arial"/>
                <w:sz w:val="18"/>
                <w:szCs w:val="18"/>
                <w:color w:val="auto"/>
                <w:w w:val="90"/>
              </w:rPr>
              <w:t>Three Months Ended June 30,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6"/>
              </w:rPr>
              <w:t>Percent</w:t>
            </w:r>
          </w:p>
        </w:tc>
        <w:tc>
          <w:tcPr>
            <w:tcW w:w="0" w:type="dxa"/>
            <w:vAlign w:val="bottom"/>
          </w:tcPr>
          <w:p>
            <w:pPr>
              <w:spacing w:after="0"/>
              <w:rPr>
                <w:sz w:val="1"/>
                <w:szCs w:val="1"/>
                <w:color w:val="auto"/>
              </w:rPr>
            </w:pPr>
          </w:p>
        </w:tc>
      </w:tr>
      <w:tr>
        <w:trPr>
          <w:trHeight w:val="82"/>
        </w:trPr>
        <w:tc>
          <w:tcPr>
            <w:tcW w:w="6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3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2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86"/>
              </w:rPr>
              <w:t>Increase</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6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3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51"/>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color w:val="auto"/>
                <w:w w:val="84"/>
              </w:rPr>
              <w:t>2013</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(Decrease)</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color w:val="auto"/>
              </w:rPr>
              <w:t>(In millions)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Mainline passenger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4,888</w:t>
            </w:r>
          </w:p>
        </w:tc>
        <w:tc>
          <w:tcPr>
            <w:tcW w:w="11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Regional passenger</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752</w:t>
            </w: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Cargo</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1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628</w:t>
            </w: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6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Total operating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6,437</w:t>
            </w:r>
          </w:p>
        </w:tc>
        <w:tc>
          <w:tcPr>
            <w:tcW w:w="11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Total operating revenues in the second quarter of 2014 increased $716 million, or 11.1%, from the 2013 period which was driven by strong demand for air travel. Significant changes in the components of operating revenues are as follows:</w:t>
      </w:r>
    </w:p>
    <w:p>
      <w:pPr>
        <w:spacing w:after="0" w:line="170" w:lineRule="exact"/>
        <w:rPr>
          <w:sz w:val="20"/>
          <w:szCs w:val="20"/>
          <w:color w:val="auto"/>
        </w:rPr>
      </w:pPr>
    </w:p>
    <w:p>
      <w:pPr>
        <w:ind w:left="340" w:right="2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Mainline passenger revenues increased $464 million, or 9.5%, in the second quarter of 2014 from the 2013 period due to higher yields and ASMs, offset in part by slightly lower load factors.</w:t>
      </w:r>
    </w:p>
    <w:p>
      <w:pPr>
        <w:spacing w:after="0" w:line="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Cargo revenues increased $9 million, or 5.3%, in the second quarter of 2014 from the 2013 period driven primarily by an increase in transatlantic freight volumes.</w:t>
      </w:r>
    </w:p>
    <w:p>
      <w:pPr>
        <w:spacing w:after="0" w:line="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revenues increased $209 million, or 33.3%, in the second quarter of 2014 from the 2013 period driven primarily by higher revenues associated with American's frequent flyer program.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03"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5260" w:type="dxa"/>
            <w:vAlign w:val="bottom"/>
            <w:gridSpan w:val="3"/>
          </w:tcPr>
          <w:p>
            <w:pPr>
              <w:jc w:val="center"/>
              <w:ind w:right="2480"/>
              <w:spacing w:after="0"/>
              <w:rPr>
                <w:sz w:val="20"/>
                <w:szCs w:val="20"/>
                <w:color w:val="auto"/>
              </w:rPr>
            </w:pPr>
            <w:r>
              <w:rPr>
                <w:rFonts w:ascii="Arial" w:cs="Arial" w:eastAsia="Arial" w:hAnsi="Arial"/>
                <w:sz w:val="18"/>
                <w:szCs w:val="18"/>
                <w:i w:val="1"/>
                <w:iCs w:val="1"/>
                <w:color w:val="auto"/>
                <w:w w:val="89"/>
              </w:rPr>
              <w:t>Operating Expenses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66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3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4"/>
            <w:vMerge w:val="restart"/>
          </w:tcPr>
          <w:p>
            <w:pPr>
              <w:jc w:val="right"/>
              <w:ind w:right="90"/>
              <w:spacing w:after="0"/>
              <w:rPr>
                <w:sz w:val="20"/>
                <w:szCs w:val="20"/>
                <w:color w:val="auto"/>
              </w:rPr>
            </w:pPr>
            <w:r>
              <w:rPr>
                <w:rFonts w:ascii="Arial" w:cs="Arial" w:eastAsia="Arial" w:hAnsi="Arial"/>
                <w:sz w:val="18"/>
                <w:szCs w:val="18"/>
                <w:color w:val="auto"/>
                <w:w w:val="90"/>
              </w:rPr>
              <w:t>Three Months Ended June 30,</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6"/>
              </w:rPr>
              <w:t>Percent</w:t>
            </w:r>
          </w:p>
        </w:tc>
        <w:tc>
          <w:tcPr>
            <w:tcW w:w="0" w:type="dxa"/>
            <w:vAlign w:val="bottom"/>
          </w:tcPr>
          <w:p>
            <w:pPr>
              <w:spacing w:after="0"/>
              <w:rPr>
                <w:sz w:val="1"/>
                <w:szCs w:val="1"/>
                <w:color w:val="auto"/>
              </w:rPr>
            </w:pPr>
          </w:p>
        </w:tc>
      </w:tr>
      <w:tr>
        <w:trPr>
          <w:trHeight w:val="82"/>
        </w:trPr>
        <w:tc>
          <w:tcPr>
            <w:tcW w:w="6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3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86"/>
              </w:rPr>
              <w:t>Increase</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6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3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51"/>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color w:val="auto"/>
                <w:w w:val="84"/>
              </w:rPr>
              <w:t>2013</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(Decrease)</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color w:val="auto"/>
              </w:rPr>
              <w:t>(In millions)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5260" w:type="dxa"/>
            <w:vAlign w:val="bottom"/>
            <w:gridSpan w:val="3"/>
          </w:tcPr>
          <w:p>
            <w:pPr>
              <w:ind w:left="40"/>
              <w:spacing w:after="0"/>
              <w:rPr>
                <w:sz w:val="20"/>
                <w:szCs w:val="20"/>
                <w:color w:val="auto"/>
              </w:rPr>
            </w:pPr>
            <w:r>
              <w:rPr>
                <w:rFonts w:ascii="Arial" w:cs="Arial" w:eastAsia="Arial" w:hAnsi="Arial"/>
                <w:sz w:val="18"/>
                <w:szCs w:val="18"/>
                <w:color w:val="auto"/>
              </w:rPr>
              <w:t>Salaries, wages and benefits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5260" w:type="dxa"/>
            <w:vAlign w:val="bottom"/>
            <w:gridSpan w:val="3"/>
          </w:tcPr>
          <w:p>
            <w:pPr>
              <w:ind w:left="40"/>
              <w:spacing w:after="0"/>
              <w:rPr>
                <w:sz w:val="20"/>
                <w:szCs w:val="20"/>
                <w:color w:val="auto"/>
              </w:rPr>
            </w:pPr>
            <w:r>
              <w:rPr>
                <w:rFonts w:ascii="Arial" w:cs="Arial" w:eastAsia="Arial" w:hAnsi="Arial"/>
                <w:sz w:val="18"/>
                <w:szCs w:val="18"/>
                <w:color w:val="auto"/>
              </w:rPr>
              <w:t>Other rent and landing fees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43"/>
        </w:trPr>
        <w:tc>
          <w:tcPr>
            <w:tcW w:w="5260" w:type="dxa"/>
            <w:vAlign w:val="bottom"/>
            <w:gridSpan w:val="3"/>
          </w:tcPr>
          <w:p>
            <w:pPr>
              <w:ind w:left="40"/>
              <w:spacing w:after="0"/>
              <w:rPr>
                <w:sz w:val="20"/>
                <w:szCs w:val="20"/>
                <w:color w:val="auto"/>
              </w:rPr>
            </w:pPr>
            <w:r>
              <w:rPr>
                <w:rFonts w:ascii="Arial" w:cs="Arial" w:eastAsia="Arial" w:hAnsi="Arial"/>
                <w:sz w:val="18"/>
                <w:szCs w:val="18"/>
                <w:color w:val="auto"/>
              </w:rPr>
              <w:t>Selling expenses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5260" w:type="dxa"/>
            <w:vAlign w:val="bottom"/>
            <w:gridSpan w:val="3"/>
          </w:tcPr>
          <w:p>
            <w:pPr>
              <w:ind w:left="40"/>
              <w:spacing w:after="0"/>
              <w:rPr>
                <w:sz w:val="20"/>
                <w:szCs w:val="20"/>
                <w:color w:val="auto"/>
              </w:rPr>
            </w:pPr>
            <w:r>
              <w:rPr>
                <w:rFonts w:ascii="Arial" w:cs="Arial" w:eastAsia="Arial" w:hAnsi="Arial"/>
                <w:sz w:val="18"/>
                <w:szCs w:val="18"/>
                <w:color w:val="auto"/>
              </w:rPr>
              <w:t>Special items, net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7"/>
        </w:trPr>
        <w:tc>
          <w:tcPr>
            <w:tcW w:w="5260" w:type="dxa"/>
            <w:vAlign w:val="bottom"/>
            <w:gridSpan w:val="3"/>
          </w:tcPr>
          <w:p>
            <w:pPr>
              <w:jc w:val="center"/>
              <w:ind w:right="2440"/>
              <w:spacing w:after="0"/>
              <w:rPr>
                <w:sz w:val="20"/>
                <w:szCs w:val="20"/>
                <w:color w:val="auto"/>
              </w:rPr>
            </w:pPr>
            <w:r>
              <w:rPr>
                <w:rFonts w:ascii="Arial" w:cs="Arial" w:eastAsia="Arial" w:hAnsi="Arial"/>
                <w:sz w:val="18"/>
                <w:szCs w:val="18"/>
                <w:color w:val="auto"/>
                <w:w w:val="89"/>
              </w:rPr>
              <w:t>Total mainline operating expenses</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Regional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gridSpan w:val="3"/>
          </w:tcPr>
          <w:p>
            <w:pPr>
              <w:ind w:left="280"/>
              <w:spacing w:after="0"/>
              <w:rPr>
                <w:sz w:val="20"/>
                <w:szCs w:val="20"/>
                <w:color w:val="auto"/>
              </w:rPr>
            </w:pPr>
            <w:r>
              <w:rPr>
                <w:rFonts w:ascii="Arial" w:cs="Arial" w:eastAsia="Arial" w:hAnsi="Arial"/>
                <w:sz w:val="18"/>
                <w:szCs w:val="18"/>
                <w:color w:val="auto"/>
              </w:rPr>
              <w:t>Fuel</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7"/>
        </w:trPr>
        <w:tc>
          <w:tcPr>
            <w:tcW w:w="5260" w:type="dxa"/>
            <w:vAlign w:val="bottom"/>
            <w:gridSpan w:val="3"/>
          </w:tcPr>
          <w:p>
            <w:pPr>
              <w:jc w:val="center"/>
              <w:ind w:right="2480"/>
              <w:spacing w:after="0"/>
              <w:rPr>
                <w:sz w:val="20"/>
                <w:szCs w:val="20"/>
                <w:color w:val="auto"/>
              </w:rPr>
            </w:pPr>
            <w:r>
              <w:rPr>
                <w:rFonts w:ascii="Arial" w:cs="Arial" w:eastAsia="Arial" w:hAnsi="Arial"/>
                <w:sz w:val="18"/>
                <w:szCs w:val="18"/>
                <w:color w:val="auto"/>
                <w:w w:val="89"/>
              </w:rPr>
              <w:t>Total regional operating expenses</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6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gridSpan w:val="3"/>
            <w:shd w:val="clear" w:color="auto" w:fill="CCEEFF"/>
          </w:tcPr>
          <w:p>
            <w:pPr>
              <w:jc w:val="center"/>
              <w:ind w:right="2480"/>
              <w:spacing w:after="0"/>
              <w:rPr>
                <w:sz w:val="20"/>
                <w:szCs w:val="20"/>
                <w:color w:val="auto"/>
              </w:rPr>
            </w:pPr>
            <w:r>
              <w:rPr>
                <w:rFonts w:ascii="Arial" w:cs="Arial" w:eastAsia="Arial" w:hAnsi="Arial"/>
                <w:sz w:val="18"/>
                <w:szCs w:val="18"/>
                <w:color w:val="auto"/>
                <w:w w:val="88"/>
              </w:rPr>
              <w:t>Total operating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Total operating expenses in the second quarter of 2014 increased $499 million, or 8.4%, from the 2013 period. Significant changes in the components of mainline operating expenses are as follows:</w:t>
      </w:r>
    </w:p>
    <w:p>
      <w:pPr>
        <w:spacing w:after="0" w:line="170" w:lineRule="exact"/>
        <w:rPr>
          <w:sz w:val="20"/>
          <w:szCs w:val="20"/>
          <w:color w:val="auto"/>
        </w:rPr>
      </w:pPr>
    </w:p>
    <w:p>
      <w:pPr>
        <w:ind w:right="3040" w:firstLine="8"/>
        <w:spacing w:after="0" w:line="331" w:lineRule="auto"/>
        <w:tabs>
          <w:tab w:leader="none" w:pos="324" w:val="left"/>
        </w:tabs>
        <w:numPr>
          <w:ilvl w:val="0"/>
          <w:numId w:val="46"/>
        </w:numPr>
        <w:rPr>
          <w:rFonts w:ascii="Arial" w:cs="Arial" w:eastAsia="Arial" w:hAnsi="Arial"/>
          <w:sz w:val="17"/>
          <w:szCs w:val="17"/>
          <w:color w:val="auto"/>
        </w:rPr>
      </w:pPr>
      <w:r>
        <w:rPr>
          <w:rFonts w:ascii="Arial" w:cs="Arial" w:eastAsia="Arial" w:hAnsi="Arial"/>
          <w:sz w:val="17"/>
          <w:szCs w:val="17"/>
          <w:color w:val="auto"/>
        </w:rPr>
        <w:t>Aircraft fuel and related taxes increased 0.9% primarily due to a increase in the average price per gallon of fuel. •Salaries, wages and benefits increased 12.4% primarily due to merger related labor contracts.</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•Maintenance, materials and repairs increased 9.1% primarily due to an increase in the volume of engine overhauls.</w:t>
      </w:r>
    </w:p>
    <w:p>
      <w:pPr>
        <w:spacing w:after="0" w:line="63" w:lineRule="exact"/>
        <w:rPr>
          <w:rFonts w:ascii="Arial" w:cs="Arial" w:eastAsia="Arial" w:hAnsi="Arial"/>
          <w:sz w:val="17"/>
          <w:szCs w:val="17"/>
          <w:color w:val="auto"/>
        </w:rPr>
      </w:pPr>
    </w:p>
    <w:p>
      <w:pPr>
        <w:ind w:left="660" w:hanging="652"/>
        <w:spacing w:after="0" w:line="277" w:lineRule="auto"/>
        <w:tabs>
          <w:tab w:leader="none" w:pos="336" w:val="left"/>
        </w:tabs>
        <w:numPr>
          <w:ilvl w:val="0"/>
          <w:numId w:val="46"/>
        </w:numPr>
        <w:rPr>
          <w:rFonts w:ascii="Arial" w:cs="Arial" w:eastAsia="Arial" w:hAnsi="Arial"/>
          <w:sz w:val="18"/>
          <w:szCs w:val="18"/>
          <w:color w:val="auto"/>
        </w:rPr>
      </w:pPr>
      <w:r>
        <w:rPr>
          <w:rFonts w:ascii="Arial" w:cs="Arial" w:eastAsia="Arial" w:hAnsi="Arial"/>
          <w:sz w:val="18"/>
          <w:szCs w:val="18"/>
          <w:color w:val="auto"/>
        </w:rPr>
        <w:t>Aircraft rent increased 17.9% primarily as a result of new leased aircraft deliveries since the end of the 2013 second quarter as American continues its fleet renewal program.</w:t>
      </w:r>
    </w:p>
    <w:p>
      <w:pPr>
        <w:spacing w:after="0" w:line="8" w:lineRule="exact"/>
        <w:rPr>
          <w:rFonts w:ascii="Arial" w:cs="Arial" w:eastAsia="Arial" w:hAnsi="Arial"/>
          <w:sz w:val="18"/>
          <w:szCs w:val="18"/>
          <w:color w:val="auto"/>
        </w:rPr>
      </w:pPr>
    </w:p>
    <w:p>
      <w:pPr>
        <w:ind w:left="660" w:hanging="652"/>
        <w:spacing w:after="0" w:line="277" w:lineRule="auto"/>
        <w:tabs>
          <w:tab w:leader="none" w:pos="336"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Depreciation and amortization increased 6.4% primarily as a result of new purchased aircraft deliveries since the end of the 2013 second quarter as American continues its fleet renewal program.</w:t>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17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Total regional expenses increased $43 million, or 5.7%, in the second quarter of 2014 from the 2013 period. This increase is primarily due to higher expenses associated with certain capacity purchase agreements.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gridSpan w:val="3"/>
          </w:tcPr>
          <w:p>
            <w:pPr>
              <w:ind w:left="660"/>
              <w:spacing w:after="0"/>
              <w:rPr>
                <w:sz w:val="20"/>
                <w:szCs w:val="20"/>
                <w:color w:val="auto"/>
              </w:rPr>
            </w:pPr>
            <w:r>
              <w:rPr>
                <w:rFonts w:ascii="Arial" w:cs="Arial" w:eastAsia="Arial" w:hAnsi="Arial"/>
                <w:sz w:val="18"/>
                <w:szCs w:val="18"/>
                <w:i w:val="1"/>
                <w:iCs w:val="1"/>
                <w:color w:val="auto"/>
              </w:rPr>
              <w:t>Nonoperating Income (Expense)</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660" w:type="dxa"/>
            <w:vAlign w:val="bottom"/>
          </w:tcPr>
          <w:p>
            <w:pPr>
              <w:spacing w:after="0"/>
              <w:rPr>
                <w:sz w:val="24"/>
                <w:szCs w:val="24"/>
                <w:color w:val="auto"/>
              </w:rPr>
            </w:pPr>
          </w:p>
        </w:tc>
        <w:tc>
          <w:tcPr>
            <w:tcW w:w="2340" w:type="dxa"/>
            <w:vAlign w:val="bottom"/>
            <w:tcBorders>
              <w:top w:val="single" w:sz="8" w:color="auto"/>
            </w:tcBorders>
          </w:tcPr>
          <w:p>
            <w:pPr>
              <w:spacing w:after="0"/>
              <w:rPr>
                <w:sz w:val="24"/>
                <w:szCs w:val="24"/>
                <w:color w:val="auto"/>
              </w:rPr>
            </w:pPr>
          </w:p>
        </w:tc>
        <w:tc>
          <w:tcPr>
            <w:tcW w:w="2200" w:type="dxa"/>
            <w:vAlign w:val="bottom"/>
          </w:tcPr>
          <w:p>
            <w:pPr>
              <w:spacing w:after="0"/>
              <w:rPr>
                <w:sz w:val="24"/>
                <w:szCs w:val="24"/>
                <w:color w:val="auto"/>
              </w:rPr>
            </w:pPr>
          </w:p>
        </w:tc>
        <w:tc>
          <w:tcPr>
            <w:tcW w:w="2620" w:type="dxa"/>
            <w:vAlign w:val="bottom"/>
            <w:gridSpan w:val="5"/>
            <w:vMerge w:val="restart"/>
          </w:tcPr>
          <w:p>
            <w:pPr>
              <w:jc w:val="right"/>
              <w:ind w:right="110"/>
              <w:spacing w:after="0"/>
              <w:rPr>
                <w:sz w:val="20"/>
                <w:szCs w:val="20"/>
                <w:color w:val="auto"/>
              </w:rPr>
            </w:pPr>
            <w:r>
              <w:rPr>
                <w:rFonts w:ascii="Arial" w:cs="Arial" w:eastAsia="Arial" w:hAnsi="Arial"/>
                <w:sz w:val="18"/>
                <w:szCs w:val="18"/>
                <w:color w:val="auto"/>
                <w:w w:val="99"/>
              </w:rPr>
              <w:t>Three Months Ended June 30,</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6"/>
              </w:rPr>
              <w:t>Percent</w:t>
            </w:r>
          </w:p>
        </w:tc>
        <w:tc>
          <w:tcPr>
            <w:tcW w:w="0" w:type="dxa"/>
            <w:vAlign w:val="bottom"/>
          </w:tcPr>
          <w:p>
            <w:pPr>
              <w:spacing w:after="0"/>
              <w:rPr>
                <w:sz w:val="1"/>
                <w:szCs w:val="1"/>
                <w:color w:val="auto"/>
              </w:rPr>
            </w:pPr>
          </w:p>
        </w:tc>
      </w:tr>
      <w:tr>
        <w:trPr>
          <w:trHeight w:val="82"/>
        </w:trPr>
        <w:tc>
          <w:tcPr>
            <w:tcW w:w="660" w:type="dxa"/>
            <w:vAlign w:val="bottom"/>
          </w:tcPr>
          <w:p>
            <w:pPr>
              <w:spacing w:after="0"/>
              <w:rPr>
                <w:sz w:val="7"/>
                <w:szCs w:val="7"/>
                <w:color w:val="auto"/>
              </w:rPr>
            </w:pPr>
          </w:p>
        </w:tc>
        <w:tc>
          <w:tcPr>
            <w:tcW w:w="2340" w:type="dxa"/>
            <w:vAlign w:val="bottom"/>
          </w:tcPr>
          <w:p>
            <w:pPr>
              <w:spacing w:after="0"/>
              <w:rPr>
                <w:sz w:val="7"/>
                <w:szCs w:val="7"/>
                <w:color w:val="auto"/>
              </w:rPr>
            </w:pPr>
          </w:p>
        </w:tc>
        <w:tc>
          <w:tcPr>
            <w:tcW w:w="2200" w:type="dxa"/>
            <w:vAlign w:val="bottom"/>
          </w:tcPr>
          <w:p>
            <w:pPr>
              <w:spacing w:after="0"/>
              <w:rPr>
                <w:sz w:val="7"/>
                <w:szCs w:val="7"/>
                <w:color w:val="auto"/>
              </w:rPr>
            </w:pPr>
          </w:p>
        </w:tc>
        <w:tc>
          <w:tcPr>
            <w:tcW w:w="262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86"/>
              </w:rPr>
              <w:t>Increase</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660" w:type="dxa"/>
            <w:vAlign w:val="bottom"/>
          </w:tcPr>
          <w:p>
            <w:pPr>
              <w:spacing w:after="0"/>
              <w:rPr>
                <w:sz w:val="7"/>
                <w:szCs w:val="7"/>
                <w:color w:val="auto"/>
              </w:rPr>
            </w:pPr>
          </w:p>
        </w:tc>
        <w:tc>
          <w:tcPr>
            <w:tcW w:w="2340" w:type="dxa"/>
            <w:vAlign w:val="bottom"/>
          </w:tcPr>
          <w:p>
            <w:pPr>
              <w:spacing w:after="0"/>
              <w:rPr>
                <w:sz w:val="7"/>
                <w:szCs w:val="7"/>
                <w:color w:val="auto"/>
              </w:rPr>
            </w:pPr>
          </w:p>
        </w:tc>
        <w:tc>
          <w:tcPr>
            <w:tcW w:w="2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2014</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color w:val="auto"/>
                <w:w w:val="84"/>
              </w:rPr>
              <w:t>2013</w:t>
            </w: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(Decrease)</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(In millions)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200" w:type="dxa"/>
            <w:vAlign w:val="bottom"/>
            <w:gridSpan w:val="3"/>
          </w:tcPr>
          <w:p>
            <w:pPr>
              <w:ind w:left="40"/>
              <w:spacing w:after="0"/>
              <w:rPr>
                <w:sz w:val="20"/>
                <w:szCs w:val="20"/>
                <w:color w:val="auto"/>
              </w:rPr>
            </w:pPr>
            <w:r>
              <w:rPr>
                <w:rFonts w:ascii="Arial" w:cs="Arial" w:eastAsia="Arial" w:hAnsi="Arial"/>
                <w:sz w:val="18"/>
                <w:szCs w:val="18"/>
                <w:color w:val="auto"/>
              </w:rPr>
              <w:t>Interest income</w:t>
            </w: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 net of capitalized interest</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5200" w:type="dxa"/>
            <w:vAlign w:val="bottom"/>
            <w:gridSpan w:val="3"/>
          </w:tcPr>
          <w:p>
            <w:pPr>
              <w:ind w:left="40"/>
              <w:spacing w:after="0"/>
              <w:rPr>
                <w:sz w:val="20"/>
                <w:szCs w:val="20"/>
                <w:color w:val="auto"/>
              </w:rPr>
            </w:pPr>
            <w:r>
              <w:rPr>
                <w:rFonts w:ascii="Arial" w:cs="Arial" w:eastAsia="Arial" w:hAnsi="Arial"/>
                <w:sz w:val="18"/>
                <w:szCs w:val="18"/>
                <w:color w:val="auto"/>
              </w:rPr>
              <w:t>Other, net</w:t>
            </w:r>
          </w:p>
        </w:tc>
        <w:tc>
          <w:tcPr>
            <w:tcW w:w="820" w:type="dxa"/>
            <w:vAlign w:val="bottom"/>
          </w:tcPr>
          <w:p>
            <w:pPr>
              <w:spacing w:after="0"/>
              <w:rPr>
                <w:sz w:val="21"/>
                <w:szCs w:val="21"/>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66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Total nonoperating expense, net</w:t>
            </w: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Interest income was $6 million and $5 million in the second quarter of 2014 and 2013, respectively. American's short-term investments in each period consisted of highly liquid investments which provided nominal returns.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13" w:right="239" w:bottom="1440" w:gutter="0" w:footer="0" w:header="0"/>
        </w:sectPr>
      </w:pPr>
    </w:p>
    <w:bookmarkStart w:id="72" w:name="page73"/>
    <w:bookmarkEnd w:id="72"/>
    <w:p>
      <w:pPr>
        <w:jc w:val="both"/>
        <w:ind w:firstLine="648"/>
        <w:spacing w:after="0" w:line="277" w:lineRule="auto"/>
        <w:rPr>
          <w:sz w:val="20"/>
          <w:szCs w:val="20"/>
          <w:color w:val="auto"/>
        </w:rPr>
      </w:pPr>
      <w:r>
        <w:rPr>
          <w:rFonts w:ascii="Arial" w:cs="Arial" w:eastAsia="Arial" w:hAnsi="Arial"/>
          <w:sz w:val="18"/>
          <w:szCs w:val="18"/>
          <w:color w:val="auto"/>
        </w:rPr>
        <w:t>Interest expense, net of capitalized interest decreased $8 million, or 5.4%, in the second quarter of 2014 from the 2013 period principally due to interest expense recorded in the 2013 second quarter relating to unsecured obligations pursuant to the Plan.</w:t>
      </w:r>
    </w:p>
    <w:p>
      <w:pPr>
        <w:spacing w:after="0" w:line="1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nonoperating income, net increased $23 million in the second quarter of 2014 from the 2013 period primarily due to the weakening of the U.S. dollar in foreign currency transactions. The second quarter of 2014 included $11 million in net foreign currency gains as compared to $23 million in net foreign currency losses in the 2013 period.</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Reorganization Items, Net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Reorganization items refer to revenues, expenses (including professional fees), realized gains and losses and provisions for losses that are realized or incurred as a direct result of the filing of voluntary petitions for relief under Chapter 11, which were filed in November of 2011. The following table summarizes the components included in reorganization items, net on American's condensed consolidated statement of operations for the three months ended June 30, 2013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9720" w:type="dxa"/>
            <w:vAlign w:val="bottom"/>
          </w:tcPr>
          <w:p>
            <w:pPr>
              <w:ind w:left="40"/>
              <w:spacing w:after="0"/>
              <w:rPr>
                <w:sz w:val="20"/>
                <w:szCs w:val="20"/>
                <w:color w:val="auto"/>
              </w:rPr>
            </w:pPr>
            <w:r>
              <w:rPr>
                <w:rFonts w:ascii="Arial" w:cs="Arial" w:eastAsia="Arial" w:hAnsi="Arial"/>
                <w:sz w:val="18"/>
                <w:szCs w:val="18"/>
                <w:color w:val="auto"/>
              </w:rPr>
              <w:t xml:space="preserve">Aircraft and facility financing renegotiations and rejections </w:t>
            </w:r>
            <w:r>
              <w:rPr>
                <w:rFonts w:ascii="Arial" w:cs="Arial" w:eastAsia="Arial" w:hAnsi="Arial"/>
                <w:sz w:val="25"/>
                <w:szCs w:val="25"/>
                <w:color w:val="auto"/>
                <w:vertAlign w:val="superscript"/>
              </w:rPr>
              <w:t>(1)</w:t>
            </w: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w:t>
            </w:r>
          </w:p>
        </w:tc>
        <w:tc>
          <w:tcPr>
            <w:tcW w:w="7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Other</w:t>
            </w:r>
          </w:p>
        </w:tc>
        <w:tc>
          <w:tcPr>
            <w:tcW w:w="7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97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reorganization items, net</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r>
      <w:tr>
        <w:trPr>
          <w:trHeight w:val="20"/>
        </w:trPr>
        <w:tc>
          <w:tcPr>
            <w:tcW w:w="9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left="340" w:hanging="332"/>
        <w:spacing w:after="0" w:line="250" w:lineRule="auto"/>
        <w:tabs>
          <w:tab w:leader="none" w:pos="340" w:val="left"/>
        </w:tabs>
        <w:numPr>
          <w:ilvl w:val="0"/>
          <w:numId w:val="47"/>
        </w:numPr>
        <w:rPr>
          <w:rFonts w:ascii="Arial" w:cs="Arial" w:eastAsia="Arial" w:hAnsi="Arial"/>
          <w:sz w:val="24"/>
          <w:szCs w:val="24"/>
          <w:color w:val="auto"/>
          <w:vertAlign w:val="superscript"/>
        </w:rPr>
      </w:pPr>
      <w:r>
        <w:rPr>
          <w:rFonts w:ascii="Arial" w:cs="Arial" w:eastAsia="Arial" w:hAnsi="Arial"/>
          <w:sz w:val="17"/>
          <w:szCs w:val="17"/>
          <w:color w:val="auto"/>
        </w:rPr>
        <w:t>Amounts include allowed claims (claims approved by the Bankruptcy Court) and estimated allowed claims relating to (i) the rejection or modification of financings related to aircraft and (ii) entry of orders treated as unsecured claims with respect to facility agreements supporting certain issuances of special facility revenue bonds. The Debtors recorded an estimated claim associated with the rejection or modification of a financing or facility agreement when the applicable motion was filed with the Bankruptcy Court to reject or modify such financing and the Debtors believed that it was probable the motion would be approved, and there was sufficient information to estimate the claim.</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368" w:right="239" w:bottom="1440" w:gutter="0" w:footer="0" w:header="0"/>
        </w:sectPr>
      </w:pPr>
    </w:p>
    <w:bookmarkStart w:id="73" w:name="page74"/>
    <w:bookmarkEnd w:id="73"/>
    <w:p>
      <w:pPr>
        <w:ind w:left="660"/>
        <w:spacing w:after="0"/>
        <w:rPr>
          <w:sz w:val="20"/>
          <w:szCs w:val="20"/>
          <w:color w:val="auto"/>
        </w:rPr>
      </w:pPr>
      <w:r>
        <w:rPr>
          <w:rFonts w:ascii="Arial" w:cs="Arial" w:eastAsia="Arial" w:hAnsi="Arial"/>
          <w:sz w:val="18"/>
          <w:szCs w:val="18"/>
          <w:b w:val="1"/>
          <w:bCs w:val="1"/>
          <w:i w:val="1"/>
          <w:iCs w:val="1"/>
          <w:color w:val="auto"/>
        </w:rPr>
        <w:t>Six Months Ended June 30, 2014 Compared to Six Months Ended June 30, 2013</w:t>
      </w:r>
    </w:p>
    <w:p>
      <w:pPr>
        <w:spacing w:after="0" w:line="14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To conform to current year presentation, certain revenues and expenses in prior years have been reclassified. As a result, prior year amounts may not agree to the amounts previously reported. See Note 1 to American's condensed consolidated financial statements in Part I, Item 1B for additional information.</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gridSpan w:val="3"/>
          </w:tcPr>
          <w:p>
            <w:pPr>
              <w:ind w:left="660"/>
              <w:spacing w:after="0"/>
              <w:rPr>
                <w:sz w:val="20"/>
                <w:szCs w:val="20"/>
                <w:color w:val="auto"/>
              </w:rPr>
            </w:pPr>
            <w:r>
              <w:rPr>
                <w:rFonts w:ascii="Arial" w:cs="Arial" w:eastAsia="Arial" w:hAnsi="Arial"/>
                <w:sz w:val="18"/>
                <w:szCs w:val="18"/>
                <w:i w:val="1"/>
                <w:iCs w:val="1"/>
                <w:color w:val="auto"/>
              </w:rPr>
              <w:t>Operating Revenues</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66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3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4"/>
            <w:vMerge w:val="restart"/>
          </w:tcPr>
          <w:p>
            <w:pPr>
              <w:jc w:val="right"/>
              <w:ind w:right="190"/>
              <w:spacing w:after="0"/>
              <w:rPr>
                <w:sz w:val="20"/>
                <w:szCs w:val="20"/>
                <w:color w:val="auto"/>
              </w:rPr>
            </w:pPr>
            <w:r>
              <w:rPr>
                <w:rFonts w:ascii="Arial" w:cs="Arial" w:eastAsia="Arial" w:hAnsi="Arial"/>
                <w:sz w:val="18"/>
                <w:szCs w:val="18"/>
                <w:color w:val="auto"/>
                <w:w w:val="93"/>
              </w:rPr>
              <w:t>Six Months Ended June 30,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6"/>
              </w:rPr>
              <w:t>Percent</w:t>
            </w:r>
          </w:p>
        </w:tc>
        <w:tc>
          <w:tcPr>
            <w:tcW w:w="0" w:type="dxa"/>
            <w:vAlign w:val="bottom"/>
          </w:tcPr>
          <w:p>
            <w:pPr>
              <w:spacing w:after="0"/>
              <w:rPr>
                <w:sz w:val="1"/>
                <w:szCs w:val="1"/>
                <w:color w:val="auto"/>
              </w:rPr>
            </w:pPr>
          </w:p>
        </w:tc>
      </w:tr>
      <w:tr>
        <w:trPr>
          <w:trHeight w:val="82"/>
        </w:trPr>
        <w:tc>
          <w:tcPr>
            <w:tcW w:w="6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3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3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86"/>
              </w:rPr>
              <w:t>Increase</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6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3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51"/>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color w:val="auto"/>
                <w:w w:val="84"/>
              </w:rPr>
              <w:t>2013</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(Decrease)</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color w:val="auto"/>
              </w:rPr>
              <w:t>(In millions)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Mainline passenger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11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Regional passenger</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1,431</w:t>
            </w: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Cargo</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1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536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1,264</w:t>
            </w: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
        </w:trPr>
        <w:tc>
          <w:tcPr>
            <w:tcW w:w="6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6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Total operating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12,522</w:t>
            </w:r>
          </w:p>
        </w:tc>
        <w:tc>
          <w:tcPr>
            <w:tcW w:w="11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Total operating revenues in the first six months of 2014 increased $1.1 billion, or 8.8%, from the 2013 period which was driven by strong demand for air travel. Significant changes in the components of operating revenues are as follows:</w:t>
      </w:r>
    </w:p>
    <w:p>
      <w:pPr>
        <w:spacing w:after="0" w:line="170" w:lineRule="exact"/>
        <w:rPr>
          <w:sz w:val="20"/>
          <w:szCs w:val="20"/>
          <w:color w:val="auto"/>
        </w:rPr>
      </w:pPr>
    </w:p>
    <w:p>
      <w:pPr>
        <w:ind w:left="340" w:hanging="332"/>
        <w:spacing w:after="0" w:line="277"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Mainline passenger revenues increased $756 million or 8.0%, in the first six months of 2014 from the 2013 period due to higher yields and ASMs, offset in part by slightly lower load factors.</w:t>
      </w:r>
    </w:p>
    <w:p>
      <w:pPr>
        <w:spacing w:after="0" w:line="8"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Cargo revenues increased $21 million, or 6.5%, in the first six months of 2014 from the 2013 period driven primarily by an increase in transatlantic freight volumes.</w:t>
      </w:r>
    </w:p>
    <w:p>
      <w:pPr>
        <w:spacing w:after="0" w:line="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revenues increased $299 million, or 23.6%, in the first six months of 2014 from the 2013 period driven primarily by higher revenues associated with American's frequent flyer program.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503"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5080" w:type="dxa"/>
            <w:vAlign w:val="bottom"/>
            <w:gridSpan w:val="3"/>
          </w:tcPr>
          <w:p>
            <w:pPr>
              <w:jc w:val="center"/>
              <w:ind w:right="2300"/>
              <w:spacing w:after="0"/>
              <w:rPr>
                <w:sz w:val="20"/>
                <w:szCs w:val="20"/>
                <w:color w:val="auto"/>
              </w:rPr>
            </w:pPr>
            <w:r>
              <w:rPr>
                <w:rFonts w:ascii="Arial" w:cs="Arial" w:eastAsia="Arial" w:hAnsi="Arial"/>
                <w:sz w:val="18"/>
                <w:szCs w:val="18"/>
                <w:i w:val="1"/>
                <w:iCs w:val="1"/>
                <w:color w:val="auto"/>
                <w:w w:val="89"/>
              </w:rPr>
              <w:t>Operating Expenses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66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2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4"/>
          </w:tcPr>
          <w:p>
            <w:pPr>
              <w:jc w:val="right"/>
              <w:ind w:right="190"/>
              <w:spacing w:after="0"/>
              <w:rPr>
                <w:sz w:val="20"/>
                <w:szCs w:val="20"/>
                <w:color w:val="auto"/>
              </w:rPr>
            </w:pPr>
            <w:r>
              <w:rPr>
                <w:rFonts w:ascii="Arial" w:cs="Arial" w:eastAsia="Arial" w:hAnsi="Arial"/>
                <w:sz w:val="18"/>
                <w:szCs w:val="18"/>
                <w:color w:val="auto"/>
                <w:w w:val="93"/>
              </w:rPr>
              <w:t>Six Months Ended June 30,</w:t>
            </w:r>
          </w:p>
        </w:tc>
        <w:tc>
          <w:tcPr>
            <w:tcW w:w="100" w:type="dxa"/>
            <w:vAlign w:val="bottom"/>
          </w:tcPr>
          <w:p>
            <w:pPr>
              <w:spacing w:after="0"/>
              <w:rPr>
                <w:sz w:val="24"/>
                <w:szCs w:val="24"/>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w w:val="88"/>
              </w:rPr>
              <w:t>Percent Increase</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51"/>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20"/>
                <w:szCs w:val="20"/>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color w:val="auto"/>
              </w:rPr>
              <w:t>(In millions)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Aircraft fuel and related taxes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1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Salaries, wages and benefits</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2,839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2,546</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Maintenance, materials and repairs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3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Other rent and landing fees</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572</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Aircraft rent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3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Selling expenses</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563</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3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Special items, net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3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7"/>
        </w:trPr>
        <w:tc>
          <w:tcPr>
            <w:tcW w:w="5080" w:type="dxa"/>
            <w:vAlign w:val="bottom"/>
            <w:gridSpan w:val="3"/>
          </w:tcPr>
          <w:p>
            <w:pPr>
              <w:jc w:val="center"/>
              <w:ind w:right="2260"/>
              <w:spacing w:after="0"/>
              <w:rPr>
                <w:sz w:val="20"/>
                <w:szCs w:val="20"/>
                <w:color w:val="auto"/>
              </w:rPr>
            </w:pPr>
            <w:r>
              <w:rPr>
                <w:rFonts w:ascii="Arial" w:cs="Arial" w:eastAsia="Arial" w:hAnsi="Arial"/>
                <w:sz w:val="18"/>
                <w:szCs w:val="18"/>
                <w:color w:val="auto"/>
                <w:w w:val="89"/>
              </w:rPr>
              <w:t>Total mainline 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10,764</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10,427</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Regional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gridSpan w:val="3"/>
          </w:tcPr>
          <w:p>
            <w:pPr>
              <w:ind w:left="280"/>
              <w:spacing w:after="0"/>
              <w:rPr>
                <w:sz w:val="20"/>
                <w:szCs w:val="20"/>
                <w:color w:val="auto"/>
              </w:rPr>
            </w:pPr>
            <w:r>
              <w:rPr>
                <w:rFonts w:ascii="Arial" w:cs="Arial" w:eastAsia="Arial" w:hAnsi="Arial"/>
                <w:sz w:val="18"/>
                <w:szCs w:val="18"/>
                <w:color w:val="auto"/>
              </w:rPr>
              <w:t>Fuel</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524</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3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5080" w:type="dxa"/>
            <w:vAlign w:val="bottom"/>
            <w:gridSpan w:val="3"/>
          </w:tcPr>
          <w:p>
            <w:pPr>
              <w:jc w:val="center"/>
              <w:ind w:right="2300"/>
              <w:spacing w:after="0"/>
              <w:rPr>
                <w:sz w:val="20"/>
                <w:szCs w:val="20"/>
                <w:color w:val="auto"/>
              </w:rPr>
            </w:pPr>
            <w:r>
              <w:rPr>
                <w:rFonts w:ascii="Arial" w:cs="Arial" w:eastAsia="Arial" w:hAnsi="Arial"/>
                <w:sz w:val="18"/>
                <w:szCs w:val="18"/>
                <w:color w:val="auto"/>
                <w:w w:val="89"/>
              </w:rPr>
              <w:t>Total regional 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1,562</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1,528</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80" w:type="dxa"/>
            <w:vAlign w:val="bottom"/>
            <w:tcBorders>
              <w:bottom w:val="single" w:sz="8" w:color="CCEEFF"/>
            </w:tcBorders>
            <w:gridSpan w:val="3"/>
            <w:shd w:val="clear" w:color="auto" w:fill="CCEEFF"/>
          </w:tcPr>
          <w:p>
            <w:pPr>
              <w:jc w:val="center"/>
              <w:ind w:right="2300"/>
              <w:spacing w:after="0"/>
              <w:rPr>
                <w:sz w:val="20"/>
                <w:szCs w:val="20"/>
                <w:color w:val="auto"/>
              </w:rPr>
            </w:pPr>
            <w:r>
              <w:rPr>
                <w:rFonts w:ascii="Arial" w:cs="Arial" w:eastAsia="Arial" w:hAnsi="Arial"/>
                <w:sz w:val="18"/>
                <w:szCs w:val="18"/>
                <w:color w:val="auto"/>
                <w:w w:val="88"/>
              </w:rPr>
              <w:t>Total operating expenses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12,326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11,955</w:t>
            </w:r>
          </w:p>
        </w:tc>
        <w:tc>
          <w:tcPr>
            <w:tcW w:w="13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Total operating expenses in the first six months of 2014 increased $371 million, or 3.1%, from the 2013 period. Significant changes in the components of mainline operating expenses are as follows:</w:t>
      </w:r>
    </w:p>
    <w:p>
      <w:pPr>
        <w:spacing w:after="0" w:line="170"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Aircraft fuel and related taxes decreased 1.2% primarily due to a decrease in the average price per gallon of fuel.</w:t>
      </w:r>
    </w:p>
    <w:p>
      <w:pPr>
        <w:spacing w:after="0" w:line="6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Salaries, wages and benefits increased 11.5% primarily due to merger related labor contracts as well as increased costs from certain share-based compensation programs.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•Maintenance, materials and repairs increased 5.4% primarily due to an increase in the volume of engine overhauls.</w:t>
      </w:r>
    </w:p>
    <w:p>
      <w:pPr>
        <w:spacing w:after="0" w:line="63" w:lineRule="exact"/>
        <w:rPr>
          <w:sz w:val="20"/>
          <w:szCs w:val="20"/>
          <w:color w:val="auto"/>
        </w:rPr>
      </w:pPr>
    </w:p>
    <w:p>
      <w:pPr>
        <w:ind w:left="34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Aircraft rent increased 24.2% primarily as a result of new leased aircraft deliveries since the end of the 2013 second quarter as American continues its fleet renewal program.</w:t>
      </w:r>
    </w:p>
    <w:p>
      <w:pPr>
        <w:spacing w:after="0" w:line="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Depreciation and amortization increased 5.5% primarily as a result of new purchased aircraft deliveries since the end of the 2013 second quarter as American continues its fleet renewal program.</w:t>
      </w:r>
    </w:p>
    <w:p>
      <w:pPr>
        <w:spacing w:after="0" w:line="116" w:lineRule="exact"/>
        <w:rPr>
          <w:sz w:val="20"/>
          <w:szCs w:val="20"/>
          <w:color w:val="auto"/>
        </w:rPr>
      </w:pPr>
    </w:p>
    <w:p>
      <w:pPr>
        <w:ind w:left="72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regional expenses increased $34 million, or 2.2%, in the second quarter of 2014 from the 2013 period.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gridSpan w:val="3"/>
          </w:tcPr>
          <w:p>
            <w:pPr>
              <w:ind w:left="660"/>
              <w:spacing w:after="0"/>
              <w:rPr>
                <w:sz w:val="20"/>
                <w:szCs w:val="20"/>
                <w:color w:val="auto"/>
              </w:rPr>
            </w:pPr>
            <w:r>
              <w:rPr>
                <w:rFonts w:ascii="Arial" w:cs="Arial" w:eastAsia="Arial" w:hAnsi="Arial"/>
                <w:sz w:val="18"/>
                <w:szCs w:val="18"/>
                <w:i w:val="1"/>
                <w:iCs w:val="1"/>
                <w:color w:val="auto"/>
              </w:rPr>
              <w:t>Nonoperating Income (Expense)</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660" w:type="dxa"/>
            <w:vAlign w:val="bottom"/>
          </w:tcPr>
          <w:p>
            <w:pPr>
              <w:spacing w:after="0"/>
              <w:rPr>
                <w:sz w:val="24"/>
                <w:szCs w:val="24"/>
                <w:color w:val="auto"/>
              </w:rPr>
            </w:pPr>
          </w:p>
        </w:tc>
        <w:tc>
          <w:tcPr>
            <w:tcW w:w="2340" w:type="dxa"/>
            <w:vAlign w:val="bottom"/>
            <w:tcBorders>
              <w:top w:val="single" w:sz="8" w:color="auto"/>
            </w:tcBorders>
          </w:tcPr>
          <w:p>
            <w:pPr>
              <w:spacing w:after="0"/>
              <w:rPr>
                <w:sz w:val="24"/>
                <w:szCs w:val="24"/>
                <w:color w:val="auto"/>
              </w:rPr>
            </w:pPr>
          </w:p>
        </w:tc>
        <w:tc>
          <w:tcPr>
            <w:tcW w:w="2200" w:type="dxa"/>
            <w:vAlign w:val="bottom"/>
          </w:tcPr>
          <w:p>
            <w:pPr>
              <w:spacing w:after="0"/>
              <w:rPr>
                <w:sz w:val="24"/>
                <w:szCs w:val="24"/>
                <w:color w:val="auto"/>
              </w:rPr>
            </w:pPr>
          </w:p>
        </w:tc>
        <w:tc>
          <w:tcPr>
            <w:tcW w:w="2620" w:type="dxa"/>
            <w:vAlign w:val="bottom"/>
            <w:gridSpan w:val="5"/>
            <w:vMerge w:val="restart"/>
          </w:tcPr>
          <w:p>
            <w:pPr>
              <w:jc w:val="right"/>
              <w:ind w:right="210"/>
              <w:spacing w:after="0"/>
              <w:rPr>
                <w:sz w:val="20"/>
                <w:szCs w:val="20"/>
                <w:color w:val="auto"/>
              </w:rPr>
            </w:pPr>
            <w:r>
              <w:rPr>
                <w:rFonts w:ascii="Arial" w:cs="Arial" w:eastAsia="Arial" w:hAnsi="Arial"/>
                <w:sz w:val="18"/>
                <w:szCs w:val="18"/>
                <w:color w:val="auto"/>
              </w:rPr>
              <w:t>Six Months Ended June 30,</w:t>
            </w: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6"/>
              </w:rPr>
              <w:t>Percent</w:t>
            </w:r>
          </w:p>
        </w:tc>
        <w:tc>
          <w:tcPr>
            <w:tcW w:w="0" w:type="dxa"/>
            <w:vAlign w:val="bottom"/>
          </w:tcPr>
          <w:p>
            <w:pPr>
              <w:spacing w:after="0"/>
              <w:rPr>
                <w:sz w:val="1"/>
                <w:szCs w:val="1"/>
                <w:color w:val="auto"/>
              </w:rPr>
            </w:pPr>
          </w:p>
        </w:tc>
      </w:tr>
      <w:tr>
        <w:trPr>
          <w:trHeight w:val="82"/>
        </w:trPr>
        <w:tc>
          <w:tcPr>
            <w:tcW w:w="660" w:type="dxa"/>
            <w:vAlign w:val="bottom"/>
          </w:tcPr>
          <w:p>
            <w:pPr>
              <w:spacing w:after="0"/>
              <w:rPr>
                <w:sz w:val="7"/>
                <w:szCs w:val="7"/>
                <w:color w:val="auto"/>
              </w:rPr>
            </w:pPr>
          </w:p>
        </w:tc>
        <w:tc>
          <w:tcPr>
            <w:tcW w:w="2340" w:type="dxa"/>
            <w:vAlign w:val="bottom"/>
          </w:tcPr>
          <w:p>
            <w:pPr>
              <w:spacing w:after="0"/>
              <w:rPr>
                <w:sz w:val="7"/>
                <w:szCs w:val="7"/>
                <w:color w:val="auto"/>
              </w:rPr>
            </w:pPr>
          </w:p>
        </w:tc>
        <w:tc>
          <w:tcPr>
            <w:tcW w:w="2200" w:type="dxa"/>
            <w:vAlign w:val="bottom"/>
          </w:tcPr>
          <w:p>
            <w:pPr>
              <w:spacing w:after="0"/>
              <w:rPr>
                <w:sz w:val="7"/>
                <w:szCs w:val="7"/>
                <w:color w:val="auto"/>
              </w:rPr>
            </w:pPr>
          </w:p>
        </w:tc>
        <w:tc>
          <w:tcPr>
            <w:tcW w:w="262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86"/>
              </w:rPr>
              <w:t>Increase</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660" w:type="dxa"/>
            <w:vAlign w:val="bottom"/>
          </w:tcPr>
          <w:p>
            <w:pPr>
              <w:spacing w:after="0"/>
              <w:rPr>
                <w:sz w:val="7"/>
                <w:szCs w:val="7"/>
                <w:color w:val="auto"/>
              </w:rPr>
            </w:pPr>
          </w:p>
        </w:tc>
        <w:tc>
          <w:tcPr>
            <w:tcW w:w="2340" w:type="dxa"/>
            <w:vAlign w:val="bottom"/>
          </w:tcPr>
          <w:p>
            <w:pPr>
              <w:spacing w:after="0"/>
              <w:rPr>
                <w:sz w:val="7"/>
                <w:szCs w:val="7"/>
                <w:color w:val="auto"/>
              </w:rPr>
            </w:pPr>
          </w:p>
        </w:tc>
        <w:tc>
          <w:tcPr>
            <w:tcW w:w="2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2014</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color w:val="auto"/>
                <w:w w:val="84"/>
              </w:rPr>
              <w:t>2013</w:t>
            </w: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(Decrease)</w:t>
            </w:r>
          </w:p>
        </w:tc>
        <w:tc>
          <w:tcPr>
            <w:tcW w:w="0" w:type="dxa"/>
            <w:vAlign w:val="bottom"/>
          </w:tcPr>
          <w:p>
            <w:pPr>
              <w:spacing w:after="0"/>
              <w:rPr>
                <w:sz w:val="1"/>
                <w:szCs w:val="1"/>
                <w:color w:val="auto"/>
              </w:rPr>
            </w:pPr>
          </w:p>
        </w:tc>
      </w:tr>
      <w:tr>
        <w:trPr>
          <w:trHeight w:val="27"/>
        </w:trPr>
        <w:tc>
          <w:tcPr>
            <w:tcW w:w="66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(In millions)</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gridSpan w:val="3"/>
          </w:tcPr>
          <w:p>
            <w:pPr>
              <w:ind w:left="40"/>
              <w:spacing w:after="0"/>
              <w:rPr>
                <w:sz w:val="20"/>
                <w:szCs w:val="20"/>
                <w:color w:val="auto"/>
              </w:rPr>
            </w:pPr>
            <w:r>
              <w:rPr>
                <w:rFonts w:ascii="Arial" w:cs="Arial" w:eastAsia="Arial" w:hAnsi="Arial"/>
                <w:sz w:val="18"/>
                <w:szCs w:val="18"/>
                <w:color w:val="auto"/>
              </w:rPr>
              <w:t>Interest income</w:t>
            </w: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 net of capitalized interest</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(307)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5200" w:type="dxa"/>
            <w:vAlign w:val="bottom"/>
            <w:gridSpan w:val="3"/>
          </w:tcPr>
          <w:p>
            <w:pPr>
              <w:ind w:left="40"/>
              <w:spacing w:after="0"/>
              <w:rPr>
                <w:sz w:val="20"/>
                <w:szCs w:val="20"/>
                <w:color w:val="auto"/>
              </w:rPr>
            </w:pPr>
            <w:r>
              <w:rPr>
                <w:rFonts w:ascii="Arial" w:cs="Arial" w:eastAsia="Arial" w:hAnsi="Arial"/>
                <w:sz w:val="18"/>
                <w:szCs w:val="18"/>
                <w:color w:val="auto"/>
              </w:rPr>
              <w:t>Other, net</w:t>
            </w:r>
          </w:p>
        </w:tc>
        <w:tc>
          <w:tcPr>
            <w:tcW w:w="820" w:type="dxa"/>
            <w:vAlign w:val="bottom"/>
          </w:tcPr>
          <w:p>
            <w:pPr>
              <w:spacing w:after="0"/>
              <w:rPr>
                <w:sz w:val="21"/>
                <w:szCs w:val="21"/>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66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0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Total nonoperating expense, net</w:t>
            </w: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(283)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Interest income was $13 million and $9 million in the first six months of 2014 and 2013, respectively. American's short-term investments in each period consisted of highly liquid investments which provided nominal returns.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13" w:right="239" w:bottom="1440" w:gutter="0" w:footer="0" w:header="0"/>
        </w:sectPr>
      </w:pPr>
    </w:p>
    <w:bookmarkStart w:id="75" w:name="page76"/>
    <w:bookmarkEnd w:id="75"/>
    <w:p>
      <w:pPr>
        <w:jc w:val="both"/>
        <w:ind w:firstLine="648"/>
        <w:spacing w:after="0" w:line="264" w:lineRule="auto"/>
        <w:rPr>
          <w:sz w:val="20"/>
          <w:szCs w:val="20"/>
          <w:color w:val="auto"/>
        </w:rPr>
      </w:pPr>
      <w:r>
        <w:rPr>
          <w:rFonts w:ascii="Arial" w:cs="Arial" w:eastAsia="Arial" w:hAnsi="Arial"/>
          <w:sz w:val="18"/>
          <w:szCs w:val="18"/>
          <w:color w:val="auto"/>
        </w:rPr>
        <w:t>Other nonoperating income, net increased $44 million in the first six months of 2014 from the 2013 period primarily due to the weakening of the U.S. dollar in foreign currency transactions. The first six months of 2014 included $15 million in net foreign currency gains as compared to $42 million in net foreign currency losses in the 2013 period.</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Reorganization Items, Net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Reorganization items refer to revenues, expenses (including professional fees), realized gains and losses and provisions for losses that are realized or incurred as a direct result of the filing of voluntary petitions for relief under Chapter 11, which were filed in November of 2011. The following table summarizes the components included in reorganization items, net on American's condensed consolidated statement of operations for the six months ended June 30, 2013 (in millions):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Aircraft and facility financing renegotiations and rejections </w:t>
            </w:r>
            <w:r>
              <w:rPr>
                <w:rFonts w:ascii="Arial" w:cs="Arial" w:eastAsia="Arial" w:hAnsi="Arial"/>
                <w:sz w:val="25"/>
                <w:szCs w:val="25"/>
                <w:color w:val="auto"/>
                <w:vertAlign w:val="superscript"/>
              </w:rPr>
              <w:t>(1)</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Professional fees</w:t>
            </w:r>
          </w:p>
        </w:tc>
        <w:tc>
          <w:tcPr>
            <w:tcW w:w="7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
        </w:trPr>
        <w:tc>
          <w:tcPr>
            <w:tcW w:w="9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57"/>
        </w:trPr>
        <w:tc>
          <w:tcPr>
            <w:tcW w:w="9720" w:type="dxa"/>
            <w:vAlign w:val="bottom"/>
          </w:tcPr>
          <w:p>
            <w:pPr>
              <w:ind w:left="280"/>
              <w:spacing w:after="0"/>
              <w:rPr>
                <w:sz w:val="20"/>
                <w:szCs w:val="20"/>
                <w:color w:val="auto"/>
              </w:rPr>
            </w:pPr>
            <w:r>
              <w:rPr>
                <w:rFonts w:ascii="Arial" w:cs="Arial" w:eastAsia="Arial" w:hAnsi="Arial"/>
                <w:sz w:val="18"/>
                <w:szCs w:val="18"/>
                <w:color w:val="auto"/>
              </w:rPr>
              <w:t>Total reorganization items, net</w:t>
            </w: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283</w:t>
            </w:r>
          </w:p>
        </w:tc>
      </w:tr>
      <w:tr>
        <w:trPr>
          <w:trHeight w:val="20"/>
        </w:trPr>
        <w:tc>
          <w:tcPr>
            <w:tcW w:w="9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50" w:lineRule="auto"/>
        <w:tabs>
          <w:tab w:leader="none" w:pos="340" w:val="left"/>
        </w:tabs>
        <w:numPr>
          <w:ilvl w:val="0"/>
          <w:numId w:val="51"/>
        </w:numPr>
        <w:rPr>
          <w:rFonts w:ascii="Arial" w:cs="Arial" w:eastAsia="Arial" w:hAnsi="Arial"/>
          <w:sz w:val="24"/>
          <w:szCs w:val="24"/>
          <w:color w:val="auto"/>
          <w:vertAlign w:val="superscript"/>
        </w:rPr>
      </w:pPr>
      <w:r>
        <w:rPr>
          <w:rFonts w:ascii="Arial" w:cs="Arial" w:eastAsia="Arial" w:hAnsi="Arial"/>
          <w:sz w:val="17"/>
          <w:szCs w:val="17"/>
          <w:color w:val="auto"/>
        </w:rPr>
        <w:t>Amounts include allowed claims (claims approved by the Bankruptcy Court) and estimated allowed claims relating to (i) the rejection or modification of financings related to aircraft and (ii) entry of orders treated as unsecured claims with respect to facility agreements supporting certain issuances of special facility revenue bonds. The Debtors recorded an estimated claim associated with the rejection or modification of a financing or facility agreement when the applicable motion was filed with the Bankruptcy Court to reject or modify such financing and the Debtors believed that it was probable the motion would be approved, and there was sufficient information to estimate the claim.</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68"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Short-Term Investments and Restricted Cash</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June 30, 2014, AAG's total cash, short-term investments and restricted cash and short-term investments was $10.3 billion, of which $882 million was restricted. Additional detail is provided in the table below (in millions):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3"/>
          </w:tcPr>
          <w:p>
            <w:pPr>
              <w:ind w:left="800"/>
              <w:spacing w:after="0"/>
              <w:rPr>
                <w:sz w:val="20"/>
                <w:szCs w:val="20"/>
                <w:color w:val="auto"/>
              </w:rPr>
            </w:pPr>
            <w:r>
              <w:rPr>
                <w:rFonts w:ascii="Arial" w:cs="Arial" w:eastAsia="Arial" w:hAnsi="Arial"/>
                <w:sz w:val="18"/>
                <w:szCs w:val="18"/>
                <w:color w:val="auto"/>
              </w:rPr>
              <w:t>AAG</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3"/>
          </w:tcPr>
          <w:p>
            <w:pPr>
              <w:ind w:left="640"/>
              <w:spacing w:after="0"/>
              <w:rPr>
                <w:sz w:val="20"/>
                <w:szCs w:val="20"/>
                <w:color w:val="auto"/>
              </w:rPr>
            </w:pPr>
            <w:r>
              <w:rPr>
                <w:rFonts w:ascii="Arial" w:cs="Arial" w:eastAsia="Arial" w:hAnsi="Arial"/>
                <w:sz w:val="18"/>
                <w:szCs w:val="18"/>
                <w:color w:val="auto"/>
                <w:w w:val="97"/>
              </w:rPr>
              <w:t>American</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June 30,</w:t>
            </w:r>
          </w:p>
        </w:tc>
        <w:tc>
          <w:tcPr>
            <w:tcW w:w="1240" w:type="dxa"/>
            <w:vAlign w:val="bottom"/>
            <w:gridSpan w:val="3"/>
          </w:tcPr>
          <w:p>
            <w:pPr>
              <w:ind w:left="40"/>
              <w:spacing w:after="0"/>
              <w:rPr>
                <w:sz w:val="20"/>
                <w:szCs w:val="20"/>
                <w:color w:val="auto"/>
              </w:rPr>
            </w:pPr>
            <w:r>
              <w:rPr>
                <w:rFonts w:ascii="Arial" w:cs="Arial" w:eastAsia="Arial" w:hAnsi="Arial"/>
                <w:sz w:val="18"/>
                <w:szCs w:val="18"/>
                <w:color w:val="auto"/>
              </w:rPr>
              <w:t>December 31,</w:t>
            </w:r>
          </w:p>
        </w:tc>
        <w:tc>
          <w:tcPr>
            <w:tcW w:w="180" w:type="dxa"/>
            <w:vAlign w:val="bottom"/>
          </w:tcPr>
          <w:p>
            <w:pPr>
              <w:spacing w:after="0"/>
              <w:rPr>
                <w:sz w:val="19"/>
                <w:szCs w:val="19"/>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June 30,</w:t>
            </w:r>
          </w:p>
        </w:tc>
        <w:tc>
          <w:tcPr>
            <w:tcW w:w="1120" w:type="dxa"/>
            <w:vAlign w:val="bottom"/>
            <w:gridSpan w:val="2"/>
          </w:tcPr>
          <w:p>
            <w:pPr>
              <w:ind w:left="4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color w:val="auto"/>
                <w:w w:val="89"/>
              </w:rPr>
              <w:t>2013</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color w:val="auto"/>
              </w:rPr>
              <w:t>Cash</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70"/>
        </w:trPr>
        <w:tc>
          <w:tcPr>
            <w:tcW w:w="42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25"/>
                <w:szCs w:val="25"/>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09"/>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Total cash, short-term investments and restricted cash</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10,341</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10,286</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6,453</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6,693</w:t>
            </w: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short-term investments</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340" w:hanging="332"/>
        <w:spacing w:after="0" w:line="202" w:lineRule="auto"/>
        <w:tabs>
          <w:tab w:leader="none" w:pos="340" w:val="left"/>
        </w:tabs>
        <w:numPr>
          <w:ilvl w:val="0"/>
          <w:numId w:val="52"/>
        </w:numPr>
        <w:rPr>
          <w:rFonts w:ascii="Arial" w:cs="Arial" w:eastAsia="Arial" w:hAnsi="Arial"/>
          <w:sz w:val="25"/>
          <w:szCs w:val="25"/>
          <w:color w:val="auto"/>
          <w:vertAlign w:val="superscript"/>
        </w:rPr>
      </w:pPr>
      <w:r>
        <w:rPr>
          <w:rFonts w:ascii="Arial" w:cs="Arial" w:eastAsia="Arial" w:hAnsi="Arial"/>
          <w:sz w:val="18"/>
          <w:szCs w:val="18"/>
          <w:color w:val="auto"/>
        </w:rPr>
        <w:t>Our restricted cash and short-term investments related primarily to collateral held to support projected workers compensation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-144145</wp:posOffset>
            </wp:positionV>
            <wp:extent cx="30530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1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As of June 30, 2014, approximately $887 million of our cash and short-term investments balances were held in foreign bank accounts, of which $791 million is held in Venezuelan bolivars. The Venezuelan bolivars are valued at the weighted average applicable exchange rate of 6.53 bolivars to the dollar. This includes approximately $94 million valued at 4.3 bolivars, approximately $611 million valued at 6.3 bolivars, and approximately $86 million valued at 10.6 bolivars, with the rate depending on the date we submitted our repatriation request to the Venezuelan government. In the first quarter of 2014, the Venezuelan government announced that a newly-implemented system (SICAD I) will determine the exchange rate (which fluctuates as determined by weekly auctions and at June 30, 2014 was 10.6 bolivars to the dollar) for repatriation of cash proceeds from ticket sales after January 1, 2014, and introduced new procedures for approval of repatriation of local currency. We are continuing to work with Venezuelan authorities regarding the timing and exchange rate applicable to the repatriation of funds held in local currency. However, pending further repatriation of funds, and due to the significant decrease in demand for air travel resulting from the effective devaluation of the bolivar, we recently significantly reduced capacity in this market. We are monitoring this situation closely and continue to evaluate our holdings of Venezuelan bolivars for potential impairment. See Part II, Item 1A. - Risk Factors "</w:t>
      </w:r>
      <w:r>
        <w:rPr>
          <w:rFonts w:ascii="Arial" w:cs="Arial" w:eastAsia="Arial" w:hAnsi="Arial"/>
          <w:sz w:val="16"/>
          <w:szCs w:val="16"/>
          <w:i w:val="1"/>
          <w:iCs w:val="1"/>
          <w:color w:val="auto"/>
        </w:rPr>
        <w:t>We operate a global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business with international operations that are subject to economic and political instability and have been, and in the future may continue to be, adversely affected by numerous events, circumstances or government actions beyond our control" </w:t>
      </w:r>
      <w:r>
        <w:rPr>
          <w:rFonts w:ascii="Arial" w:cs="Arial" w:eastAsia="Arial" w:hAnsi="Arial"/>
          <w:sz w:val="16"/>
          <w:szCs w:val="16"/>
          <w:color w:val="auto"/>
        </w:rPr>
        <w:t>for additional discussion of this and other currency risks.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AAG</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operating activities was $2.6 billion and $1.9 billion for the first six months of 2014 and 2013, respectively, a period-over-period improvement of $767 million. This period-over-period improvement is principally due to the inclusion of US Airways Group's net cash provided by operating activities for the 2014 period.</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used in investing activities was $2.3 billion and $4.0 billion for the first six months of 2014 and 2013, respectively.</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Principal investing activities in the 2014 period included expenditures of $2.7 billion for property and equipment, consisting primarily of the purchase of newly delivered aircraft including 10 Boeing 737 family aircraft, three Boeing 777 aircraft, 14 A320 family aircraft, three A330 aircraft and three Bombardier CRJ-900 aircraft, the purchase of three A330 aircraft, two Boeing 777 aircraft and two A320 family aircraft previously being leased, as well as pre-delivery deposits for certain aircraft on order, and $138 million in net purchases of short-term investments. These cash outflows were offset in part by proceeds from the sale of DCA slots of $307 million and a $153 million decrease in restricted cash and short-term investments primarily due to a change in the amount of holdback held by certain credit card processors for advance ticket sales for which we had not yet provided air transportation.</w:t>
      </w:r>
    </w:p>
    <w:p>
      <w:pPr>
        <w:spacing w:after="0" w:line="11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Principal investing activities in the 2013 period included $2.2 billion in net purchases of short-term investments and expenditures of $1.8 billion for property and equipment, consisting primarily of the purchase of 18 Boeing 737 family aircraft and six Boeing 777 aircraft, as well as pre-delivery deposits for certain aircraft on order.</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financing activities was $220 million for the first six months of 2014 as compared to net cash provided by financing activities of $2.3 billion for the first six months of 2013.</w:t>
      </w:r>
    </w:p>
    <w:p>
      <w:pPr>
        <w:spacing w:after="0" w:line="11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Principal financing activities in the 2014 period included debt repayments of $1.1 billion including the $175 million settlement of our 7.25% Convertible Notes, $113 million prepayment of outstanding debt secured by certain aircraft and $100 million prepayment on our 7.50% Senior Secured Notes. These cash outflows were offset in part by proceeds of $534 million primarily from the issuance of EETC equipment notes and other debt associated with aircraft deliveries in 2014 and $411 million from sale-leaseback transactions related to the financing of 10 Boeing 737 family aircraft.</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Principal financing activities in the 2013 period included proceeds of $1.7 billion from the issuance of EETC equipment notes and $1.1 billion from sale-leaseback transactions related to the financing of 17 Boeing 737 family aircraft and three Boeing 777 aircraft. These proceeds were offset in part by debt repayments of $551 million.</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American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Net cash provided by operating activities was $1.7 billion and $1.9 billion for the first six months of 2014 and 2013, respectively, a period-over-period decrease of $172 million.</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used in investing activities was $1.3 billion and $4.0 billion for the first six months of 2014 and 2013, respectively.</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Principal investing activities in the 2014 period included expenditures of $1.8 billion for property and equipment, consisting primarily of the purchase of newly delivered aircraft including 10 Boeing 737 family aircraft, three Boeing 777 aircraft, seven A320 family aircraft and three Bombardier CRJ-900 aircraft, the purchase of two Boeing 777 aircraft and two A320 family aircraft previously being leased, as well as pre-delivery deposits for certain aircraft on order, and $198 million of cash transferred to affiliates. These cash outflows were offset in part by $340 million in net sales of short-term investments, $299 million in proceeds from the sale of DCA slots and a $52 million decrease in restricted cash and short-term investments primarily due to a change in the amount of holdback held by certain credit card processors for advance ticket sales for which we had not yet provided air transportation.</w:t>
      </w:r>
    </w:p>
    <w:p>
      <w:pPr>
        <w:spacing w:after="0" w:line="11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Principal investing activities in the 2013 period included $2.2 billion in net purchases of short-term investments and expenditures of $1.8 billion for property and equipment, consisting primarily of the purchase of 18 Boeing 737 family aircraft and six Boeing 777 aircraft, as well as pre-delivery deposits for certain aircraft on order.</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financing activities was $203 million for the first six months of 2014 as compared to net cash provided by financing activities of $2.3 billion for the first six months of 2013.</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Principal financing activities in the 2014 period included debt repayments of $655 million including the $100 million prepayment on American's 7.50% Senior Secured Notes and $61 million prepayment of outstanding debt secured by certain aircraft. These cash outflows were offset in part by proceeds of $411 million from sale-leaseback transactions related to the financing of 10 Boeing 737 family aircraft and $53 million from the issuance of debt associated with aircraft deliveries in 2014.</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Principal financing activities in the 2013 period included proceeds of $1.7 billion from the issuance of EETC equipment notes and $1.1 billion from sale-leaseback transactions related to the financing of 17 Boeing 737 family aircraft and three Boeing 777 aircraft. These proceeds were offset in part by debt repayments of $551 million.</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Commitments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Significant Indebtedness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2014, AAG and American had $16.8 billion and $10.6 billion, respectively, in long-term debt and capital leases (including current maturities and before debt discount). See Note 7 to AAG's condensed consolidated financial statements in Part I, Item 1A and Note 6 to American's condensed consolidated financial statements in Part I, Item 1B for further information on all indebtedness as of June 30, 2014. Our significant indebtedness includes the following agreements: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Credit Facilities (American)</w:t>
      </w:r>
    </w:p>
    <w:p>
      <w:pPr>
        <w:spacing w:after="0" w:line="21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June 27, 2013, American and AAG entered into a Credit and Guaranty Agreement (as amended, the Credit Agreement) with certain lenders. The Credit Agreement provides for a $1.9 billion term loan facility (the Term Loan Facility) and a $1.0 billion revolving credit facility (the Revolving Facility and, together with the Term Loan Facility, the Credit Facilities). As of June 30, 2014, American had borrowed $1.9 billion under the Term Loan Facility. The Credit Facilities are secured obligations of American and guaranteed by AAG. The Revolving Facility provides that American may from time to time borrow, repay and reborrow loans thereunder and have letters of credit issued thereunder in an aggregate amount outstanding at any time of up to $1.0 billion. As of June 30, 2014, there were no borrowings or letters of credit outstanding under the Revolving Facility.</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Upon consummation of the Merger, US Airways Group and US Airways joined the Credit Facilities as guarantors. Following the joinder, certain minimum dollar-thresholds under the negative and financial covenants in the Credit Facilities were automatically increased. The Term Loan Facility and Revolving Facility mature on June 27, 2019 and June 27, 2018, respectively, unless otherwise extended by the applicable parties. The Term Loan Facility is repayable in quarterly installments in an amount equal to 0.25% of the original principal amount thereof with any unpaid balance due on the maturity date of the Term Loan Facility.</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Voluntary prepayments may be made by American at any time, with a premium of 1.00% applicable to certain prepayments made prior to the date that is six months following December 27, 2013. Mandatory prepayments at par of term loans and revolving loans are required to the extent necessary to comply with American's covenants regarding the collateral coverage ratio and certain dispositions of collateral. In addition, if a "change of control" (as defined in the Credit Agreement) occurs, American will, absent an amendment or waiver, be required to repay at par the loans outstanding under the Credit Facilities and terminate the Revolving Facility.</w:t>
      </w:r>
    </w:p>
    <w:p>
      <w:pPr>
        <w:spacing w:after="0" w:line="1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Credit Facilities bear interest at an index rate plus an applicable index margin or, at American's option, LIBOR (subject to a floor of 0.75%, with respect to the Term Loan) plus an applicable LIBOR margin. The applicable LIBOR margin is 3.00% for borrowings under both the Term Loan Facility and the Revolving Facility. Subject to certain limitations and exceptions, the Credit Facilities are secured by certain collateral, including liens on certain route authorities to operate between certain specified cities and certain take-off and landing rights at certain airports, and American is required to maintain a certain minimum ratio of appraised value of the collateral to the outstanding loans under the Credit Facilities as more fully described below in "</w:t>
      </w:r>
      <w:r>
        <w:rPr>
          <w:rFonts w:ascii="Arial" w:cs="Arial" w:eastAsia="Arial" w:hAnsi="Arial"/>
          <w:sz w:val="18"/>
          <w:szCs w:val="18"/>
          <w:i w:val="1"/>
          <w:iCs w:val="1"/>
          <w:color w:val="auto"/>
        </w:rPr>
        <w:t>Collateral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Covenants.</w:t>
      </w:r>
      <w:r>
        <w:rPr>
          <w:rFonts w:ascii="Arial" w:cs="Arial" w:eastAsia="Arial" w:hAnsi="Arial"/>
          <w:sz w:val="18"/>
          <w:szCs w:val="18"/>
          <w:color w:val="auto"/>
        </w:rPr>
        <w:t>"</w:t>
      </w:r>
    </w:p>
    <w:p>
      <w:pPr>
        <w:spacing w:after="0" w:line="1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Credit Facilities contain events of default customary for similar financings, including cross default to other material indebtedness. Upon the occurrence of an event of default, the outstanding obligations under the Credit Facilities may be accelerated and become due and payable immediately. The Credit Facilities also include covenants that, among other things, require AAG to maintain a minimum aggregate liquidity (as defined in the Credit Facilities) of not less than $2.0 billion, and limit the ability of AAG and its restricted subsidiaries to pay dividends and make certain other payments, make certain investments, incur additional indebtedness, incur liens on the collateral, dispose of the collateral, enter into certain affiliate transactions and engage in certain business activities, in each case subject to certain exceptions.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Senior Secured Notes (American)</w:t>
      </w:r>
    </w:p>
    <w:p>
      <w:pPr>
        <w:spacing w:after="0" w:line="21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March 2011, American issued $1.0 billion aggregate principal amount of senior secured notes due 2016 (the Senior Secured Notes) guaranteed on an unsecured basis by AAG. In connection with the closing of the Merger, US Airways and US Airways Group entered into a First Supplemental Indenture, dated as of December 9, 2013, pursuant to which US Airways and US Airways Group became guarantors. The Senior Secured Notes bear interest at a rate of 7.50% per annum, payable semi-annually on March 15 and September 15 of each year, beginning September 15, 2011. As is customary for financings of this nature, the indebtedness evidenced by the Senior Secured Notes may be accelerated upon the occurrence of events of default under the related indenture. Subject to certain limitations and exceptions, the Senior Secured Notes are secured by certain route authorities, airport landing and takeoff slots, and rights to use or occupy space in airport terminals, in each case that American uses to operate non-stop services between certain airports and American is required maintain a certain minimum ratio of appraised value of the collateral to the outstanding amounts under the Senior Secured Notes as more fully described below in "</w:t>
      </w:r>
      <w:r>
        <w:rPr>
          <w:rFonts w:ascii="Arial" w:cs="Arial" w:eastAsia="Arial" w:hAnsi="Arial"/>
          <w:sz w:val="17"/>
          <w:szCs w:val="17"/>
          <w:i w:val="1"/>
          <w:iCs w:val="1"/>
          <w:color w:val="auto"/>
        </w:rPr>
        <w:t>Collateral Related Covenants.</w:t>
      </w:r>
      <w:r>
        <w:rPr>
          <w:rFonts w:ascii="Arial" w:cs="Arial" w:eastAsia="Arial" w:hAnsi="Arial"/>
          <w:sz w:val="17"/>
          <w:szCs w:val="17"/>
          <w:color w:val="auto"/>
        </w:rPr>
        <w:t>"</w:t>
      </w:r>
    </w:p>
    <w:p>
      <w:pPr>
        <w:spacing w:after="0" w:line="12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American, at its option, may redeem some or all of the Senior Secured Notes at any time on or after March 15, 2013 or prior to such date in certain limited circumstances, in each case, at specified redemption prices, plus accrued and unpaid interest, if any. If such redemption occurs during the twelve month period beginning on (1) March 15, 2013, the redemption price would be 105.625% of the aggregate principal amount of the Senior Secured Notes to be redeemed, (2) March 15, 2014, the redemption price will be 103.75% of the aggregate principal amount of the Senior Secured Notes to be redeemed and (3) March 15, 2015, the redemption price will be 100% of the aggregate principal amount of the Senior Secured Notes to be redeemed, plus, in each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case, accrued and unpaid interest, if any. In addition, at any time prior to March 15, 2014, American, at its option, could redeem (1) up to 35% of the aggregate principal amount of the Senior Secured Notes with the proceeds of certain equity offerings at a redemption price of 107.5% of their principal amount, plus accrued and unpaid interest, if any, and (2) during any 12-month period, up to 10% of the original aggregate principal amount of the Senior Secured Notes at a redemption price of 103% of their principal amount, plus accrued and unpaid interest, if any. If American sells certain assets or if a "change of control" (as defined in the indenture) occurs, American must offer to repurchase the Senior Secured Notes at prices specified in the indenture.</w:t>
      </w:r>
    </w:p>
    <w:p>
      <w:pPr>
        <w:spacing w:after="0" w:line="1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indenture for the Senior Secured Notes includes covenants that, among other things, limit our ability to merge, consolidate, sell assets, incur additional indebtedness, issue preferred stock, make investments and pay dividends. The indenture for the Senior Secured Notes also contains events of default customary for similar financings, including cross-default to certain material indebtedness of American. Upon the occurrence of certain events of default, the Senior Secured Notes may be accelerated and become due and payable.</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March 2014, American prepaid $100 million of its 7.50% senior secured notes at a redemption price of 103% of their principal amount plus accrued and unpaid interest.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2013 Citicorp Credit Facility (US Airways)</w:t>
      </w:r>
    </w:p>
    <w:p>
      <w:pPr>
        <w:spacing w:after="0" w:line="2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23, 2013, US Airways entered into a term loan credit facility (the 2013 Citicorp Credit Facility) with Citicorp North America, Inc., as administrative agent, and a syndicate of lenders. US Airways Group and certain other subsidiaries of US Airways Group are guarantors of the 2013 Citicorp Credit Facility agreement. In connection with the closing of the Merger, AAG and American entered into a joinder to the 2013 Citicorp credit facility loan agreement pursuant to which AAG and American became guarantors under such agreement.</w:t>
      </w:r>
    </w:p>
    <w:p>
      <w:pPr>
        <w:spacing w:after="0" w:line="1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2013 Citicorp Credit Facility consists of $1.0 billion of tranche B-1 term loans (Tranche B-1) and $600 million of tranche B-2 term loans (Tranche B-2). Voluntary prepayments may be made at any time, with a premium of 1.00% applicable to certain prepayments made prior to the date that is six months following January 16, 2014. Mandatory prepayments of the term loans are required to the extent necessary to comply with US Airways' covenants regarding the collateral coverage ratio and certain dispositions of collateral. In addition, under the 2013 Citicorp Credit Facility agreement, if a "change of control" (as defined in the 2013 Citicorp Credit Facility agreement) occurs, US Airways will (absent an amendment or waiver) be required to repay the outstanding loans in full together with accrued interest thereon to the date of such prepayment.</w:t>
      </w:r>
    </w:p>
    <w:p>
      <w:pPr>
        <w:spacing w:after="0" w:line="12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of June 30, 2014, the 2013 Citicorp Credit Facility bears interest at an index rate plus an applicable index margin or, at US Airways' option, LIBOR (subject to a floor of 0.75%) plus an applicable LIBOR margin. The applicable LIBOR margin is 2.75% for Tranche B-1 and 2.25% for Tranche B-2.</w:t>
      </w:r>
    </w:p>
    <w:p>
      <w:pPr>
        <w:spacing w:after="0" w:line="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Tranche B-1 and Tranche B-2 mature on May 23, 2019 and November 23, 2016, respectively (unless otherwise extended by the applicable parties), and each is repayable in annual installments to be paid on each anniversary of the closing date in an amount equal to 1.00% of the initial aggregate principal amount of the loans with any unpaid balance due on the maturity date of the respective tranche.</w:t>
      </w:r>
    </w:p>
    <w:p>
      <w:pPr>
        <w:spacing w:after="0" w:line="12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obligations of US Airways under the 2013 Citicorp Credit Facility are secured by liens on certain route authorities, certain take-off and landing rights at certain airports, and certain other assets of US Airways. US Airways is required to maintain a certain minimum ratio of appraised value of the collateral to the outstanding loans under the 2013 Citicorp Credit Facility as more fully described below in "</w:t>
      </w:r>
      <w:r>
        <w:rPr>
          <w:rFonts w:ascii="Arial" w:cs="Arial" w:eastAsia="Arial" w:hAnsi="Arial"/>
          <w:sz w:val="17"/>
          <w:szCs w:val="17"/>
          <w:i w:val="1"/>
          <w:iCs w:val="1"/>
          <w:color w:val="auto"/>
        </w:rPr>
        <w:t>Collateral Related Covenants.</w:t>
      </w:r>
      <w:r>
        <w:rPr>
          <w:rFonts w:ascii="Arial" w:cs="Arial" w:eastAsia="Arial" w:hAnsi="Arial"/>
          <w:sz w:val="17"/>
          <w:szCs w:val="17"/>
          <w:color w:val="auto"/>
        </w:rPr>
        <w:t>"</w:t>
      </w:r>
    </w:p>
    <w:p>
      <w:pPr>
        <w:spacing w:after="0" w:line="1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2013 Citicorp Credit Facility agreement includes affirmative, negative and financial covenants that, among other things, (a) require AAG and its restricted subsidiaries to maintain unrestricted liquidity of not less than $2.0 billion, with not less than $750 million held in accounts subject to control agreements, and (b) restrict the ability of US Airways Group, its subsidiaries party to the 2013 Citicorp Credit Facility, AAG and American to make certain investments, pay dividends and make certain other payments, make certain acquisitions, incur liens on the collateral, dispose of collateral, enter into certain affiliate transactions, enter into certain hedging transactions, and engage in certain business activities, in each case subject to certain exceptions. The 2013 Citicorp Credit Facility agreement contains events of default customary for similar financings, including a cross-default provision to certain other material indebtedness of US Airways and certain of its affiliates. Upon the occurrence of an event of default, the outstanding obligations under the 2013 Citicorp Credit Facility may be accelerated and become due and payable immediately.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Current Developments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2013-1 EETCs (US Airways)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first six months of 2014, US Airways issued $481 million of equipment notes in two series under its 2013-1 EETCs completed in April 2013: Series A equipment notes in the amount of $364 million bearing interest at 3.95% per annum and Series B equipment notes in the amount of $117 million bearing interest at 5.375% per annum. The equipment notes are secured by liens on aircraft.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Other Secured Indebtedness (American and US Airways)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May 2014, we elected to prepay $113 million principal amount of outstanding debt secured by certain aircraft.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June 2014, American entered into a loan agreement to borrow $53 million in connection with financing certain aircraft deliveries. The notes mature in 2026 and bear interest at a rate of LIBOR plus an applicable margin.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Obligations Associated with Special Facility Revenue Bonds (American and US Airways)</w:t>
      </w:r>
    </w:p>
    <w:p>
      <w:pPr>
        <w:spacing w:after="0" w:line="2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2014, we prepaid $51 million of obligations, of which $29 million was reflected as debt on our balance sheet, associated with special facility revenue bonds issued by municipalities to build or improve certain airport and maintenance facilities. Also in June, we gave notice that we intend to prepay an additional $261 million of special facility bond related obligations in the third quarter of 2014, of which $106 million is reflected as debt on our balance sheet. The off-balance sheet portion of these obligations are accounted for as operating leases.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7.25% Convertible Notes (US Airways Group)</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2014, we notified the holders of US Airways Group's 7.25% convertible notes that we had elected to settle solely in cash instead of shares of AAG Common Stock all conversions during the period beginning on March 15, 2014 and ending on, and including, the second scheduled trading day immediately preceding the maturity date of May 15, 2014. In May 2014, the Company settled all outstanding 7.25% convertible notes in cash for approximately $175 million.</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Guarantees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March 2014, AAG, US Airways Group and US Airways entered into amended and restated guarantees of the payment obligations of US Airways under the equipment notes relating to each of its Series 2010-1, 2011-1, 2012-1, 2012-2 and 2013-1 Pass Through Certificates the result of which was to add AAG as a guarantor of such equipment notes on a joint and several basis with US Airways Group.</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Collateral Related Covenants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of our debt financing agreements contain loan to value ratio covenants and require us to periodically appraise the collateral. Pursuant to such agreements, if the loan to value ratio exceeds a specified threshold, we are required, as applicable, to pledge additional qualifying collateral (which in some cases may include cash collateral), or pay down such financing, in whole or in part, with premium (if any), or pay additional interest on the related indebtedness, as described below.</w:t>
      </w:r>
    </w:p>
    <w:p>
      <w:pPr>
        <w:spacing w:after="0" w:line="13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Specifically, American is required to meet certain collateral coverage tests on a periodic basis on two financing transactions: (1) the Senior Secured Notes and (2) the Credit Facilities, and US Airways is required to meet a collateral coverage test on a periodic basis on the 2013 Citicorp Credit Facility. We were in compliance with the collateral coverage tests for each of these financing transactions as of the most recent measurement dates.</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Credit Ratings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details our credit ratings as of June 30, 2014:</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S&amp;P Local Issuer</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Fitch Issuer Default</w:t>
            </w: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Moody's Corporate</w:t>
            </w:r>
          </w:p>
        </w:tc>
      </w:tr>
      <w:tr>
        <w:trPr>
          <w:trHeight w:val="206"/>
        </w:trPr>
        <w:tc>
          <w:tcPr>
            <w:tcW w:w="5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Credit Rating</w:t>
            </w:r>
          </w:p>
        </w:tc>
        <w:tc>
          <w:tcPr>
            <w:tcW w:w="180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Credit Rating</w:t>
            </w:r>
          </w:p>
        </w:tc>
        <w:tc>
          <w:tcPr>
            <w:tcW w:w="1580" w:type="dxa"/>
            <w:vAlign w:val="bottom"/>
          </w:tcPr>
          <w:p>
            <w:pPr>
              <w:jc w:val="center"/>
              <w:spacing w:after="0"/>
              <w:rPr>
                <w:sz w:val="20"/>
                <w:szCs w:val="20"/>
                <w:color w:val="auto"/>
              </w:rPr>
            </w:pPr>
            <w:r>
              <w:rPr>
                <w:rFonts w:ascii="Arial" w:cs="Arial" w:eastAsia="Arial" w:hAnsi="Arial"/>
                <w:sz w:val="16"/>
                <w:szCs w:val="16"/>
                <w:color w:val="auto"/>
                <w:w w:val="96"/>
              </w:rPr>
              <w:t>Family Rating</w:t>
            </w:r>
          </w:p>
        </w:tc>
      </w:tr>
      <w:tr>
        <w:trPr>
          <w:trHeight w:val="33"/>
        </w:trPr>
        <w:tc>
          <w:tcPr>
            <w:tcW w:w="54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American Airlines Group</w:t>
            </w:r>
          </w:p>
        </w:tc>
        <w:tc>
          <w:tcPr>
            <w:tcW w:w="7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B</w:t>
            </w:r>
          </w:p>
        </w:tc>
        <w:tc>
          <w:tcPr>
            <w:tcW w:w="18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B+</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B1</w:t>
            </w:r>
          </w:p>
        </w:tc>
      </w:tr>
      <w:tr>
        <w:trPr>
          <w:trHeight w:val="237"/>
        </w:trPr>
        <w:tc>
          <w:tcPr>
            <w:tcW w:w="5460" w:type="dxa"/>
            <w:vAlign w:val="bottom"/>
          </w:tcPr>
          <w:p>
            <w:pPr>
              <w:ind w:left="40"/>
              <w:spacing w:after="0"/>
              <w:rPr>
                <w:sz w:val="20"/>
                <w:szCs w:val="20"/>
                <w:color w:val="auto"/>
              </w:rPr>
            </w:pPr>
            <w:r>
              <w:rPr>
                <w:rFonts w:ascii="Arial" w:cs="Arial" w:eastAsia="Arial" w:hAnsi="Arial"/>
                <w:sz w:val="16"/>
                <w:szCs w:val="16"/>
                <w:color w:val="auto"/>
              </w:rPr>
              <w:t>American Airlines</w:t>
            </w:r>
          </w:p>
        </w:tc>
        <w:tc>
          <w:tcPr>
            <w:tcW w:w="78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B</w:t>
            </w:r>
          </w:p>
        </w:tc>
        <w:tc>
          <w:tcPr>
            <w:tcW w:w="180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B+</w:t>
            </w:r>
          </w:p>
        </w:tc>
        <w:tc>
          <w:tcPr>
            <w:tcW w:w="1580" w:type="dxa"/>
            <w:vAlign w:val="bottom"/>
          </w:tcPr>
          <w:p>
            <w:pPr>
              <w:jc w:val="right"/>
              <w:ind w:right="659"/>
              <w:spacing w:after="0"/>
              <w:rPr>
                <w:sz w:val="20"/>
                <w:szCs w:val="20"/>
                <w:color w:val="auto"/>
              </w:rPr>
            </w:pPr>
            <w:r>
              <w:rPr>
                <w:rFonts w:ascii="Arial" w:cs="Arial" w:eastAsia="Arial" w:hAnsi="Arial"/>
                <w:sz w:val="16"/>
                <w:szCs w:val="16"/>
                <w:color w:val="auto"/>
              </w:rPr>
              <w:t>*</w:t>
            </w:r>
          </w:p>
        </w:tc>
      </w:tr>
      <w:tr>
        <w:trPr>
          <w:trHeight w:val="249"/>
        </w:trPr>
        <w:tc>
          <w:tcPr>
            <w:tcW w:w="5460" w:type="dxa"/>
            <w:vAlign w:val="bottom"/>
          </w:tcPr>
          <w:p>
            <w:pPr>
              <w:spacing w:after="0"/>
              <w:rPr>
                <w:sz w:val="20"/>
                <w:szCs w:val="20"/>
                <w:color w:val="auto"/>
              </w:rPr>
            </w:pPr>
            <w:r>
              <w:rPr>
                <w:rFonts w:ascii="Arial" w:cs="Arial" w:eastAsia="Arial" w:hAnsi="Arial"/>
                <w:sz w:val="18"/>
                <w:szCs w:val="18"/>
                <w:color w:val="auto"/>
                <w:w w:val="94"/>
              </w:rPr>
              <w:t>*  The credit agency does not rate this category for the respective entity.</w:t>
            </w:r>
          </w:p>
        </w:tc>
        <w:tc>
          <w:tcPr>
            <w:tcW w:w="7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459"/>
        </w:trPr>
        <w:tc>
          <w:tcPr>
            <w:tcW w:w="5460" w:type="dxa"/>
            <w:vAlign w:val="bottom"/>
          </w:tcPr>
          <w:p>
            <w:pPr>
              <w:spacing w:after="0"/>
              <w:rPr>
                <w:sz w:val="24"/>
                <w:szCs w:val="24"/>
                <w:color w:val="auto"/>
              </w:rPr>
            </w:pPr>
          </w:p>
        </w:tc>
        <w:tc>
          <w:tcPr>
            <w:tcW w:w="780" w:type="dxa"/>
            <w:vAlign w:val="bottom"/>
          </w:tcPr>
          <w:p>
            <w:pPr>
              <w:jc w:val="right"/>
              <w:ind w:right="350"/>
              <w:spacing w:after="0"/>
              <w:rPr>
                <w:sz w:val="20"/>
                <w:szCs w:val="20"/>
                <w:color w:val="auto"/>
              </w:rPr>
            </w:pPr>
            <w:r>
              <w:rPr>
                <w:rFonts w:ascii="Arial" w:cs="Arial" w:eastAsia="Arial" w:hAnsi="Arial"/>
                <w:sz w:val="18"/>
                <w:szCs w:val="18"/>
                <w:color w:val="auto"/>
              </w:rPr>
              <w:t>81</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decrease in our credit ratings could cause our borrowing costs to increase, which would increase our interest expense and could affect our net income, and our credit ratings could adversely affect our ability to obtain additional financing. If our financial performance or industry conditions worsen, we may face future downgrades, which could negatively impact our borrowing costs and the prices of our equity or debt securities. In addition, any downgrade of our credit ratings may indicate a decline in our business and in our ability to satisfy our obligations under our indebtedness.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Aircraft and Engine Purchase Commitments</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2014, we have definitive purchase agreements with Airbus, Boeing and other manufacturers for the acquisition of the following mainline and regional aircraft: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Remainder</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2019 and</w:t>
            </w:r>
          </w:p>
        </w:tc>
        <w:tc>
          <w:tcPr>
            <w:tcW w:w="880" w:type="dxa"/>
            <w:vAlign w:val="bottom"/>
          </w:tcPr>
          <w:p>
            <w:pPr>
              <w:spacing w:after="0"/>
              <w:rPr>
                <w:sz w:val="17"/>
                <w:szCs w:val="17"/>
                <w:color w:val="auto"/>
              </w:rPr>
            </w:pPr>
          </w:p>
        </w:tc>
      </w:tr>
      <w:tr>
        <w:trPr>
          <w:trHeight w:val="206"/>
        </w:trPr>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of 2014</w:t>
            </w:r>
          </w:p>
        </w:tc>
        <w:tc>
          <w:tcPr>
            <w:tcW w:w="860" w:type="dxa"/>
            <w:vAlign w:val="bottom"/>
          </w:tcPr>
          <w:p>
            <w:pPr>
              <w:jc w:val="right"/>
              <w:ind w:right="179"/>
              <w:spacing w:after="0"/>
              <w:rPr>
                <w:sz w:val="20"/>
                <w:szCs w:val="20"/>
                <w:color w:val="auto"/>
              </w:rPr>
            </w:pPr>
            <w:r>
              <w:rPr>
                <w:rFonts w:ascii="Arial" w:cs="Arial" w:eastAsia="Arial" w:hAnsi="Arial"/>
                <w:sz w:val="16"/>
                <w:szCs w:val="16"/>
                <w:color w:val="auto"/>
              </w:rPr>
              <w:t>2015</w:t>
            </w:r>
          </w:p>
        </w:tc>
        <w:tc>
          <w:tcPr>
            <w:tcW w:w="100" w:type="dxa"/>
            <w:vAlign w:val="bottom"/>
          </w:tcPr>
          <w:p>
            <w:pPr>
              <w:spacing w:after="0"/>
              <w:rPr>
                <w:sz w:val="17"/>
                <w:szCs w:val="17"/>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17"/>
                <w:szCs w:val="17"/>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17"/>
                <w:szCs w:val="17"/>
                <w:color w:val="auto"/>
              </w:rPr>
            </w:pP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Thereafter</w:t>
            </w: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Total</w:t>
            </w:r>
          </w:p>
        </w:tc>
      </w:tr>
      <w:tr>
        <w:trPr>
          <w:trHeight w:val="33"/>
        </w:trPr>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69"/>
        </w:trPr>
        <w:tc>
          <w:tcPr>
            <w:tcW w:w="2360" w:type="dxa"/>
            <w:vAlign w:val="bottom"/>
            <w:gridSpan w:val="5"/>
            <w:shd w:val="clear" w:color="auto" w:fill="CCEEFF"/>
          </w:tcPr>
          <w:p>
            <w:pPr>
              <w:ind w:left="40"/>
              <w:spacing w:after="0" w:line="169" w:lineRule="exact"/>
              <w:rPr>
                <w:sz w:val="20"/>
                <w:szCs w:val="20"/>
                <w:color w:val="auto"/>
              </w:rPr>
            </w:pPr>
            <w:r>
              <w:rPr>
                <w:rFonts w:ascii="Arial" w:cs="Arial" w:eastAsia="Arial" w:hAnsi="Arial"/>
                <w:sz w:val="16"/>
                <w:szCs w:val="16"/>
                <w:b w:val="1"/>
                <w:bCs w:val="1"/>
                <w:color w:val="auto"/>
              </w:rPr>
              <w:t>Airbus</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80" w:type="dxa"/>
            <w:vAlign w:val="bottom"/>
            <w:tcBorders>
              <w:top w:val="single" w:sz="8" w:color="CCEEFF"/>
            </w:tcBorders>
            <w:shd w:val="clear" w:color="auto" w:fill="CCEEFF"/>
          </w:tcPr>
          <w:p>
            <w:pPr>
              <w:spacing w:after="0"/>
              <w:rPr>
                <w:sz w:val="6"/>
                <w:szCs w:val="6"/>
                <w:color w:val="auto"/>
              </w:rPr>
            </w:pPr>
          </w:p>
        </w:tc>
      </w:tr>
      <w:tr>
        <w:trPr>
          <w:trHeight w:val="237"/>
        </w:trPr>
        <w:tc>
          <w:tcPr>
            <w:tcW w:w="40" w:type="dxa"/>
            <w:vAlign w:val="bottom"/>
          </w:tcPr>
          <w:p>
            <w:pPr>
              <w:spacing w:after="0"/>
              <w:rPr>
                <w:sz w:val="20"/>
                <w:szCs w:val="20"/>
                <w:color w:val="auto"/>
              </w:rPr>
            </w:pPr>
          </w:p>
        </w:tc>
        <w:tc>
          <w:tcPr>
            <w:tcW w:w="2320" w:type="dxa"/>
            <w:vAlign w:val="bottom"/>
            <w:gridSpan w:val="4"/>
          </w:tcPr>
          <w:p>
            <w:pPr>
              <w:ind w:left="240"/>
              <w:spacing w:after="0"/>
              <w:rPr>
                <w:sz w:val="20"/>
                <w:szCs w:val="20"/>
                <w:color w:val="auto"/>
              </w:rPr>
            </w:pPr>
            <w:r>
              <w:rPr>
                <w:rFonts w:ascii="Arial" w:cs="Arial" w:eastAsia="Arial" w:hAnsi="Arial"/>
                <w:sz w:val="16"/>
                <w:szCs w:val="16"/>
                <w:color w:val="auto"/>
              </w:rPr>
              <w:t>A320 Family</w:t>
            </w:r>
          </w:p>
        </w:tc>
        <w:tc>
          <w:tcPr>
            <w:tcW w:w="88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33"/>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6"/>
                <w:szCs w:val="16"/>
                <w:color w:val="auto"/>
              </w:rPr>
              <w:t>A320 Neo</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7"/>
        </w:trPr>
        <w:tc>
          <w:tcPr>
            <w:tcW w:w="40" w:type="dxa"/>
            <w:vAlign w:val="bottom"/>
          </w:tcPr>
          <w:p>
            <w:pPr>
              <w:spacing w:after="0"/>
              <w:rPr>
                <w:sz w:val="20"/>
                <w:szCs w:val="20"/>
                <w:color w:val="auto"/>
              </w:rPr>
            </w:pPr>
          </w:p>
        </w:tc>
        <w:tc>
          <w:tcPr>
            <w:tcW w:w="2320" w:type="dxa"/>
            <w:vAlign w:val="bottom"/>
            <w:gridSpan w:val="4"/>
          </w:tcPr>
          <w:p>
            <w:pPr>
              <w:ind w:left="240"/>
              <w:spacing w:after="0"/>
              <w:rPr>
                <w:sz w:val="20"/>
                <w:szCs w:val="20"/>
                <w:color w:val="auto"/>
              </w:rPr>
            </w:pPr>
            <w:r>
              <w:rPr>
                <w:rFonts w:ascii="Arial" w:cs="Arial" w:eastAsia="Arial" w:hAnsi="Arial"/>
                <w:sz w:val="16"/>
                <w:szCs w:val="16"/>
                <w:color w:val="auto"/>
              </w:rPr>
              <w:t>A350 XWB</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33"/>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89"/>
        </w:trPr>
        <w:tc>
          <w:tcPr>
            <w:tcW w:w="2360" w:type="dxa"/>
            <w:vAlign w:val="bottom"/>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Boeing</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r>
      <w:tr>
        <w:trPr>
          <w:trHeight w:val="237"/>
        </w:trPr>
        <w:tc>
          <w:tcPr>
            <w:tcW w:w="40" w:type="dxa"/>
            <w:vAlign w:val="bottom"/>
          </w:tcPr>
          <w:p>
            <w:pPr>
              <w:spacing w:after="0"/>
              <w:rPr>
                <w:sz w:val="20"/>
                <w:szCs w:val="20"/>
                <w:color w:val="auto"/>
              </w:rPr>
            </w:pPr>
          </w:p>
        </w:tc>
        <w:tc>
          <w:tcPr>
            <w:tcW w:w="2320" w:type="dxa"/>
            <w:vAlign w:val="bottom"/>
            <w:gridSpan w:val="4"/>
          </w:tcPr>
          <w:p>
            <w:pPr>
              <w:ind w:left="240"/>
              <w:spacing w:after="0"/>
              <w:rPr>
                <w:sz w:val="20"/>
                <w:szCs w:val="20"/>
                <w:color w:val="auto"/>
              </w:rPr>
            </w:pPr>
            <w:r>
              <w:rPr>
                <w:rFonts w:ascii="Arial" w:cs="Arial" w:eastAsia="Arial" w:hAnsi="Arial"/>
                <w:sz w:val="16"/>
                <w:szCs w:val="16"/>
                <w:color w:val="auto"/>
              </w:rPr>
              <w:t>737 Family</w:t>
            </w: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33"/>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6"/>
                <w:szCs w:val="16"/>
                <w:color w:val="auto"/>
              </w:rPr>
              <w:t>737 MAX</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7"/>
        </w:trPr>
        <w:tc>
          <w:tcPr>
            <w:tcW w:w="40" w:type="dxa"/>
            <w:vAlign w:val="bottom"/>
          </w:tcPr>
          <w:p>
            <w:pPr>
              <w:spacing w:after="0"/>
              <w:rPr>
                <w:sz w:val="20"/>
                <w:szCs w:val="20"/>
                <w:color w:val="auto"/>
              </w:rPr>
            </w:pPr>
          </w:p>
        </w:tc>
        <w:tc>
          <w:tcPr>
            <w:tcW w:w="2320" w:type="dxa"/>
            <w:vAlign w:val="bottom"/>
            <w:gridSpan w:val="4"/>
          </w:tcPr>
          <w:p>
            <w:pPr>
              <w:ind w:left="240"/>
              <w:spacing w:after="0"/>
              <w:rPr>
                <w:sz w:val="20"/>
                <w:szCs w:val="20"/>
                <w:color w:val="auto"/>
              </w:rPr>
            </w:pPr>
            <w:r>
              <w:rPr>
                <w:rFonts w:ascii="Arial" w:cs="Arial" w:eastAsia="Arial" w:hAnsi="Arial"/>
                <w:sz w:val="16"/>
                <w:szCs w:val="16"/>
                <w:color w:val="auto"/>
              </w:rPr>
              <w:t>777-300 ER</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3"/>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6"/>
                <w:szCs w:val="16"/>
                <w:color w:val="auto"/>
              </w:rPr>
              <w:t>787 Family</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189"/>
        </w:trPr>
        <w:tc>
          <w:tcPr>
            <w:tcW w:w="2360" w:type="dxa"/>
            <w:vAlign w:val="bottom"/>
            <w:gridSpan w:val="5"/>
          </w:tcPr>
          <w:p>
            <w:pPr>
              <w:ind w:left="40"/>
              <w:spacing w:after="0"/>
              <w:rPr>
                <w:sz w:val="20"/>
                <w:szCs w:val="20"/>
                <w:color w:val="auto"/>
              </w:rPr>
            </w:pPr>
            <w:r>
              <w:rPr>
                <w:rFonts w:ascii="Arial" w:cs="Arial" w:eastAsia="Arial" w:hAnsi="Arial"/>
                <w:sz w:val="16"/>
                <w:szCs w:val="16"/>
                <w:b w:val="1"/>
                <w:bCs w:val="1"/>
                <w:color w:val="auto"/>
              </w:rPr>
              <w:t>Bombardier</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61"/>
        </w:trPr>
        <w:tc>
          <w:tcPr>
            <w:tcW w:w="4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1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r>
      <w:tr>
        <w:trPr>
          <w:trHeight w:val="270"/>
        </w:trPr>
        <w:tc>
          <w:tcPr>
            <w:tcW w:w="40" w:type="dxa"/>
            <w:vAlign w:val="bottom"/>
            <w:shd w:val="clear" w:color="auto" w:fill="CCEEFF"/>
          </w:tcPr>
          <w:p>
            <w:pPr>
              <w:spacing w:after="0"/>
              <w:rPr>
                <w:sz w:val="23"/>
                <w:szCs w:val="23"/>
                <w:color w:val="auto"/>
              </w:rPr>
            </w:pPr>
          </w:p>
        </w:tc>
        <w:tc>
          <w:tcPr>
            <w:tcW w:w="232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 xml:space="preserve">CRJ900 </w:t>
            </w:r>
            <w:r>
              <w:rPr>
                <w:rFonts w:ascii="Arial" w:cs="Arial" w:eastAsia="Arial" w:hAnsi="Arial"/>
                <w:sz w:val="21"/>
                <w:szCs w:val="21"/>
                <w:color w:val="auto"/>
                <w:vertAlign w:val="superscript"/>
              </w:rPr>
              <w:t>(1)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189"/>
        </w:trPr>
        <w:tc>
          <w:tcPr>
            <w:tcW w:w="2360" w:type="dxa"/>
            <w:vAlign w:val="bottom"/>
            <w:gridSpan w:val="5"/>
          </w:tcPr>
          <w:p>
            <w:pPr>
              <w:ind w:left="40"/>
              <w:spacing w:after="0"/>
              <w:rPr>
                <w:sz w:val="20"/>
                <w:szCs w:val="20"/>
                <w:color w:val="auto"/>
              </w:rPr>
            </w:pPr>
            <w:r>
              <w:rPr>
                <w:rFonts w:ascii="Arial" w:cs="Arial" w:eastAsia="Arial" w:hAnsi="Arial"/>
                <w:sz w:val="16"/>
                <w:szCs w:val="16"/>
                <w:b w:val="1"/>
                <w:bCs w:val="1"/>
                <w:color w:val="auto"/>
              </w:rPr>
              <w:t>Embraer</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61"/>
        </w:trPr>
        <w:tc>
          <w:tcPr>
            <w:tcW w:w="4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r>
      <w:tr>
        <w:trPr>
          <w:trHeight w:val="270"/>
        </w:trPr>
        <w:tc>
          <w:tcPr>
            <w:tcW w:w="40" w:type="dxa"/>
            <w:vAlign w:val="bottom"/>
            <w:shd w:val="clear" w:color="auto" w:fill="CCEEFF"/>
          </w:tcPr>
          <w:p>
            <w:pPr>
              <w:spacing w:after="0"/>
              <w:rPr>
                <w:sz w:val="23"/>
                <w:szCs w:val="23"/>
                <w:color w:val="auto"/>
              </w:rPr>
            </w:pPr>
          </w:p>
        </w:tc>
        <w:tc>
          <w:tcPr>
            <w:tcW w:w="232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 xml:space="preserve">ERJ175 </w:t>
            </w:r>
            <w:r>
              <w:rPr>
                <w:rFonts w:ascii="Arial" w:cs="Arial" w:eastAsia="Arial" w:hAnsi="Arial"/>
                <w:sz w:val="21"/>
                <w:szCs w:val="21"/>
                <w:color w:val="auto"/>
                <w:vertAlign w:val="superscript"/>
              </w:rPr>
              <w:t>(1)</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7"/>
        </w:trPr>
        <w:tc>
          <w:tcPr>
            <w:tcW w:w="2360" w:type="dxa"/>
            <w:vAlign w:val="bottom"/>
            <w:gridSpan w:val="5"/>
          </w:tcPr>
          <w:p>
            <w:pPr>
              <w:ind w:left="40"/>
              <w:spacing w:after="0"/>
              <w:rPr>
                <w:sz w:val="20"/>
                <w:szCs w:val="20"/>
                <w:color w:val="auto"/>
              </w:rPr>
            </w:pPr>
            <w:r>
              <w:rPr>
                <w:rFonts w:ascii="Arial" w:cs="Arial" w:eastAsia="Arial" w:hAnsi="Arial"/>
                <w:sz w:val="16"/>
                <w:szCs w:val="16"/>
                <w:b w:val="1"/>
                <w:bCs w:val="1"/>
                <w:color w:val="auto"/>
              </w:rPr>
              <w:t>Total</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544</w:t>
            </w:r>
          </w:p>
        </w:tc>
      </w:tr>
    </w:tbl>
    <w:p>
      <w:pPr>
        <w:spacing w:after="0" w:line="181" w:lineRule="exact"/>
        <w:rPr>
          <w:sz w:val="20"/>
          <w:szCs w:val="20"/>
          <w:color w:val="auto"/>
        </w:rPr>
      </w:pPr>
    </w:p>
    <w:p>
      <w:pPr>
        <w:ind w:left="540" w:hanging="532"/>
        <w:spacing w:after="0" w:line="216" w:lineRule="auto"/>
        <w:tabs>
          <w:tab w:leader="none" w:pos="216" w:val="left"/>
        </w:tabs>
        <w:numPr>
          <w:ilvl w:val="0"/>
          <w:numId w:val="53"/>
        </w:numPr>
        <w:rPr>
          <w:rFonts w:ascii="Arial" w:cs="Arial" w:eastAsia="Arial" w:hAnsi="Arial"/>
          <w:sz w:val="25"/>
          <w:szCs w:val="25"/>
          <w:color w:val="auto"/>
          <w:vertAlign w:val="superscript"/>
        </w:rPr>
      </w:pPr>
      <w:r>
        <w:rPr>
          <w:rFonts w:ascii="Arial" w:cs="Arial" w:eastAsia="Arial" w:hAnsi="Arial"/>
          <w:sz w:val="18"/>
          <w:szCs w:val="18"/>
          <w:color w:val="auto"/>
        </w:rPr>
        <w:t>These aircraft may be operated by wholly-owned subsidiaries or leased to third-party regional carriers which would operate the aircraft under capacity purchase arrangements.</w:t>
      </w:r>
    </w:p>
    <w:p>
      <w:pPr>
        <w:spacing w:after="0" w:line="14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also have agreements for 52 spare engines to be delivered in 2014 and beyond. Under all of our aircraft and engine purchase agreements, our total future commitments as of June 30, 2014 are expected to be as follows (approximately,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6"/>
                <w:szCs w:val="16"/>
                <w:color w:val="auto"/>
                <w:w w:val="89"/>
              </w:rPr>
              <w:t>Remainder</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2019 and</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of 2014</w:t>
            </w:r>
          </w:p>
        </w:tc>
        <w:tc>
          <w:tcPr>
            <w:tcW w:w="180" w:type="dxa"/>
            <w:vAlign w:val="bottom"/>
          </w:tcPr>
          <w:p>
            <w:pPr>
              <w:spacing w:after="0"/>
              <w:rPr>
                <w:sz w:val="17"/>
                <w:szCs w:val="17"/>
                <w:color w:val="auto"/>
              </w:rPr>
            </w:pPr>
          </w:p>
        </w:tc>
        <w:tc>
          <w:tcPr>
            <w:tcW w:w="660" w:type="dxa"/>
            <w:vAlign w:val="bottom"/>
          </w:tcPr>
          <w:p>
            <w:pPr>
              <w:jc w:val="right"/>
              <w:ind w:right="173"/>
              <w:spacing w:after="0"/>
              <w:rPr>
                <w:sz w:val="20"/>
                <w:szCs w:val="20"/>
                <w:color w:val="auto"/>
              </w:rPr>
            </w:pPr>
            <w:r>
              <w:rPr>
                <w:rFonts w:ascii="Arial" w:cs="Arial" w:eastAsia="Arial" w:hAnsi="Arial"/>
                <w:sz w:val="16"/>
                <w:szCs w:val="16"/>
                <w:color w:val="auto"/>
              </w:rPr>
              <w:t>2015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153"/>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173"/>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153"/>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17"/>
                <w:szCs w:val="17"/>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6"/>
                <w:szCs w:val="16"/>
                <w:color w:val="auto"/>
                <w:w w:val="92"/>
              </w:rPr>
              <w:t>Thereafter</w:t>
            </w:r>
          </w:p>
        </w:tc>
        <w:tc>
          <w:tcPr>
            <w:tcW w:w="180" w:type="dxa"/>
            <w:vAlign w:val="bottom"/>
          </w:tcPr>
          <w:p>
            <w:pPr>
              <w:spacing w:after="0"/>
              <w:rPr>
                <w:sz w:val="17"/>
                <w:szCs w:val="17"/>
                <w:color w:val="auto"/>
              </w:rPr>
            </w:pPr>
          </w:p>
        </w:tc>
        <w:tc>
          <w:tcPr>
            <w:tcW w:w="620" w:type="dxa"/>
            <w:vAlign w:val="bottom"/>
          </w:tcPr>
          <w:p>
            <w:pPr>
              <w:jc w:val="right"/>
              <w:ind w:right="156"/>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3"/>
        </w:trPr>
        <w:tc>
          <w:tcPr>
            <w:tcW w:w="2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for American aircraft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3,947</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3,625</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11,159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620" w:type="dxa"/>
            <w:vAlign w:val="bottom"/>
            <w:shd w:val="clear" w:color="auto" w:fill="CCEEFF"/>
          </w:tcPr>
          <w:p>
            <w:pPr>
              <w:ind w:left="40"/>
              <w:spacing w:after="0" w:line="239" w:lineRule="exact"/>
              <w:rPr>
                <w:sz w:val="20"/>
                <w:szCs w:val="20"/>
                <w:color w:val="auto"/>
              </w:rPr>
            </w:pPr>
            <w:r>
              <w:rPr>
                <w:rFonts w:ascii="Arial" w:cs="Arial" w:eastAsia="Arial" w:hAnsi="Arial"/>
                <w:sz w:val="16"/>
                <w:szCs w:val="16"/>
                <w:color w:val="auto"/>
                <w:w w:val="98"/>
              </w:rPr>
              <w:t xml:space="preserve">commitments and certain engines </w:t>
            </w:r>
            <w:r>
              <w:rPr>
                <w:rFonts w:ascii="Arial" w:cs="Arial" w:eastAsia="Arial" w:hAnsi="Arial"/>
                <w:sz w:val="21"/>
                <w:szCs w:val="21"/>
                <w:color w:val="auto"/>
                <w:w w:val="98"/>
                <w:vertAlign w:val="superscript"/>
              </w:rPr>
              <w:t>(1)</w:t>
            </w:r>
          </w:p>
        </w:tc>
        <w:tc>
          <w:tcPr>
            <w:tcW w:w="140" w:type="dxa"/>
            <w:vAlign w:val="bottom"/>
            <w:vMerge w:val="continue"/>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27,803</w:t>
            </w:r>
          </w:p>
        </w:tc>
        <w:tc>
          <w:tcPr>
            <w:tcW w:w="0" w:type="dxa"/>
            <w:vAlign w:val="bottom"/>
          </w:tcPr>
          <w:p>
            <w:pPr>
              <w:spacing w:after="0"/>
              <w:rPr>
                <w:sz w:val="1"/>
                <w:szCs w:val="1"/>
                <w:color w:val="auto"/>
              </w:rPr>
            </w:pPr>
          </w:p>
        </w:tc>
      </w:tr>
      <w:tr>
        <w:trPr>
          <w:trHeight w:val="220"/>
        </w:trPr>
        <w:tc>
          <w:tcPr>
            <w:tcW w:w="2620" w:type="dxa"/>
            <w:vAlign w:val="bottom"/>
          </w:tcPr>
          <w:p>
            <w:pPr>
              <w:ind w:left="40"/>
              <w:spacing w:after="0"/>
              <w:rPr>
                <w:sz w:val="20"/>
                <w:szCs w:val="20"/>
                <w:color w:val="auto"/>
              </w:rPr>
            </w:pPr>
            <w:r>
              <w:rPr>
                <w:rFonts w:ascii="Arial" w:cs="Arial" w:eastAsia="Arial" w:hAnsi="Arial"/>
                <w:sz w:val="16"/>
                <w:szCs w:val="16"/>
                <w:color w:val="auto"/>
              </w:rPr>
              <w:t>Payments for US Airways aircraft</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19"/>
                <w:szCs w:val="19"/>
                <w:color w:val="auto"/>
              </w:rPr>
            </w:pPr>
          </w:p>
        </w:tc>
        <w:tc>
          <w:tcPr>
            <w:tcW w:w="1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3,342</w:t>
            </w:r>
          </w:p>
        </w:tc>
        <w:tc>
          <w:tcPr>
            <w:tcW w:w="0" w:type="dxa"/>
            <w:vAlign w:val="bottom"/>
          </w:tcPr>
          <w:p>
            <w:pPr>
              <w:spacing w:after="0"/>
              <w:rPr>
                <w:sz w:val="1"/>
                <w:szCs w:val="1"/>
                <w:color w:val="auto"/>
              </w:rPr>
            </w:pPr>
          </w:p>
        </w:tc>
      </w:tr>
      <w:tr>
        <w:trPr>
          <w:trHeight w:val="212"/>
        </w:trPr>
        <w:tc>
          <w:tcPr>
            <w:tcW w:w="2620" w:type="dxa"/>
            <w:vAlign w:val="bottom"/>
          </w:tcPr>
          <w:p>
            <w:pPr>
              <w:ind w:left="40"/>
              <w:spacing w:after="0"/>
              <w:rPr>
                <w:sz w:val="20"/>
                <w:szCs w:val="20"/>
                <w:color w:val="auto"/>
              </w:rPr>
            </w:pPr>
            <w:r>
              <w:rPr>
                <w:rFonts w:ascii="Arial" w:cs="Arial" w:eastAsia="Arial" w:hAnsi="Arial"/>
                <w:sz w:val="16"/>
                <w:szCs w:val="16"/>
                <w:color w:val="auto"/>
              </w:rPr>
              <w:t>commitments and certain engines</w:t>
            </w:r>
          </w:p>
        </w:tc>
        <w:tc>
          <w:tcPr>
            <w:tcW w:w="14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20" w:hanging="332"/>
        <w:spacing w:after="0" w:line="227" w:lineRule="auto"/>
        <w:tabs>
          <w:tab w:leader="none" w:pos="340" w:val="left"/>
        </w:tabs>
        <w:numPr>
          <w:ilvl w:val="0"/>
          <w:numId w:val="54"/>
        </w:numPr>
        <w:rPr>
          <w:rFonts w:ascii="Arial" w:cs="Arial" w:eastAsia="Arial" w:hAnsi="Arial"/>
          <w:sz w:val="24"/>
          <w:szCs w:val="24"/>
          <w:color w:val="auto"/>
          <w:vertAlign w:val="superscript"/>
        </w:rPr>
      </w:pPr>
      <w:r>
        <w:rPr>
          <w:rFonts w:ascii="Arial" w:cs="Arial" w:eastAsia="Arial" w:hAnsi="Arial"/>
          <w:sz w:val="17"/>
          <w:szCs w:val="17"/>
          <w:color w:val="auto"/>
        </w:rPr>
        <w:t>These amounts are net of purchase deposits currently held by the manufacturers and include all commitments for regional aircraft. American has granted Boeing a security interest in its purchase deposits with Boeing. Our purchase deposits totaled $1.0 billion as of June 30, 2014.</w:t>
      </w:r>
    </w:p>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April 2014, we exercised our option to purchase and terminated our existing lease financing arrangements with respect to 62 Airbus A320 family aircraft scheduled to be delivered between the first quarter of 2015 and the third quarter of 2017. In connection with our exercise of such option, we also exercised our right to convert firm orders for 30 Airbus A320 family NEO aircraft, scheduled to be delivered in 2021 and 2022, to options to acquire such aircraft. The table above reflects these changes.</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do not have financing commitments for the following aircraft currently on order and scheduled to be delivered through 2016: 72 Airbus 320 family aircraft, 4 Boeing 737 family aircraft, 7 Boeing 777-300ER aircraft and 18 Boeing 787 family aircraft. In addition, we do not have financing commitments in place for the majority of aircraft currently on order and scheduled to be delivered in 2017 and beyond. See Part II, Item 1A - Risk Factors - "</w:t>
      </w:r>
      <w:r>
        <w:rPr>
          <w:rFonts w:ascii="Arial" w:cs="Arial" w:eastAsia="Arial" w:hAnsi="Arial"/>
          <w:sz w:val="18"/>
          <w:szCs w:val="18"/>
          <w:i w:val="1"/>
          <w:iCs w:val="1"/>
          <w:color w:val="auto"/>
        </w:rPr>
        <w:t>We will need to obtain sufficient financing or other capital to operate successfully</w:t>
      </w:r>
      <w:r>
        <w:rPr>
          <w:rFonts w:ascii="Arial" w:cs="Arial" w:eastAsia="Arial" w:hAnsi="Arial"/>
          <w:sz w:val="18"/>
          <w:szCs w:val="18"/>
          <w:color w:val="auto"/>
        </w:rPr>
        <w: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Credit Card Processing and Other Reserves</w:t>
      </w:r>
    </w:p>
    <w:p>
      <w:pPr>
        <w:spacing w:after="0" w:line="21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agreements with companies that process customer credit card transactions for the sale of air travel and other services. Credit card processors have financial risk associated with tickets purchased for travel because, although the processor generally forwards the cash related to the purchase to us soon after the purchase is completed, the air travel generally occurs after that time, and the processor may have liability if we do not ultimately provide the air travel. Our agreements allow these processing companies, under certain conditions, to hold an amount of our cash (referred to as a "holdback") equal to a portion of advance ticket sales that have been processed by that company, but for which we have not yet provided the air transportation. We are not currently required to maintain any holdbacks pursuant to these requirements. Certain of our agreements provide that these holdback requirements can be modified at the discretion of the processing companies, up to the estimated liability for future air travel purchased with the respective credit cards, upon the occurrence of specified events, including material adverse changes in our financial condition. The amount that the processing companies may withhold also varies as a result of changes in financial risk due to seasonal fluctuations in ticket volume. Additional holdback requirements will reduce our liquidity in the form of unrestricted cash by the amount of the holdbacks.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Pension Funding Obligation</w:t>
      </w:r>
    </w:p>
    <w:p>
      <w:pPr>
        <w:spacing w:after="0" w:line="2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required to make minimum contributions to our defined benefit pension plans under the minimum funding requirements of ERISA, the Pension Funding Equity Act of 2004, the Pension Protection Act of 2006, the Pension Relief Act of 2010, and the Moving Ahead for Progress in the 21st Century Act of 2012. During the first six months of 2014, we contributed $71 million to our defined benefit pension plans. On July 15, 2014, we contributed an additional $37 million to our defined benefit pension plans.</w:t>
      </w:r>
    </w:p>
    <w:p>
      <w:pPr>
        <w:spacing w:after="0" w:line="1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minimum required contribution to our pension plans for 2014 is $120 million. Currently, our minimum funding obligation for our pension plans is subject to temporary favorable rules that are scheduled to expire at the end of 2017. Upon expiration of these rules, our funding obligations are likely to increase materially.</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Labor Agreements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2014, we reached three tentative agreements with the International Association of Machinists (IAM) covering 11,000 US Airways mechanics, fleet service agents and maintenance training specialists. In July 2014, these three-year agreements that amend pre-merger contracts were ratified by IAM and will remain in effect until a joint collective bargaining agreement can be reached with their colleagues at the Transport Workers Union (TWU) to cover more than 30,000 employees at the new American Airlines.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material changes in our off-balance sheet arrangements as set forth in our 2013 AAG Form 10-K.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AAG Contractual Obligations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details of our future cash contractual obligations as of June 30, 2014.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40" w:type="dxa"/>
            <w:vAlign w:val="bottom"/>
            <w:gridSpan w:val="7"/>
          </w:tcPr>
          <w:p>
            <w:pPr>
              <w:ind w:left="80"/>
              <w:spacing w:after="0"/>
              <w:rPr>
                <w:sz w:val="20"/>
                <w:szCs w:val="20"/>
                <w:color w:val="auto"/>
              </w:rPr>
            </w:pPr>
            <w:r>
              <w:rPr>
                <w:rFonts w:ascii="Arial" w:cs="Arial" w:eastAsia="Arial" w:hAnsi="Arial"/>
                <w:sz w:val="16"/>
                <w:szCs w:val="16"/>
                <w:color w:val="auto"/>
                <w:w w:val="99"/>
              </w:rPr>
              <w:t>Payments due by Period</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6"/>
                <w:szCs w:val="16"/>
                <w:color w:val="auto"/>
                <w:w w:val="91"/>
              </w:rPr>
              <w:t>Remainder</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2019 and</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of 2014</w:t>
            </w:r>
          </w:p>
        </w:tc>
        <w:tc>
          <w:tcPr>
            <w:tcW w:w="160" w:type="dxa"/>
            <w:vAlign w:val="bottom"/>
          </w:tcPr>
          <w:p>
            <w:pPr>
              <w:spacing w:after="0"/>
              <w:rPr>
                <w:sz w:val="17"/>
                <w:szCs w:val="17"/>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13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7"/>
                <w:szCs w:val="17"/>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6"/>
                <w:szCs w:val="16"/>
                <w:color w:val="auto"/>
                <w:w w:val="92"/>
              </w:rPr>
              <w:t>Thereafter</w:t>
            </w:r>
          </w:p>
        </w:tc>
        <w:tc>
          <w:tcPr>
            <w:tcW w:w="160" w:type="dxa"/>
            <w:vAlign w:val="bottom"/>
          </w:tcPr>
          <w:p>
            <w:pPr>
              <w:spacing w:after="0"/>
              <w:rPr>
                <w:sz w:val="17"/>
                <w:szCs w:val="17"/>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4"/>
          </w:tcPr>
          <w:p>
            <w:pPr>
              <w:ind w:left="80"/>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American Airlines</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900" w:type="dxa"/>
            <w:vAlign w:val="bottom"/>
            <w:gridSpan w:val="2"/>
          </w:tcPr>
          <w:p>
            <w:pPr>
              <w:ind w:left="280"/>
              <w:spacing w:after="0" w:line="220" w:lineRule="exact"/>
              <w:rPr>
                <w:sz w:val="20"/>
                <w:szCs w:val="20"/>
                <w:color w:val="auto"/>
              </w:rPr>
            </w:pPr>
            <w:r>
              <w:rPr>
                <w:rFonts w:ascii="Arial" w:cs="Arial" w:eastAsia="Arial" w:hAnsi="Arial"/>
                <w:sz w:val="16"/>
                <w:szCs w:val="16"/>
                <w:color w:val="auto"/>
                <w:w w:val="98"/>
              </w:rPr>
              <w:t xml:space="preserve">Debt and capital lease obligations </w:t>
            </w:r>
            <w:r>
              <w:rPr>
                <w:rFonts w:ascii="Arial" w:cs="Arial" w:eastAsia="Arial" w:hAnsi="Arial"/>
                <w:sz w:val="21"/>
                <w:szCs w:val="21"/>
                <w:color w:val="auto"/>
                <w:w w:val="98"/>
                <w:vertAlign w:val="superscript"/>
              </w:rPr>
              <w:t>(1),</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563</w:t>
            </w:r>
          </w:p>
        </w:tc>
        <w:tc>
          <w:tcPr>
            <w:tcW w:w="12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890</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1,712</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859</w:t>
            </w:r>
          </w:p>
        </w:tc>
        <w:tc>
          <w:tcPr>
            <w:tcW w:w="10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742</w:t>
            </w:r>
          </w:p>
        </w:tc>
        <w:tc>
          <w:tcPr>
            <w:tcW w:w="10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5,844</w:t>
            </w:r>
          </w:p>
        </w:tc>
        <w:tc>
          <w:tcPr>
            <w:tcW w:w="10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10,610</w:t>
            </w:r>
          </w:p>
        </w:tc>
        <w:tc>
          <w:tcPr>
            <w:tcW w:w="0" w:type="dxa"/>
            <w:vAlign w:val="bottom"/>
          </w:tcPr>
          <w:p>
            <w:pPr>
              <w:spacing w:after="0"/>
              <w:rPr>
                <w:sz w:val="1"/>
                <w:szCs w:val="1"/>
                <w:color w:val="auto"/>
              </w:rPr>
            </w:pPr>
          </w:p>
        </w:tc>
      </w:tr>
      <w:tr>
        <w:trPr>
          <w:trHeight w:val="136"/>
        </w:trPr>
        <w:tc>
          <w:tcPr>
            <w:tcW w:w="2800" w:type="dxa"/>
            <w:vAlign w:val="bottom"/>
          </w:tcPr>
          <w:p>
            <w:pPr>
              <w:ind w:left="280"/>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 xml:space="preserve">Interest obligations </w:t>
            </w:r>
            <w:r>
              <w:rPr>
                <w:rFonts w:ascii="Arial" w:cs="Arial" w:eastAsia="Arial" w:hAnsi="Arial"/>
                <w:sz w:val="21"/>
                <w:szCs w:val="21"/>
                <w:color w:val="auto"/>
                <w:vertAlign w:val="superscript"/>
              </w:rPr>
              <w:t>(2), (3)</w:t>
            </w: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3,235</w:t>
            </w:r>
          </w:p>
        </w:tc>
        <w:tc>
          <w:tcPr>
            <w:tcW w:w="0" w:type="dxa"/>
            <w:vAlign w:val="bottom"/>
          </w:tcPr>
          <w:p>
            <w:pPr>
              <w:spacing w:after="0"/>
              <w:rPr>
                <w:sz w:val="1"/>
                <w:szCs w:val="1"/>
                <w:color w:val="auto"/>
              </w:rPr>
            </w:pPr>
          </w:p>
        </w:tc>
      </w:tr>
      <w:tr>
        <w:trPr>
          <w:trHeight w:val="220"/>
        </w:trPr>
        <w:tc>
          <w:tcPr>
            <w:tcW w:w="2900" w:type="dxa"/>
            <w:vAlign w:val="bottom"/>
            <w:gridSpan w:val="2"/>
          </w:tcPr>
          <w:p>
            <w:pPr>
              <w:ind w:left="280"/>
              <w:spacing w:after="0"/>
              <w:rPr>
                <w:sz w:val="20"/>
                <w:szCs w:val="20"/>
                <w:color w:val="auto"/>
              </w:rPr>
            </w:pPr>
            <w:r>
              <w:rPr>
                <w:rFonts w:ascii="Arial" w:cs="Arial" w:eastAsia="Arial" w:hAnsi="Arial"/>
                <w:sz w:val="16"/>
                <w:szCs w:val="16"/>
                <w:color w:val="auto"/>
              </w:rPr>
              <w:t>Commitments for aircraft and engine</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900" w:type="dxa"/>
            <w:vAlign w:val="bottom"/>
            <w:gridSpan w:val="2"/>
          </w:tcPr>
          <w:p>
            <w:pPr>
              <w:ind w:left="280"/>
              <w:spacing w:after="0" w:line="239" w:lineRule="exact"/>
              <w:rPr>
                <w:sz w:val="20"/>
                <w:szCs w:val="20"/>
                <w:color w:val="auto"/>
              </w:rPr>
            </w:pPr>
            <w:r>
              <w:rPr>
                <w:rFonts w:ascii="Arial" w:cs="Arial" w:eastAsia="Arial" w:hAnsi="Arial"/>
                <w:sz w:val="16"/>
                <w:szCs w:val="16"/>
                <w:color w:val="auto"/>
                <w:w w:val="95"/>
              </w:rPr>
              <w:t xml:space="preserve">purchases and operating leases </w:t>
            </w:r>
            <w:r>
              <w:rPr>
                <w:rFonts w:ascii="Arial" w:cs="Arial" w:eastAsia="Arial" w:hAnsi="Arial"/>
                <w:sz w:val="21"/>
                <w:szCs w:val="21"/>
                <w:color w:val="auto"/>
                <w:w w:val="95"/>
                <w:vertAlign w:val="superscript"/>
              </w:rPr>
              <w:t>(4), (5)</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5,271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4,722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4,663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16,405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38,390</w:t>
            </w:r>
          </w:p>
        </w:tc>
        <w:tc>
          <w:tcPr>
            <w:tcW w:w="0" w:type="dxa"/>
            <w:vAlign w:val="bottom"/>
          </w:tcPr>
          <w:p>
            <w:pPr>
              <w:spacing w:after="0"/>
              <w:rPr>
                <w:sz w:val="1"/>
                <w:szCs w:val="1"/>
                <w:color w:val="auto"/>
              </w:rPr>
            </w:pPr>
          </w:p>
        </w:tc>
      </w:tr>
      <w:tr>
        <w:trPr>
          <w:trHeight w:val="220"/>
        </w:trPr>
        <w:tc>
          <w:tcPr>
            <w:tcW w:w="29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Regional capacity purchase</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900" w:type="dxa"/>
            <w:vAlign w:val="bottom"/>
            <w:gridSpan w:val="2"/>
            <w:shd w:val="clear" w:color="auto" w:fill="CCEEFF"/>
          </w:tcPr>
          <w:p>
            <w:pPr>
              <w:ind w:left="280"/>
              <w:spacing w:after="0" w:line="239" w:lineRule="exact"/>
              <w:rPr>
                <w:sz w:val="20"/>
                <w:szCs w:val="20"/>
                <w:color w:val="auto"/>
              </w:rPr>
            </w:pPr>
            <w:r>
              <w:rPr>
                <w:rFonts w:ascii="Arial" w:cs="Arial" w:eastAsia="Arial" w:hAnsi="Arial"/>
                <w:sz w:val="16"/>
                <w:szCs w:val="16"/>
                <w:color w:val="auto"/>
              </w:rPr>
              <w:t xml:space="preserve">agreements </w:t>
            </w:r>
            <w:r>
              <w:rPr>
                <w:rFonts w:ascii="Arial" w:cs="Arial" w:eastAsia="Arial" w:hAnsi="Arial"/>
                <w:sz w:val="21"/>
                <w:szCs w:val="21"/>
                <w:color w:val="auto"/>
                <w:vertAlign w:val="superscript"/>
              </w:rPr>
              <w:t>(6)</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6,892</w:t>
            </w:r>
          </w:p>
        </w:tc>
        <w:tc>
          <w:tcPr>
            <w:tcW w:w="0" w:type="dxa"/>
            <w:vAlign w:val="bottom"/>
          </w:tcPr>
          <w:p>
            <w:pPr>
              <w:spacing w:after="0"/>
              <w:rPr>
                <w:sz w:val="1"/>
                <w:szCs w:val="1"/>
                <w:color w:val="auto"/>
              </w:rPr>
            </w:pPr>
          </w:p>
        </w:tc>
      </w:tr>
      <w:tr>
        <w:trPr>
          <w:trHeight w:val="220"/>
        </w:trPr>
        <w:tc>
          <w:tcPr>
            <w:tcW w:w="2900" w:type="dxa"/>
            <w:vAlign w:val="bottom"/>
            <w:gridSpan w:val="2"/>
          </w:tcPr>
          <w:p>
            <w:pPr>
              <w:ind w:left="280"/>
              <w:spacing w:after="0"/>
              <w:rPr>
                <w:sz w:val="20"/>
                <w:szCs w:val="20"/>
                <w:color w:val="auto"/>
              </w:rPr>
            </w:pPr>
            <w:r>
              <w:rPr>
                <w:rFonts w:ascii="Arial" w:cs="Arial" w:eastAsia="Arial" w:hAnsi="Arial"/>
                <w:sz w:val="16"/>
                <w:szCs w:val="16"/>
                <w:color w:val="auto"/>
              </w:rPr>
              <w:t>Minimum pension contribution and</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900" w:type="dxa"/>
            <w:vAlign w:val="bottom"/>
            <w:tcBorders>
              <w:bottom w:val="single" w:sz="8" w:color="CCEEFF"/>
            </w:tcBorders>
            <w:gridSpan w:val="2"/>
          </w:tcPr>
          <w:p>
            <w:pPr>
              <w:ind w:left="280"/>
              <w:spacing w:after="0" w:line="239" w:lineRule="exact"/>
              <w:rPr>
                <w:sz w:val="20"/>
                <w:szCs w:val="20"/>
                <w:color w:val="auto"/>
              </w:rPr>
            </w:pPr>
            <w:r>
              <w:rPr>
                <w:rFonts w:ascii="Arial" w:cs="Arial" w:eastAsia="Arial" w:hAnsi="Arial"/>
                <w:sz w:val="16"/>
                <w:szCs w:val="16"/>
                <w:color w:val="auto"/>
              </w:rPr>
              <w:t xml:space="preserve">other purchase obligations </w:t>
            </w:r>
            <w:r>
              <w:rPr>
                <w:rFonts w:ascii="Arial" w:cs="Arial" w:eastAsia="Arial" w:hAnsi="Arial"/>
                <w:sz w:val="21"/>
                <w:szCs w:val="21"/>
                <w:color w:val="auto"/>
                <w:vertAlign w:val="superscript"/>
              </w:rPr>
              <w:t>(7)</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3,979</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5,497</w:t>
            </w:r>
          </w:p>
        </w:tc>
        <w:tc>
          <w:tcPr>
            <w:tcW w:w="0" w:type="dxa"/>
            <w:vAlign w:val="bottom"/>
          </w:tcPr>
          <w:p>
            <w:pPr>
              <w:spacing w:after="0"/>
              <w:rPr>
                <w:sz w:val="1"/>
                <w:szCs w:val="1"/>
                <w:color w:val="auto"/>
              </w:rPr>
            </w:pPr>
          </w:p>
        </w:tc>
      </w:tr>
      <w:tr>
        <w:trPr>
          <w:trHeight w:val="250"/>
        </w:trPr>
        <w:tc>
          <w:tcPr>
            <w:tcW w:w="29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Total AA Contractual Obligations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7,787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8,386</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64,624</w:t>
            </w:r>
          </w:p>
        </w:tc>
        <w:tc>
          <w:tcPr>
            <w:tcW w:w="0" w:type="dxa"/>
            <w:vAlign w:val="bottom"/>
          </w:tcPr>
          <w:p>
            <w:pPr>
              <w:spacing w:after="0"/>
              <w:rPr>
                <w:sz w:val="1"/>
                <w:szCs w:val="1"/>
                <w:color w:val="auto"/>
              </w:rPr>
            </w:pPr>
          </w:p>
        </w:tc>
      </w:tr>
      <w:tr>
        <w:trPr>
          <w:trHeight w:val="318"/>
        </w:trPr>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900" w:type="dxa"/>
            <w:vAlign w:val="bottom"/>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US Airways Group and Other AAG</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i w:val="1"/>
                <w:iCs w:val="1"/>
                <w:color w:val="auto"/>
              </w:rPr>
              <w:t>subsidiaries</w:t>
            </w: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00" w:type="dxa"/>
            <w:vAlign w:val="bottom"/>
            <w:gridSpan w:val="2"/>
          </w:tcPr>
          <w:p>
            <w:pPr>
              <w:ind w:left="280"/>
              <w:spacing w:after="0" w:line="220" w:lineRule="exact"/>
              <w:rPr>
                <w:sz w:val="20"/>
                <w:szCs w:val="20"/>
                <w:color w:val="auto"/>
              </w:rPr>
            </w:pPr>
            <w:r>
              <w:rPr>
                <w:rFonts w:ascii="Arial" w:cs="Arial" w:eastAsia="Arial" w:hAnsi="Arial"/>
                <w:sz w:val="16"/>
                <w:szCs w:val="16"/>
                <w:color w:val="auto"/>
                <w:w w:val="98"/>
              </w:rPr>
              <w:t xml:space="preserve">Debt and capital lease obligations </w:t>
            </w:r>
            <w:r>
              <w:rPr>
                <w:rFonts w:ascii="Arial" w:cs="Arial" w:eastAsia="Arial" w:hAnsi="Arial"/>
                <w:sz w:val="21"/>
                <w:szCs w:val="21"/>
                <w:color w:val="auto"/>
                <w:w w:val="98"/>
                <w:vertAlign w:val="superscript"/>
              </w:rPr>
              <w:t>(1),</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472</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959</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1,032</w:t>
            </w:r>
          </w:p>
        </w:tc>
        <w:tc>
          <w:tcPr>
            <w:tcW w:w="10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3,033</w:t>
            </w:r>
          </w:p>
        </w:tc>
        <w:tc>
          <w:tcPr>
            <w:tcW w:w="10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6,185</w:t>
            </w:r>
          </w:p>
        </w:tc>
        <w:tc>
          <w:tcPr>
            <w:tcW w:w="0" w:type="dxa"/>
            <w:vAlign w:val="bottom"/>
          </w:tcPr>
          <w:p>
            <w:pPr>
              <w:spacing w:after="0"/>
              <w:rPr>
                <w:sz w:val="1"/>
                <w:szCs w:val="1"/>
                <w:color w:val="auto"/>
              </w:rPr>
            </w:pPr>
          </w:p>
        </w:tc>
      </w:tr>
      <w:tr>
        <w:trPr>
          <w:trHeight w:val="136"/>
        </w:trPr>
        <w:tc>
          <w:tcPr>
            <w:tcW w:w="2800" w:type="dxa"/>
            <w:vAlign w:val="bottom"/>
          </w:tcPr>
          <w:p>
            <w:pPr>
              <w:ind w:left="280"/>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9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 xml:space="preserve">Interest obligations </w:t>
            </w:r>
            <w:r>
              <w:rPr>
                <w:rFonts w:ascii="Arial" w:cs="Arial" w:eastAsia="Arial" w:hAnsi="Arial"/>
                <w:sz w:val="21"/>
                <w:szCs w:val="21"/>
                <w:color w:val="auto"/>
                <w:vertAlign w:val="superscript"/>
              </w:rPr>
              <w:t>(2), (3)</w:t>
            </w: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1,516</w:t>
            </w:r>
          </w:p>
        </w:tc>
        <w:tc>
          <w:tcPr>
            <w:tcW w:w="0" w:type="dxa"/>
            <w:vAlign w:val="bottom"/>
          </w:tcPr>
          <w:p>
            <w:pPr>
              <w:spacing w:after="0"/>
              <w:rPr>
                <w:sz w:val="1"/>
                <w:szCs w:val="1"/>
                <w:color w:val="auto"/>
              </w:rPr>
            </w:pPr>
          </w:p>
        </w:tc>
      </w:tr>
      <w:tr>
        <w:trPr>
          <w:trHeight w:val="220"/>
        </w:trPr>
        <w:tc>
          <w:tcPr>
            <w:tcW w:w="2900" w:type="dxa"/>
            <w:vAlign w:val="bottom"/>
            <w:gridSpan w:val="2"/>
          </w:tcPr>
          <w:p>
            <w:pPr>
              <w:ind w:left="280"/>
              <w:spacing w:after="0"/>
              <w:rPr>
                <w:sz w:val="20"/>
                <w:szCs w:val="20"/>
                <w:color w:val="auto"/>
              </w:rPr>
            </w:pPr>
            <w:r>
              <w:rPr>
                <w:rFonts w:ascii="Arial" w:cs="Arial" w:eastAsia="Arial" w:hAnsi="Arial"/>
                <w:sz w:val="16"/>
                <w:szCs w:val="16"/>
                <w:color w:val="auto"/>
              </w:rPr>
              <w:t>Commitments for aircraft and engine</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900" w:type="dxa"/>
            <w:vAlign w:val="bottom"/>
            <w:gridSpan w:val="2"/>
          </w:tcPr>
          <w:p>
            <w:pPr>
              <w:ind w:left="280"/>
              <w:spacing w:after="0" w:line="239" w:lineRule="exact"/>
              <w:rPr>
                <w:sz w:val="20"/>
                <w:szCs w:val="20"/>
                <w:color w:val="auto"/>
              </w:rPr>
            </w:pPr>
            <w:r>
              <w:rPr>
                <w:rFonts w:ascii="Arial" w:cs="Arial" w:eastAsia="Arial" w:hAnsi="Arial"/>
                <w:sz w:val="16"/>
                <w:szCs w:val="16"/>
                <w:color w:val="auto"/>
                <w:w w:val="95"/>
              </w:rPr>
              <w:t xml:space="preserve">purchases and operating leases </w:t>
            </w:r>
            <w:r>
              <w:rPr>
                <w:rFonts w:ascii="Arial" w:cs="Arial" w:eastAsia="Arial" w:hAnsi="Arial"/>
                <w:sz w:val="21"/>
                <w:szCs w:val="21"/>
                <w:color w:val="auto"/>
                <w:w w:val="95"/>
                <w:vertAlign w:val="superscript"/>
              </w:rPr>
              <w:t>(4), (5)</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1,432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7,508</w:t>
            </w:r>
          </w:p>
        </w:tc>
        <w:tc>
          <w:tcPr>
            <w:tcW w:w="0" w:type="dxa"/>
            <w:vAlign w:val="bottom"/>
          </w:tcPr>
          <w:p>
            <w:pPr>
              <w:spacing w:after="0"/>
              <w:rPr>
                <w:sz w:val="1"/>
                <w:szCs w:val="1"/>
                <w:color w:val="auto"/>
              </w:rPr>
            </w:pPr>
          </w:p>
        </w:tc>
      </w:tr>
      <w:tr>
        <w:trPr>
          <w:trHeight w:val="220"/>
        </w:trPr>
        <w:tc>
          <w:tcPr>
            <w:tcW w:w="29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Regional capacity purchase</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900" w:type="dxa"/>
            <w:vAlign w:val="bottom"/>
            <w:gridSpan w:val="2"/>
            <w:shd w:val="clear" w:color="auto" w:fill="CCEEFF"/>
          </w:tcPr>
          <w:p>
            <w:pPr>
              <w:ind w:left="280"/>
              <w:spacing w:after="0" w:line="239" w:lineRule="exact"/>
              <w:rPr>
                <w:sz w:val="20"/>
                <w:szCs w:val="20"/>
                <w:color w:val="auto"/>
              </w:rPr>
            </w:pPr>
            <w:r>
              <w:rPr>
                <w:rFonts w:ascii="Arial" w:cs="Arial" w:eastAsia="Arial" w:hAnsi="Arial"/>
                <w:sz w:val="16"/>
                <w:szCs w:val="16"/>
                <w:color w:val="auto"/>
              </w:rPr>
              <w:t xml:space="preserve">agreements </w:t>
            </w:r>
            <w:r>
              <w:rPr>
                <w:rFonts w:ascii="Arial" w:cs="Arial" w:eastAsia="Arial" w:hAnsi="Arial"/>
                <w:sz w:val="21"/>
                <w:szCs w:val="21"/>
                <w:color w:val="auto"/>
                <w:vertAlign w:val="superscript"/>
              </w:rPr>
              <w:t>(6)</w:t>
            </w: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1,293</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5,133</w:t>
            </w:r>
          </w:p>
        </w:tc>
        <w:tc>
          <w:tcPr>
            <w:tcW w:w="0" w:type="dxa"/>
            <w:vAlign w:val="bottom"/>
          </w:tcPr>
          <w:p>
            <w:pPr>
              <w:spacing w:after="0"/>
              <w:rPr>
                <w:sz w:val="1"/>
                <w:szCs w:val="1"/>
                <w:color w:val="auto"/>
              </w:rPr>
            </w:pPr>
          </w:p>
        </w:tc>
      </w:tr>
      <w:tr>
        <w:trPr>
          <w:trHeight w:val="200"/>
        </w:trPr>
        <w:tc>
          <w:tcPr>
            <w:tcW w:w="2900" w:type="dxa"/>
            <w:vAlign w:val="bottom"/>
            <w:gridSpan w:val="2"/>
          </w:tcPr>
          <w:p>
            <w:pPr>
              <w:ind w:left="500"/>
              <w:spacing w:after="0"/>
              <w:rPr>
                <w:sz w:val="20"/>
                <w:szCs w:val="20"/>
                <w:color w:val="auto"/>
              </w:rPr>
            </w:pPr>
            <w:r>
              <w:rPr>
                <w:rFonts w:ascii="Arial" w:cs="Arial" w:eastAsia="Arial" w:hAnsi="Arial"/>
                <w:sz w:val="16"/>
                <w:szCs w:val="16"/>
                <w:color w:val="auto"/>
              </w:rPr>
              <w:t>Total AAG Contractual</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5,417</w:t>
            </w:r>
          </w:p>
        </w:tc>
        <w:tc>
          <w:tcPr>
            <w:tcW w:w="12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10,826</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11,253</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9,621</w:t>
            </w:r>
          </w:p>
        </w:tc>
        <w:tc>
          <w:tcPr>
            <w:tcW w:w="10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9,988</w:t>
            </w:r>
          </w:p>
        </w:tc>
        <w:tc>
          <w:tcPr>
            <w:tcW w:w="10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37,861</w:t>
            </w:r>
          </w:p>
        </w:tc>
        <w:tc>
          <w:tcPr>
            <w:tcW w:w="10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84,966</w:t>
            </w:r>
          </w:p>
        </w:tc>
        <w:tc>
          <w:tcPr>
            <w:tcW w:w="0" w:type="dxa"/>
            <w:vAlign w:val="bottom"/>
          </w:tcPr>
          <w:p>
            <w:pPr>
              <w:spacing w:after="0"/>
              <w:rPr>
                <w:sz w:val="1"/>
                <w:szCs w:val="1"/>
                <w:color w:val="auto"/>
              </w:rPr>
            </w:pPr>
          </w:p>
        </w:tc>
      </w:tr>
      <w:tr>
        <w:trPr>
          <w:trHeight w:val="206"/>
        </w:trPr>
        <w:tc>
          <w:tcPr>
            <w:tcW w:w="2900" w:type="dxa"/>
            <w:vAlign w:val="bottom"/>
            <w:gridSpan w:val="2"/>
          </w:tcPr>
          <w:p>
            <w:pPr>
              <w:ind w:left="500"/>
              <w:spacing w:after="0"/>
              <w:rPr>
                <w:sz w:val="20"/>
                <w:szCs w:val="20"/>
                <w:color w:val="auto"/>
              </w:rPr>
            </w:pPr>
            <w:r>
              <w:rPr>
                <w:rFonts w:ascii="Arial" w:cs="Arial" w:eastAsia="Arial" w:hAnsi="Arial"/>
                <w:sz w:val="16"/>
                <w:szCs w:val="16"/>
                <w:color w:val="auto"/>
              </w:rPr>
              <w:t>Obligations</w:t>
            </w:r>
          </w:p>
        </w:tc>
        <w:tc>
          <w:tcPr>
            <w:tcW w:w="14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12700</wp:posOffset>
            </wp:positionV>
            <wp:extent cx="39020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pacing w:after="0" w:line="26" w:lineRule="exact"/>
        <w:rPr>
          <w:sz w:val="20"/>
          <w:szCs w:val="20"/>
          <w:color w:val="auto"/>
        </w:rPr>
      </w:pPr>
    </w:p>
    <w:p>
      <w:pPr>
        <w:ind w:left="340" w:hanging="332"/>
        <w:spacing w:after="0" w:line="216" w:lineRule="auto"/>
        <w:tabs>
          <w:tab w:leader="none" w:pos="340" w:val="left"/>
        </w:tabs>
        <w:numPr>
          <w:ilvl w:val="0"/>
          <w:numId w:val="55"/>
        </w:numPr>
        <w:rPr>
          <w:rFonts w:ascii="Arial" w:cs="Arial" w:eastAsia="Arial" w:hAnsi="Arial"/>
          <w:sz w:val="25"/>
          <w:szCs w:val="25"/>
          <w:color w:val="auto"/>
          <w:vertAlign w:val="superscript"/>
        </w:rPr>
      </w:pPr>
      <w:r>
        <w:rPr>
          <w:rFonts w:ascii="Arial" w:cs="Arial" w:eastAsia="Arial" w:hAnsi="Arial"/>
          <w:sz w:val="18"/>
          <w:szCs w:val="18"/>
          <w:color w:val="auto"/>
        </w:rPr>
        <w:t>Amounts represent contractual amounts due. For American, excludes $49 million and for US Airways Group, excludes $18 million of unamortized debt discount as of June 30, 2014.</w:t>
      </w:r>
    </w:p>
    <w:p>
      <w:pPr>
        <w:spacing w:after="0" w:line="1" w:lineRule="exact"/>
        <w:rPr>
          <w:rFonts w:ascii="Arial" w:cs="Arial" w:eastAsia="Arial" w:hAnsi="Arial"/>
          <w:sz w:val="25"/>
          <w:szCs w:val="25"/>
          <w:color w:val="auto"/>
          <w:vertAlign w:val="superscript"/>
        </w:rPr>
      </w:pPr>
    </w:p>
    <w:p>
      <w:pPr>
        <w:ind w:left="340" w:hanging="332"/>
        <w:spacing w:after="0" w:line="180" w:lineRule="auto"/>
        <w:tabs>
          <w:tab w:leader="none" w:pos="340" w:val="left"/>
        </w:tabs>
        <w:numPr>
          <w:ilvl w:val="0"/>
          <w:numId w:val="55"/>
        </w:numPr>
        <w:rPr>
          <w:rFonts w:ascii="Arial" w:cs="Arial" w:eastAsia="Arial" w:hAnsi="Arial"/>
          <w:sz w:val="25"/>
          <w:szCs w:val="25"/>
          <w:color w:val="auto"/>
          <w:vertAlign w:val="superscript"/>
        </w:rPr>
      </w:pPr>
      <w:r>
        <w:rPr>
          <w:rFonts w:ascii="Arial" w:cs="Arial" w:eastAsia="Arial" w:hAnsi="Arial"/>
          <w:sz w:val="18"/>
          <w:szCs w:val="18"/>
          <w:color w:val="auto"/>
        </w:rPr>
        <w:t>For variable-rate debt, future interest obligations are estimated using the current forward rates at June 30, 2014.</w:t>
      </w:r>
    </w:p>
    <w:p>
      <w:pPr>
        <w:spacing w:after="0" w:line="2" w:lineRule="exact"/>
        <w:rPr>
          <w:rFonts w:ascii="Arial" w:cs="Arial" w:eastAsia="Arial" w:hAnsi="Arial"/>
          <w:sz w:val="25"/>
          <w:szCs w:val="25"/>
          <w:color w:val="auto"/>
          <w:vertAlign w:val="superscript"/>
        </w:rPr>
      </w:pPr>
    </w:p>
    <w:p>
      <w:pPr>
        <w:jc w:val="both"/>
        <w:ind w:left="340" w:hanging="332"/>
        <w:spacing w:after="0" w:line="221" w:lineRule="auto"/>
        <w:tabs>
          <w:tab w:leader="none" w:pos="340" w:val="left"/>
        </w:tabs>
        <w:numPr>
          <w:ilvl w:val="0"/>
          <w:numId w:val="55"/>
        </w:numPr>
        <w:rPr>
          <w:rFonts w:ascii="Arial" w:cs="Arial" w:eastAsia="Arial" w:hAnsi="Arial"/>
          <w:sz w:val="25"/>
          <w:szCs w:val="25"/>
          <w:color w:val="auto"/>
          <w:vertAlign w:val="superscript"/>
        </w:rPr>
      </w:pPr>
      <w:r>
        <w:rPr>
          <w:rFonts w:ascii="Arial" w:cs="Arial" w:eastAsia="Arial" w:hAnsi="Arial"/>
          <w:sz w:val="18"/>
          <w:szCs w:val="18"/>
          <w:color w:val="auto"/>
        </w:rPr>
        <w:t>For American, includes $3.4 billion of future principal payments and $918 million of future interest payments, respectively, and for US Airways Group, includes $2.9 billion of future principal payments and $933 million of future interest payments, respectively, as of June 30, 2014, related to EETCs associated with mortgage financings for the purchase of certain aircraft.</w:t>
      </w:r>
    </w:p>
    <w:p>
      <w:pPr>
        <w:spacing w:after="0" w:line="40"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55"/>
        </w:numPr>
        <w:rPr>
          <w:rFonts w:ascii="Arial" w:cs="Arial" w:eastAsia="Arial" w:hAnsi="Arial"/>
          <w:sz w:val="25"/>
          <w:szCs w:val="25"/>
          <w:color w:val="auto"/>
          <w:vertAlign w:val="superscript"/>
        </w:rPr>
      </w:pPr>
      <w:r>
        <w:rPr>
          <w:rFonts w:ascii="Arial" w:cs="Arial" w:eastAsia="Arial" w:hAnsi="Arial"/>
          <w:sz w:val="18"/>
          <w:szCs w:val="18"/>
          <w:color w:val="auto"/>
        </w:rPr>
        <w:t xml:space="preserve">See Part I, Item 2 - Management's Discussion and Analysis of Financial Condition and Results of Operations -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for additional information about the obligations of American and US Airways Group.</w:t>
      </w:r>
    </w:p>
    <w:p>
      <w:pPr>
        <w:spacing w:after="0" w:line="41"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55"/>
        </w:numPr>
        <w:rPr>
          <w:rFonts w:ascii="Arial" w:cs="Arial" w:eastAsia="Arial" w:hAnsi="Arial"/>
          <w:sz w:val="25"/>
          <w:szCs w:val="25"/>
          <w:color w:val="auto"/>
          <w:vertAlign w:val="superscript"/>
        </w:rPr>
      </w:pPr>
      <w:r>
        <w:rPr>
          <w:rFonts w:ascii="Arial" w:cs="Arial" w:eastAsia="Arial" w:hAnsi="Arial"/>
          <w:sz w:val="18"/>
          <w:szCs w:val="18"/>
          <w:color w:val="auto"/>
        </w:rPr>
        <w:t>For American, includes $280 million and for US Airways Group, includes $1.9 billion of future minimum lease payments related to EETC leverage leased financings of certain aircraft as of June 30, 2014.</w:t>
      </w:r>
    </w:p>
    <w:p>
      <w:pPr>
        <w:spacing w:after="0" w:line="41" w:lineRule="exact"/>
        <w:rPr>
          <w:rFonts w:ascii="Arial" w:cs="Arial" w:eastAsia="Arial" w:hAnsi="Arial"/>
          <w:sz w:val="25"/>
          <w:szCs w:val="25"/>
          <w:color w:val="auto"/>
          <w:vertAlign w:val="superscript"/>
        </w:rPr>
      </w:pPr>
    </w:p>
    <w:p>
      <w:pPr>
        <w:ind w:left="340" w:hanging="332"/>
        <w:spacing w:after="0" w:line="227" w:lineRule="auto"/>
        <w:tabs>
          <w:tab w:leader="none" w:pos="340" w:val="left"/>
        </w:tabs>
        <w:numPr>
          <w:ilvl w:val="0"/>
          <w:numId w:val="55"/>
        </w:numPr>
        <w:rPr>
          <w:rFonts w:ascii="Arial" w:cs="Arial" w:eastAsia="Arial" w:hAnsi="Arial"/>
          <w:sz w:val="24"/>
          <w:szCs w:val="24"/>
          <w:color w:val="auto"/>
          <w:vertAlign w:val="superscript"/>
        </w:rPr>
      </w:pPr>
      <w:r>
        <w:rPr>
          <w:rFonts w:ascii="Arial" w:cs="Arial" w:eastAsia="Arial" w:hAnsi="Arial"/>
          <w:sz w:val="17"/>
          <w:szCs w:val="17"/>
          <w:color w:val="auto"/>
        </w:rPr>
        <w:t>Represents minimum payments under capacity purchase agreements with third-party regional carriers. These commitments are estimates of costs based on assumed minimum levels of flying under the capacity purchase agreements and our actual payments could differ materially.</w:t>
      </w:r>
    </w:p>
    <w:p>
      <w:pPr>
        <w:spacing w:after="0" w:line="40" w:lineRule="exact"/>
        <w:rPr>
          <w:rFonts w:ascii="Arial" w:cs="Arial" w:eastAsia="Arial" w:hAnsi="Arial"/>
          <w:sz w:val="24"/>
          <w:szCs w:val="24"/>
          <w:color w:val="auto"/>
          <w:vertAlign w:val="superscript"/>
        </w:rPr>
      </w:pPr>
    </w:p>
    <w:p>
      <w:pPr>
        <w:ind w:left="340" w:hanging="332"/>
        <w:spacing w:after="0" w:line="216" w:lineRule="auto"/>
        <w:tabs>
          <w:tab w:leader="none" w:pos="340" w:val="left"/>
        </w:tabs>
        <w:numPr>
          <w:ilvl w:val="0"/>
          <w:numId w:val="55"/>
        </w:numPr>
        <w:rPr>
          <w:rFonts w:ascii="Arial" w:cs="Arial" w:eastAsia="Arial" w:hAnsi="Arial"/>
          <w:sz w:val="25"/>
          <w:szCs w:val="25"/>
          <w:color w:val="auto"/>
          <w:vertAlign w:val="superscript"/>
        </w:rPr>
      </w:pPr>
      <w:r>
        <w:rPr>
          <w:rFonts w:ascii="Arial" w:cs="Arial" w:eastAsia="Arial" w:hAnsi="Arial"/>
          <w:sz w:val="18"/>
          <w:szCs w:val="18"/>
          <w:color w:val="auto"/>
        </w:rPr>
        <w:t>Includes minimum pension contributions based on actuarially determined estimates and other postretirement benefit payments based on estimated payments through 2023. See Note 9 to American's condensed consolidated financial statements in Part I, Item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-2065020</wp:posOffset>
            </wp:positionV>
            <wp:extent cx="39020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Raising Activity and Other Possible Actions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light of our significant financial commitments related to, among other things, new aircraft and the servicing and amortization of existing debt and equipment leasing arrangements, we and our subsidiaries will regularly consider, and enter into negotiations related to, capital raising activity, which may include the entry into leasing transactions and future issuances of secured or unsecured debt obligations or additional equity securities in public or private offerings or otherwise. The cash available from operations and these sources, however, may not be sufficient to cover cash contractual obligations because economic factors may reduce the amount of cash generated by operations or increase costs. For instance, an economic downturn or general global instability caused by military actions, terrorism, disease outbreaks or natural disasters could reduce the demand for air travel, which would reduce the amount of cash generated by operations. An increase in costs, either due to an increase in borrowing costs caused by a reduction in credit ratings or a general increase in interest rates, or due to an increase in the cost</w:t>
      </w:r>
    </w:p>
    <w:p>
      <w:pPr>
        <w:sectPr>
          <w:pgSz w:w="11900" w:h="16838" w:orient="portrait"/>
          <w:cols w:equalWidth="0" w:num="1">
            <w:col w:w="11420"/>
          </w:cols>
          <w:pgMar w:left="240" w:top="526" w:right="239" w:bottom="1440" w:gutter="0" w:footer="0" w:header="0"/>
        </w:sect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526" w:right="239" w:bottom="1440" w:gutter="0" w:footer="0" w:header="0"/>
          <w:type w:val="continuous"/>
        </w:sectPr>
      </w:pPr>
    </w:p>
    <w:bookmarkStart w:id="84" w:name="page85"/>
    <w:bookmarkEnd w:id="84"/>
    <w:p>
      <w:pPr>
        <w:jc w:val="both"/>
        <w:spacing w:after="0" w:line="312" w:lineRule="auto"/>
        <w:rPr>
          <w:sz w:val="20"/>
          <w:szCs w:val="20"/>
          <w:color w:val="auto"/>
        </w:rPr>
      </w:pPr>
      <w:r>
        <w:rPr>
          <w:rFonts w:ascii="Arial" w:cs="Arial" w:eastAsia="Arial" w:hAnsi="Arial"/>
          <w:sz w:val="16"/>
          <w:szCs w:val="16"/>
          <w:color w:val="auto"/>
        </w:rPr>
        <w:t>of fuel, maintenance, or aircraft, aircraft engines or parts, could decrease the amount of cash available to cover cash contractual obligations. Moreover, the Credit Facilities, the 2013 Citicorp Credit Facility and certain of our other financing arrangements contain significant minimum cash balance requirements. As a result, we cannot use all of our available cash to fund operations, capital expenditures and cash obligations without violating these requirements.</w:t>
      </w:r>
    </w:p>
    <w:p>
      <w:pPr>
        <w:spacing w:after="0" w:line="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past, we have from time to time refinanced, redeemed or repurchased our debt and taken other steps to reduce or otherwise manage the aggregate amount and cost of our debt or lease obligations or otherwise improve our balance sheet. Going forward, depending on market conditions, our cash position and other considerations, we may continue to take such actions.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second quarter of 2014, there were no changes to our critical accounting policies and estimates from those disclosed in the consolidated financial statements and accompanying notes contained in our 2013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May 2014, the Financial Accounting Standards Board (FASB) issued Accounting Standards Update (ASU) 2014-09, “Revenue from Contracts with Customers (Topic 606).” ASU 2014-09 completes the joint effort by the FASB and International Accounting Standards Board (IASB) to improve financial reporting by creating common revenue recognition guidance for U.S. GAAP and International Financial Reporting Standards (IFRS). ASU 2014-09 applies to all companies that enter into contracts with customers to transfer goods or services. ASU 2014-09 is effective for public entities for interim and annual reporting periods beginning after December 15, 2016. Early application is not permitted and entities have the choice to apply ASU 2014-09 either retrospectively to each reporting period presented or by recognizing the cumulative effect of applying ASU 2014-09 at the date of initial application and not adjusting comparative information. We are currently evaluating the requirements of ASU 2014-09 and have not yet determined its impact on our consolidated financial statements.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68" w:right="239" w:bottom="1440" w:gutter="0" w:footer="0" w:header="0"/>
        </w:sectPr>
      </w:pPr>
    </w:p>
    <w:bookmarkStart w:id="85" w:name="page86"/>
    <w:bookmarkEnd w:id="85"/>
    <w:p>
      <w:pPr>
        <w:ind w:left="40"/>
        <w:spacing w:after="0"/>
        <w:tabs>
          <w:tab w:leader="none" w:pos="24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AAG's Market Risk Sensitive Instruments and Positions</w:t>
      </w:r>
    </w:p>
    <w:p>
      <w:pPr>
        <w:spacing w:after="0" w:line="9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primary market risk exposures include the price of aircraft fuel, foreign currency exchange rates and interest rate risk. Our exposure to these market risks has not changed materially from our exposure discussed in our 2013 10-K except as updated below. See Note 11 to AAG's condensed consolidated financial statements in Part I, Item 1A for accounting policies and additional information regarding derivatives.</w:t>
      </w:r>
    </w:p>
    <w:p>
      <w:pPr>
        <w:spacing w:after="0" w:line="3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Aircraft Fuel</w:t>
      </w:r>
    </w:p>
    <w:p>
      <w:pPr>
        <w:spacing w:after="0" w:line="9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second quarter of 2014, we sold our portfolio of fuel hedging contracts that were scheduled to settle on or after June 30, 2014. As of June 30, 2014, we do not have any fuel hedging contracts outstanding. We have not entered into any fuel hedges since December 9, 2013 and it is our current policy to not do so. As a result, we fully realize the effects of any increase or decrease in fuel prices. Our 2014 forecasted mainline and regional fuel consumption is presently approximately 4.3 billion gallons, and based on this forecast, a one cent per gallon increase in aviation fuel price results in a $43 million increase in annual expense.</w:t>
      </w:r>
    </w:p>
    <w:p>
      <w:pPr>
        <w:spacing w:after="0" w:line="53"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Foreign Currency</w:t>
      </w:r>
    </w:p>
    <w:p>
      <w:pPr>
        <w:spacing w:after="0" w:line="9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are exposed to the effect of foreign exchange rate fluctuations on the U.S. dollar value of foreign currency-denominated operating revenues and expenses. Our largest exposure comes from the British pound, Euro, Canadian dollar, Japanese yen and various Latin American currencies, particularly Venezuela and Argentina. We do not currently have a foreign currency hedge program related to our foreign currency-denominated ticket sales.</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Venezuela Cash and Short-term Investments</w:t>
      </w:r>
    </w:p>
    <w:p>
      <w:pPr>
        <w:spacing w:after="0" w:line="9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of June 30, 2014, approximately $791 million of our unrestricted cash balance was held in Venezuelan bolivars, valued at the weighted average applicable exchange rate of 6.53 bolivars to the dollar. This includes approximately $94 million valued at 4.3 bolivars, approximately $611 million valued at 6.3 bolivars, and approximately $86 million valued at 10.6 bolivars, with the rate depending on the date we submitted our repatriation request to the Venezuelan government. In the first quarter of 2014, the Venezuelan government announced that a newly-implemented system (SICAD I) will determine the exchange rate (which fluctuates as determined by weekly auctions and at June 30, 2014 was 10.6 bolivars to the dollar) for repatriation of cash proceeds from ticket sales after January 1, 2014, and introduced new procedures for approval of repatriation of local currency. We are continuing to work with Venezuelan authorities regarding the timing and exchange rate applicable to the repatriation of funds held in local currency. However, pending further repatriation of funds, and due to the significant decrease in demand for air travel resulting from the effective devaluation of the bolivar, we recently significantly reduced capacity in this market. We are monitoring this situation closely and continue to evaluate our holdings of Venezuelan bolivars for potential impairment. See Part II, Item 1A - Risk Factors "</w:t>
      </w:r>
      <w:r>
        <w:rPr>
          <w:rFonts w:ascii="Arial" w:cs="Arial" w:eastAsia="Arial" w:hAnsi="Arial"/>
          <w:sz w:val="17"/>
          <w:szCs w:val="17"/>
          <w:i w:val="1"/>
          <w:iCs w:val="1"/>
          <w:color w:val="auto"/>
        </w:rPr>
        <w:t>We operate a global business with international operations that are subject to economic and political instability and have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been, and in the future may continue to be, adversely affected by numerous events, circumstances or government actions beyond our control" </w:t>
      </w:r>
      <w:r>
        <w:rPr>
          <w:rFonts w:ascii="Arial" w:cs="Arial" w:eastAsia="Arial" w:hAnsi="Arial"/>
          <w:sz w:val="17"/>
          <w:szCs w:val="17"/>
          <w:color w:val="auto"/>
        </w:rPr>
        <w:t>for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discussion of these and other currency risks.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526"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American's Market Risk Sensitive Instruments and Positions</w:t>
      </w:r>
    </w:p>
    <w:p>
      <w:pPr>
        <w:spacing w:after="0" w:line="13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American's primary market risk exposures include the price of aircraft fuel, foreign currency exchange rates and interest rate risk. American's exposure to these market risks has not changed materially from its exposure discussed in its 2013 10-K except as updated below. See Note 10 to American's condensed consolidated financial statements in Part I, Item 1B for accounting policies and additional information regarding derivatives.</w:t>
      </w:r>
    </w:p>
    <w:p>
      <w:pPr>
        <w:spacing w:after="0" w:line="7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Aircraft Fuel</w:t>
      </w:r>
    </w:p>
    <w:p>
      <w:pPr>
        <w:spacing w:after="0" w:line="13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second quarter of 2014, American sold its portfolio of fuel hedging contracts that were scheduled to settle on or after June 30, 2014. As of June 30, 2014, American does not have any fuel hedging contracts outstanding. American has not entered into any fuel hedges since December 9, 2013 and it is its current policy to not do so. As a result, American fully realizes the effects of any increase or decrease in fuel prices. American's 2014 forecasted mainline and regional fuel consumption is presently approximately 2.8 billion gallons, and based on this forecast, a one cent per gallon increase in aviation fuel price results in a $28 million increase in annual expense.</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Foreign Currency</w:t>
      </w:r>
    </w:p>
    <w:p>
      <w:pPr>
        <w:spacing w:after="0" w:line="1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American is exposed to the effect of foreign exchange rate fluctuations on the U.S. dollar value of foreign currency-denominated operating revenues and expenses. American's largest exposure comes from the British pound, Euro, Canadian dollar, Japanese yen and various Latin American currencies, particularly Venezuela and Argentina. American does not currently have a foreign currency hedge program related to its foreign currency-denominated ticket sales.</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Venezuela Cash and Short-term Investments</w:t>
      </w:r>
    </w:p>
    <w:p>
      <w:pPr>
        <w:spacing w:after="0" w:line="13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of June 30, 2014, approximately $791 million of American's unrestricted cash balance was held in Venezuelan bolivars, valued at the weighted average applicable exchange rate of 6.53 bolivars to the dollar. This includes approximately $94 million valued at 4.3 bolivars, approximately $611 million valued at 6.3 bolivars, and approximately $86 million valued at 10.6 bolivars, with the rate depending on the date American submitted its repatriation request to the Venezuelan government. In the first quarter of 2014, the Venezuelan government announced that a newly-implemented system (SICAD I) will determine the exchange rate (which fluctuates as determined by weekly auctions and at June 30, 2014 was 10.6 bolivars to the dollar) for repatriation of cash proceeds from ticket sales after January 1, 2014, and introduced new procedures for approval of repatriation of local currency. American is continuing to work with Venezuelan authorities regarding the timing and exchange rate applicable to the repatriation of funds held in local currency. However, pending further repatriation of funds, and due to the significant decrease in demand for air travel resulting from the effective devaluation of the bolivar, American recently significantly reduced capacity in this market. American is monitoring this situation closely and continues to evaluate its holdings of Venezuelan bolivars for potential impairment. See Part II, Item 1A - Risk Factors "</w:t>
      </w:r>
      <w:r>
        <w:rPr>
          <w:rFonts w:ascii="Arial" w:cs="Arial" w:eastAsia="Arial" w:hAnsi="Arial"/>
          <w:sz w:val="17"/>
          <w:szCs w:val="17"/>
          <w:i w:val="1"/>
          <w:iCs w:val="1"/>
          <w:color w:val="auto"/>
        </w:rPr>
        <w:t>We operate a global business with international operations that are subject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economic and political instability and have been, and in the future may continue to be, adversely affected by numerous events, circumstances or government actions beyond our control" </w:t>
      </w:r>
      <w:r>
        <w:rPr>
          <w:rFonts w:ascii="Arial" w:cs="Arial" w:eastAsia="Arial" w:hAnsi="Arial"/>
          <w:sz w:val="17"/>
          <w:szCs w:val="17"/>
          <w:color w:val="auto"/>
        </w:rPr>
        <w:t>for additional discussion of these and other currency risks.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7" w:name="page88"/>
    <w:bookmarkEnd w:id="87"/>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term "disclosure controls and procedures" is defined in Rules 13a-15(e) and 15d-15(e) of the Securities Exchange Act of 1934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 An evaluation was performed under the supervision and with the participation of the Company’s management, including the Chief Executive Officer (CEO) and Chief Financial Officer (CFO), of the effectiveness of the AAG's and American’s disclosure controls and procedures as of June 30, 2014. Based on that evaluation, the Company’s management, including the CEO and CFO, concluded that AAG's and American’s disclosure controls and procedures were effective as of June 30, 2014.</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December 9, 2013, we acquired US Airways Group and its subsidiaries. We have begun to integrate policies, processes, people, technology and operations for the post-Merger combined company, and we will continue to evaluate the impact of any related changes to internal control over financial reporting. Except for any changes in internal controls related to the integration of US Airways Group and its subsidiaries into the post-Merger combined company, during the quarter ended June 30, 2014, there has been no change in AAG’s or American's internal control over financial reporting that has materially affected, or is reasonably likely to materially affect, AAG's and American's internal control over financial reporting.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the Effectiveness of Controls</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the CEO and CFO believe that our disclosure controls and procedures were effective at the “reasonable assurance” level as of June 30, 2014.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688"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33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Chapter 11 Cases. </w:t>
      </w:r>
      <w:r>
        <w:rPr>
          <w:rFonts w:ascii="Arial" w:cs="Arial" w:eastAsia="Arial" w:hAnsi="Arial"/>
          <w:sz w:val="17"/>
          <w:szCs w:val="17"/>
          <w:color w:val="auto"/>
        </w:rPr>
        <w:t>As previously disclosed, on the Petition Date, November 29, 2011, the Debtors filed voluntary petitions for relief under Chapter</w:t>
      </w:r>
      <w:r>
        <w:rPr>
          <w:rFonts w:ascii="Arial" w:cs="Arial" w:eastAsia="Arial" w:hAnsi="Arial"/>
          <w:sz w:val="17"/>
          <w:szCs w:val="17"/>
          <w:i w:val="1"/>
          <w:iCs w:val="1"/>
          <w:color w:val="auto"/>
        </w:rPr>
        <w:t xml:space="preserve"> </w:t>
      </w:r>
      <w:r>
        <w:rPr>
          <w:rFonts w:ascii="Arial" w:cs="Arial" w:eastAsia="Arial" w:hAnsi="Arial"/>
          <w:sz w:val="17"/>
          <w:szCs w:val="17"/>
          <w:color w:val="auto"/>
        </w:rPr>
        <w:t>11 of the Bankruptcy Code. On October 21, 2013, the Bankruptcy Court entered the Confirmation Order confirming the Plan. On the Effective Date, December 9, 2013, the Debtors consummated their reorganization pursuant to the Plan, principally through the transactions contemplated by the Merger Agreement pursuant to which Merger Sub merged with and into US Airways Group, with US Airways Group surviving as a wholly-owned subsidiary of AAG. From the Petition Date through the Effective Date, pursuant to automatic stay provisions under the Bankruptcy Code and orders granted by the Bankruptcy Court, actions to enforce or otherwise effect repayment of liabilities preceding the Petition Date as well as all pending litigation against the Debtors generally were stayed. Following the Effective Date, actions to enforce or otherwise effect repayment of liabilities preceding the Petition Date, generally have been permanently enjoined. Any unresolved claims will continue to be subject to the claims reconciliation process under the supervision of the Bankruptcy Court. However, certain pending litigation related to pre-petition liabilities may proceed in courts other than the Bankruptcy Court to determine the amount, if any, of such litigation claims for purposes of treatment under the Plan.</w:t>
      </w:r>
    </w:p>
    <w:p>
      <w:pPr>
        <w:spacing w:after="0" w:line="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Pursuant to rulings of the Bankruptcy Court, the Plan established the Disputed Claims Reserve to hold shares of AAG Common Stock reserved for issuance to disputed claimholders at the Effective Date that ultimately become holders of allowed Single-Dip Unsecured Claims. The shares provided for under the Plan were determined based upon a Disputed Claims Reserve amount of claims of approximately $755 million, representing the maximum amount of additional distributions to subsequently allowed Single-Dip Unsecured Claims under the Plan. As of June 30, 2014, approximately 30.4 million shares of AAG Common Stock were held in the Disputed Claims Reserve. As disputed claims are resolved, the claimants will receive distributions of shares from the Disputed Claims Reserve on the same basis as if such distributions had been made on or about the Effective Date. However, AAG is not required to distribute additional shares above the limits contemplated by the Plan, even if the shares remaining for distribution are not sufficient to fully pay any additional allowed unsecured claims. On July 1, 2014, approximately 2.9 million of the approximately 30.4 million shares held in the Disputed Claims Reserve were distributed to holders of allowed Single-Dip Unsecured Claims, to holders of certain labor-related deemed claims, and to holders of certain non-management, non-union employee deemed claims as specified in the Plan, and shares were withheld or sold on account of related tax obligations. To the extent that any of the reserved shares remain undistributed upon resolution of all remaining disputed claims, such shares will not be returned to AAG but rather will be distributed to former AMR shareholders as of the Effective Date. However, resolution of disputed claims could have a material effect on recoveries by holders of additional allowed Single-Dip Unsecured Claims under the Plan and the amount of additional share distributions, if any, that are made to former AMR shareholders as the total number of shares of AAG Common Stock that remain available for distribution upon resolution of disputed claims is limited pursuant to the Plan.</w:t>
      </w:r>
    </w:p>
    <w:p>
      <w:pPr>
        <w:spacing w:after="0" w:line="22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There is also pending in the Bankruptcy Court an adversary proceeding relating to an action brought by American to seek a determination that certain non-pension, post-employee benefits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Our financial statements presently reflect these retirement programs without giving effect to any modification or termination of benefits that may ultimately be implemented based upon the outcome of this proceeding.</w:t>
      </w:r>
    </w:p>
    <w:p>
      <w:pPr>
        <w:spacing w:after="0" w:line="1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Merger Class Action</w:t>
      </w:r>
      <w:r>
        <w:rPr>
          <w:rFonts w:ascii="Arial" w:cs="Arial" w:eastAsia="Arial" w:hAnsi="Arial"/>
          <w:sz w:val="18"/>
          <w:szCs w:val="18"/>
          <w:color w:val="auto"/>
        </w:rPr>
        <w:t>. On March 1, 2013, a complaint captioned Plumbers &amp; Steamfitters Local Union No. 248 Pension Fund v. US Airways Group,</w:t>
      </w:r>
      <w:r>
        <w:rPr>
          <w:rFonts w:ascii="Arial" w:cs="Arial" w:eastAsia="Arial" w:hAnsi="Arial"/>
          <w:sz w:val="18"/>
          <w:szCs w:val="18"/>
          <w:i w:val="1"/>
          <w:iCs w:val="1"/>
          <w:color w:val="auto"/>
        </w:rPr>
        <w:t xml:space="preserve"> </w:t>
      </w:r>
      <w:r>
        <w:rPr>
          <w:rFonts w:ascii="Arial" w:cs="Arial" w:eastAsia="Arial" w:hAnsi="Arial"/>
          <w:sz w:val="18"/>
          <w:szCs w:val="18"/>
          <w:color w:val="auto"/>
        </w:rPr>
        <w:t>Inc., et al., No. CV2013-051605, was filed as a putative class action on behalf of the stockholders of US Airways Group in the Superior Court for Maricopa County, Arizona. On July 3, 2013, an amended complaint, captioned Dennis Palkon, et al. v. US Airways Group, Inc., et al., No. CV2013-051605, was filed with the same court. The amended complaint names as defendants US Airways Group and the members of its board of directors, and alleges that the directors failed to maximize the value of US Airways Group in connection with the Merger and that US Airways Group aided and abetted those breaches of fiduciary duty. The relief sought in the amended complaint included an injunction against the Merger, or rescission in the event it has been consummated. The court in the above-referenced action denied the plaintiff’s motion for a temporary restraining order that had sought to enjoin the US Airways Group Annual Meeting of Stockholders. On May 6, 2014, the court granted defendants’ motion to dismiss this action. On May 27, 2014, plaintiff filed a motion for reconsideration of the court’s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742" w:right="239" w:bottom="1440" w:gutter="0" w:footer="0" w:header="0"/>
        </w:sectPr>
      </w:pPr>
    </w:p>
    <w:bookmarkStart w:id="89" w:name="page90"/>
    <w:bookmarkEnd w:id="89"/>
    <w:p>
      <w:pPr>
        <w:jc w:val="both"/>
        <w:spacing w:after="0" w:line="277" w:lineRule="auto"/>
        <w:rPr>
          <w:sz w:val="20"/>
          <w:szCs w:val="20"/>
          <w:color w:val="auto"/>
        </w:rPr>
      </w:pPr>
      <w:r>
        <w:rPr>
          <w:rFonts w:ascii="Arial" w:cs="Arial" w:eastAsia="Arial" w:hAnsi="Arial"/>
          <w:sz w:val="18"/>
          <w:szCs w:val="18"/>
          <w:color w:val="auto"/>
        </w:rPr>
        <w:t>decision to dismiss the action, and that motion was denied and judgment entered in favor of the defendants, and the complaint was dismissed with prejudice, on July 14, 2014. As of the date of this report, we do not know if the plaintiff will appeal the dismissal.</w:t>
      </w:r>
    </w:p>
    <w:p>
      <w:pPr>
        <w:spacing w:after="0" w:line="1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Private Party Antitrust Action</w:t>
      </w:r>
      <w:r>
        <w:rPr>
          <w:rFonts w:ascii="Arial" w:cs="Arial" w:eastAsia="Arial" w:hAnsi="Arial"/>
          <w:sz w:val="17"/>
          <w:szCs w:val="17"/>
          <w:color w:val="auto"/>
        </w:rPr>
        <w:t>. On July 2, 2013, a lawsuit captioned Carolyn Fjord, et al., v. US Airways Group, Inc., et al., was filed in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District Court for the Northern District of California. The complaint names as defendants US Airways Group and US Airways, and alleges that the effect of the Merger may be to substantially lessen competition or tend to create a monopoly in violation of Section 7 of the Clayton Antitrust Act. The relief sought in the complaint includes an injunction against the Merger, or divestiture. On August 6, 2013, the plaintiffs re-filed their complaint in the Bankruptcy Court, adding AMR and American as defendants, and on October 2, 2013, dismissed the initial California action. The Bankruptcy Court denied plaintiffs’ motion to preliminarily enjoin the Merger. On January 10, 2014, the plaintiffs moved to amend their complaint to add additional factual allegations, a claim for money damages and a request for preliminary injunctive relief requiring the carriers to hold separate their assets. On March 14, 2014, the Court allowed plaintiffs to add certain allegations but denied plaintiffs' requests to add a damages claim or seek preliminary injunctive relief requiring the carriers to hold separate their assets. On June 2, 2014, plaintiffs filed an amended motion for leave to file a second amended and supplemental complaint, which motion is currently being briefed by the parties. There is currently no trial date set. We believe this lawsuit is without merit and intend to vigorously defend against the allegations.</w:t>
      </w:r>
    </w:p>
    <w:p>
      <w:pPr>
        <w:spacing w:after="0" w:line="1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US Airways Sabre Matter</w:t>
      </w:r>
      <w:r>
        <w:rPr>
          <w:rFonts w:ascii="Arial" w:cs="Arial" w:eastAsia="Arial" w:hAnsi="Arial"/>
          <w:sz w:val="18"/>
          <w:szCs w:val="18"/>
          <w:color w:val="auto"/>
        </w:rPr>
        <w:t>. On April 21, 2011, US Airways filed an antitrust lawsuit against Sabre Holdings Corporation, Sabre Inc. and Sabre Travel</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Limited (collectively, Sabre) in Federal District Court for the Southern District of New York. The lawsuit, as amended to date, alleges, among other things, that Sabre has engaged in anticompetitive practices to preserve its market power by restricting our ability to distribute our products to our customers. The lawsuit also alleges that these actions have permitted Sabre to charge supracompetitive booking fees and to use technologies that are not as robust and as efficient as alternatives in a competitive market. The lawsuit seeks both injunctive relief and money damages. Sabre filed a motion to dismiss the case, which the court denied in part and granted in part in September 2011, allowing two of the four counts in the complaint to proceed. On April 1, 2014, Sabre filed motions for summary judgment that are pending before the court. We intend to pursue our claims against Sabre vigorously, but there can be no assurance of the outcome of this litigation.</w:t>
      </w:r>
    </w:p>
    <w:p>
      <w:pPr>
        <w:spacing w:after="0" w:line="1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We and our subsidiaries are also engaged in other legal proceedings from time to time. Legal proceedings can be complex and take many</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or even years, to reach resolution, with the final outcome depending on a number of variables, some of which are not within our control. Therefore, although we will vigorously defend ourself in each of the actions described above and such other legal proceedings, their ultimate resolution and potential financial and other impacts on us are uncertain.</w:t>
      </w:r>
    </w:p>
    <w:p>
      <w:pPr>
        <w:spacing w:after="0" w:line="29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4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Below are certain risk factors that may affect our business, results of operations and financial condition, or the trading price of AAG Common Stock or our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the Company and Industry-Related Risks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could experience significant operating losses in the future.</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For a number of reasons, including those addressed in these risk factors, we might fail to achieve or maintain profitability and might experience significant losses. In particular, the condition of the economy, the level and volatility of fuel prices, the state of travel demand and intense competition in the airline industry have had and will continue to have an impact on our operating results, and may increase the risk that we will experience losses.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Downturns in economic conditions adversely affect our business.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Due to the discretionary nature of business and leisure travel spending, airline industry revenues are heavily influenced by the condition of the U.S. economy and economies in other regions of the world. Unfavorable conditions in these broader economies have resulted, and may result in the future, in decreased passenger demand for air travel and changes in booking practices, both of which in turn have had, and may have in the future, a strong negative effect on our revenues. In addition, during challenging economic times, actions by our competitors to increase their revenues can have an adverse impact on our revenues. See "</w:t>
      </w:r>
      <w:r>
        <w:rPr>
          <w:rFonts w:ascii="Arial" w:cs="Arial" w:eastAsia="Arial" w:hAnsi="Arial"/>
          <w:sz w:val="17"/>
          <w:szCs w:val="17"/>
          <w:i w:val="1"/>
          <w:iCs w:val="1"/>
          <w:color w:val="auto"/>
        </w:rPr>
        <w:t>The airline industry is intensely competitive and dynamic"</w:t>
      </w:r>
      <w:r>
        <w:rPr>
          <w:rFonts w:ascii="Arial" w:cs="Arial" w:eastAsia="Arial" w:hAnsi="Arial"/>
          <w:sz w:val="17"/>
          <w:szCs w:val="17"/>
          <w:color w:val="auto"/>
        </w:rPr>
        <w:t xml:space="preserve"> below. Certain labor agreements to which we are a party limit our ability to reduce the number of aircraft in operation, and the utilization of such aircraft, below certain levels. As a result, we may not be able to optimize the number of aircraft in operation in response to a decrease in passenger demand for air travel.</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530" w:right="239" w:bottom="1440" w:gutter="0" w:footer="0" w:header="0"/>
        </w:sectPr>
      </w:pPr>
    </w:p>
    <w:bookmarkStart w:id="90" w:name="page91"/>
    <w:bookmarkEnd w:id="90"/>
    <w:p>
      <w:pPr>
        <w:ind w:left="660"/>
        <w:spacing w:after="0" w:line="342" w:lineRule="auto"/>
        <w:rPr>
          <w:sz w:val="20"/>
          <w:szCs w:val="20"/>
          <w:color w:val="auto"/>
        </w:rPr>
      </w:pPr>
      <w:r>
        <w:rPr>
          <w:rFonts w:ascii="Arial" w:cs="Arial" w:eastAsia="Arial" w:hAnsi="Arial"/>
          <w:sz w:val="16"/>
          <w:szCs w:val="16"/>
          <w:b w:val="1"/>
          <w:bCs w:val="1"/>
          <w:i w:val="1"/>
          <w:iCs w:val="1"/>
          <w:color w:val="auto"/>
        </w:rPr>
        <w:t>Our business is dependent on the price and availability of aircraft fuel. Continued periods of high volatility in fuel costs, increased fuel prices and significant disruptions in the supply of aircraft fuel could have a significant negative impact on our operating results and liquidity.</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operating results are materially impacted by changes in the availability, price volatility and cost of aircraft fuel, which represents one of the largest single cost items in our business. Jet fuel market prices have fluctuated substantially over the past several years and prices continued to be volatile in first six months of 2014.</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Because of the amount of fuel needed to operate our business, even a relatively small increase in the price of fuel can have a material adverse aggregate effect on our operating results and liquidity. Due to the competitive nature of the airline industry and unpredictability of the market, we can offer no assurance that we may be able to increase our fares, impose fuel surcharges or otherwise increase revenues sufficiently to offset fuel price increases.</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Although we are currently able to obtain adequate supplies of aircraft fuel, we cannot predict the future availability, price volatility or cost of aircraft fuel. Natural disasters, political disruptions or wars involving oil-producing countries, changes in fuel-related governmental policy, the strength of the U.S. dollar against foreign currencies, changes in access to petroleum product pipelines and terminals, speculation in the energy futures markets, changes in aircraft fuel production capacity, environmental concerns and other unpredictable events may result in fuel supply shortages, additional fuel price volatility and cost increases in the future.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 large number of older aircraft in our fleet, and these aircraft are not as fuel efficient as more recent models of aircraft, including those we have on order. We intend to continue to execute our fleet renewal plans to, among other things, improve the fuel efficiency of our fleet, and we are dependent on a limited number of major aircraft manufacturers to deliver aircraft on schedule. If we experience delays in delivery of the more fuel efficient aircraft that we have on order, we will be adversely affected.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aviation fuel purchase contracts generally do not provide meaningful price protection against increases in fuel costs. Prior to the closing of the Merger, we sought to manage the risk of fuel price increases by using derivative contracts. During the second quarter of 2014, we sold our portfolio of fuel hedging contracts that were scheduled to settle on or after June 30, 2014. As of June 30, 2014, we do not have any fuel hedging contracts outstanding. We have not entered into any fuel hedges since the Effective Date, and our current policy is to not do so. Assuming we continue to pursue this policy, we will be fully exposed to fluctuations in fuel prices.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There can be no assurance that, at any given time, we will have derivatives in place to provide any particular level of protection against increased fuel costs or that our counterparties will be able to perform under our derivative contracts. To the extent we use derivative contracts that have the potential to create an obligation to pay upon settlement if prices decline significantly, such derivative contracts may limit our ability to benefit from lower fuel costs in the future. Also, a rapid decline in the projected price of fuel at a time when we have fuel hedging contracts in place could adversely impact our short-term liquidity, because hedge counterparties could require that we post collateral in the form of cash or letters of credit. See also the discussion in Part I, Item 3. Quantitative and Qualitative Disclosures About Market Risk - "</w:t>
      </w:r>
      <w:r>
        <w:rPr>
          <w:rFonts w:ascii="Arial" w:cs="Arial" w:eastAsia="Arial" w:hAnsi="Arial"/>
          <w:sz w:val="18"/>
          <w:szCs w:val="18"/>
          <w:i w:val="1"/>
          <w:iCs w:val="1"/>
          <w:color w:val="auto"/>
        </w:rPr>
        <w:t>AAG Market Risk Sensitive Instruments and Positions - Aircraft Fuel"</w:t>
      </w:r>
      <w:r>
        <w:rPr>
          <w:rFonts w:ascii="Arial" w:cs="Arial" w:eastAsia="Arial" w:hAnsi="Arial"/>
          <w:sz w:val="18"/>
          <w:szCs w:val="18"/>
          <w:color w:val="auto"/>
        </w:rPr>
        <w:t xml:space="preserve"> and "</w:t>
      </w:r>
      <w:r>
        <w:rPr>
          <w:rFonts w:ascii="Arial" w:cs="Arial" w:eastAsia="Arial" w:hAnsi="Arial"/>
          <w:sz w:val="18"/>
          <w:szCs w:val="18"/>
          <w:i w:val="1"/>
          <w:iCs w:val="1"/>
          <w:color w:val="auto"/>
        </w:rPr>
        <w:t>American Airlines</w:t>
      </w:r>
      <w:r>
        <w:rPr>
          <w:rFonts w:ascii="Arial" w:cs="Arial" w:eastAsia="Arial" w:hAnsi="Arial"/>
          <w:sz w:val="18"/>
          <w:szCs w:val="18"/>
          <w:color w:val="auto"/>
        </w:rPr>
        <w:t xml:space="preserve"> </w:t>
      </w:r>
      <w:r>
        <w:rPr>
          <w:rFonts w:ascii="Arial" w:cs="Arial" w:eastAsia="Arial" w:hAnsi="Arial"/>
          <w:sz w:val="18"/>
          <w:szCs w:val="18"/>
          <w:i w:val="1"/>
          <w:iCs w:val="1"/>
          <w:color w:val="auto"/>
        </w:rPr>
        <w:t>Market Risk Sensitive Instruments and Positions - Aircraft Fuel."</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the Dodd-Frank Wall Street Reform and Consumer Protection Act of 2010 and regulations promulgated by the Commodity Futures Trading Commission (CFTC) introduce new requirements for centralized clearing for over-the-counter derivatives. This may include our fuel derivative contracts, if any. Our board of directors has approved our election of the CFTC’s end-user exemption, which permits us as a non-financial end user of derivatives to hedge commercial risk and be exempt from the CFTC mandatory clearing requirements. However, depending on the final regulations adopted by the CFTC and other regulators, our derivative contract counterparties may be subject to regulatory requirements and resulting new practices that may raise their costs. Those increased costs may in turn be passed on to us, resulting in increased transaction costs to execute derivative contracts and lower credit thresholds to post collateral.</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airline industry is intensely competitive and dynamic.</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competitors include other major domestic airlines and foreign, regional and new entrant airlines, as well as joint ventures formed by some of these airlines, many of which have more financial or other resources and/or lower cost structures than ours, as well as other forms of transportation, including rail and private automobiles. In many of our markets we compete with at least one low-cost air carrier. Our revenues are sensitive to the actions of other carriers in many areas including pricing, scheduling, capacity and promotions, which can have a substantial adverse impact not only on our revenues, but on overall industry revenues. These factors may become even more significant in periods when the industry experiences large losses, as airlines under financial stress, or in bankruptcy, may institute pricing structures intended to achieve near-term survival rather than long-term viability.</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Low-cost carriers have a profound impact on industry revenues. Using the advantage of low unit costs, these carriers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76" w:right="239" w:bottom="1440" w:gutter="0" w:footer="0" w:header="0"/>
        </w:sectPr>
      </w:pPr>
    </w:p>
    <w:bookmarkStart w:id="91" w:name="page92"/>
    <w:bookmarkEnd w:id="91"/>
    <w:p>
      <w:pPr>
        <w:jc w:val="both"/>
        <w:spacing w:after="0" w:line="290" w:lineRule="auto"/>
        <w:rPr>
          <w:sz w:val="20"/>
          <w:szCs w:val="20"/>
          <w:color w:val="auto"/>
        </w:rPr>
      </w:pPr>
      <w:r>
        <w:rPr>
          <w:rFonts w:ascii="Arial" w:cs="Arial" w:eastAsia="Arial" w:hAnsi="Arial"/>
          <w:sz w:val="16"/>
          <w:szCs w:val="16"/>
          <w:color w:val="auto"/>
        </w:rPr>
        <w:t>offer lower fares in order to shift demand from larger, more established airlines. Some low-cost carriers, which have cost structures lower than ours, have better recent financial performance and have announced growth strategies including commitments to acquire significant numbers of aircraft for delivery in the next few years. These low-cost carriers are expected to continue to increase their market share through growth and, potentially, consolidation, and could continue to have an impact on our overall performance. For example, amendments to the Wright Amendment have reduced geographic restrictions on operations by Southwest Airlines and other carriers at Dallas Love Field (DAL) and will eliminate all domestic non-stop geographic restrictions on operations there in October 2014. This has increased low-cost carrier competition for our operations at Dallas/Fort Worth (DFW). In addition, the two gates at DAL that we divested as part of our settlement of antitrust litigation related to the Merger have been allocated to Virgin America, a low-cost carrier. The actions of the low-cost carriers, including those described above, could have a material adverse effect on our operations and financial performance.</w:t>
      </w:r>
    </w:p>
    <w:p>
      <w:pPr>
        <w:spacing w:after="0" w:line="11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Certain airline alliances have been, or may in the future be, granted immunity from antitrust regulations by governmental authorities for specific areas of cooperation, such as joint pricing decisions. To the extent alliances formed by our competitors can undertake activities that are not available to us, our ability to effectively compete may be hindered.</w:t>
      </w:r>
    </w:p>
    <w:p>
      <w:pPr>
        <w:spacing w:after="0" w:line="12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implemented a JBA with British Airways, Iberia and Finnair, and antitrust-immunized cooperation with British Airways, Iberia, Finnair and Royal Jordanian. In addition, we have implemented an antitrust-immunized JBA with Japan Airlines and a JBA with Qantas. No assurances can be given as to any benefits that we may derive from such arrangements or any other arrangements that may ultimately be implemented.</w:t>
      </w:r>
    </w:p>
    <w:p>
      <w:pPr>
        <w:spacing w:after="0" w:line="1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 mergers and other forms of industry consolidation, including antitrust immunity grants, may take place and may not involve us as a participant. Depending on which carriers combine and which assets, if any, are sold or otherwise transferred to other carriers in connection with such combinations, our competitive position relative to the post-combination carriers or other carriers that acquire such assets could be harmed. In addition, as carriers combine through traditional mergers or antitrust immunity grants, their route networks will grow, and that growth will result in greater overlap with our network, which in turn could result in lower overall market share and revenues for us. Such consolidation is not limited to the U.S., but could include further consolidation among international carriers in Europe and elsewhere.</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be unable to integrate operations successfully and realize the anticipated synergies and other benefits of the Merger.</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Merger involves the combination of two companies that operated as independent public companies prior to the Merger, and each of which operated its own international network airline. Historically, the integration of separate airlines has often proven to be more time consuming and to require more resources than initially estimated. We must devote significant management attention and resources to integrating our business practices, cultures and operations. Potential difficulties we may encounter as part of the integration process include the following:</w:t>
      </w:r>
    </w:p>
    <w:p>
      <w:pPr>
        <w:spacing w:after="0" w:line="63" w:lineRule="exact"/>
        <w:rPr>
          <w:sz w:val="20"/>
          <w:szCs w:val="20"/>
          <w:color w:val="auto"/>
        </w:rPr>
      </w:pPr>
    </w:p>
    <w:p>
      <w:pPr>
        <w:ind w:left="980" w:right="20" w:hanging="324"/>
        <w:spacing w:after="0" w:line="258"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inability to successfully combine our businesses in a manner that permits us to achieve the synergies and other benefits anticipated to result from the Merger;</w:t>
      </w:r>
    </w:p>
    <w:p>
      <w:pPr>
        <w:spacing w:after="0" w:line="1" w:lineRule="exact"/>
        <w:rPr>
          <w:rFonts w:ascii="Arial" w:cs="Arial" w:eastAsia="Arial" w:hAnsi="Arial"/>
          <w:sz w:val="18"/>
          <w:szCs w:val="18"/>
          <w:color w:val="auto"/>
        </w:rPr>
      </w:pPr>
    </w:p>
    <w:p>
      <w:pPr>
        <w:ind w:left="980" w:hanging="324"/>
        <w:spacing w:after="0" w:line="265" w:lineRule="auto"/>
        <w:tabs>
          <w:tab w:leader="none" w:pos="9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challenge of integrating complex systems, operating procedures, regulatory compliance programs, technology, aircraft fleets, networks, and other assets in a manner that minimizes any adverse impact on customers, suppliers, employees, and other constituencies;</w:t>
      </w:r>
    </w:p>
    <w:p>
      <w:pPr>
        <w:ind w:left="980" w:hanging="324"/>
        <w:spacing w:after="0" w:line="250"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effects of divestitures and other operational commitments in connection with the settlement of the litigation brought by the DOJ and certain states prior to the closing of the Merger;</w:t>
      </w: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challenge of forming and maintaining an effective and cohesive management team;</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diversion of the attention of our management and other key employees;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challenge of integrating workforces while maintaining focus on providing consistent, high quality customer service and running an efficient operation;</w:t>
      </w:r>
    </w:p>
    <w:p>
      <w:pPr>
        <w:jc w:val="both"/>
        <w:ind w:left="980" w:hanging="324"/>
        <w:spacing w:after="0" w:line="250"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risks relating to integrating various computer, communications and other technology systems, including designing and implementing an integrated customer reservations system, that will be necessary to operate American and US Airways as a single airline and to achieve cost synergies by eliminating redundancies in the businesses;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disruption of, or the loss of momentum in, our ongoing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branding or rebranding initiatives may involve substantial costs and may not be favorably received by customers; and</w:t>
      </w:r>
    </w:p>
    <w:p>
      <w:pPr>
        <w:spacing w:after="0" w:line="9"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potential unknown liabilities, liabilities that are significantly larger than we currently anticipate and unforeseen increased expenses or delays associated with the Merger, including costs in excess of the cash transition costs that we currently anticipate.</w:t>
      </w:r>
    </w:p>
    <w:p>
      <w:pPr>
        <w:spacing w:after="0" w:line="7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submitted to the FAA a transition plan for merging the day-to-day operations of American and US Airways under a single operating certificate. The issuance of a single operating certificate will occur when the FAA agrees that we have achieved a level of integration that can be safely managed under one certificate. While the parties currently believe that such</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530" w:right="239" w:bottom="1440" w:gutter="0" w:footer="0" w:header="0"/>
        </w:sectPr>
      </w:pPr>
    </w:p>
    <w:bookmarkStart w:id="92" w:name="page93"/>
    <w:bookmarkEnd w:id="92"/>
    <w:p>
      <w:pPr>
        <w:jc w:val="both"/>
        <w:spacing w:after="0" w:line="264" w:lineRule="auto"/>
        <w:rPr>
          <w:sz w:val="20"/>
          <w:szCs w:val="20"/>
          <w:color w:val="auto"/>
        </w:rPr>
      </w:pPr>
      <w:r>
        <w:rPr>
          <w:rFonts w:ascii="Arial" w:cs="Arial" w:eastAsia="Arial" w:hAnsi="Arial"/>
          <w:sz w:val="18"/>
          <w:szCs w:val="18"/>
          <w:color w:val="auto"/>
        </w:rPr>
        <w:t>approval can be obtained within two years from the closing of the Merger, the actual time required and cost incurred to receive this approval cannot be predicted. Any delay in the grant of such approval or increase in costs beyond those presently expected could have a material adverse effect on the completion date of our integration plan and receipt of the benefits expected from that plan.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We may face challenges in integrating our computer, communications and other technology systems"</w:t>
      </w:r>
      <w:r>
        <w:rPr>
          <w:rFonts w:ascii="Arial" w:cs="Arial" w:eastAsia="Arial" w:hAnsi="Arial"/>
          <w:sz w:val="18"/>
          <w:szCs w:val="18"/>
          <w:color w:val="auto"/>
        </w:rPr>
        <w:t xml:space="preserve"> below.</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Accordingly, we may not be able to realize the contemplated benefits of the Merger fully, or at all, or it may take longer and cost more to realize such benefits than expected.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indebtedness and other obligations are substantial and could adversely affect our business and liquidity.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significant amounts of indebtedness and other obligations, including pension obligations, obligations to make future payments on flight equipment and property leases, and substantial non-cancelable obligations under aircraft and related spare engine purchase agreements. Moreover, currently a substantial portion of our assets are pledged to secure our indebtedness. Our substantial indebtedness and other obligations could have important consequences. For example, they:</w:t>
      </w:r>
    </w:p>
    <w:p>
      <w:pPr>
        <w:spacing w:after="0" w:line="79" w:lineRule="exact"/>
        <w:rPr>
          <w:sz w:val="20"/>
          <w:szCs w:val="20"/>
          <w:color w:val="auto"/>
        </w:rPr>
      </w:pPr>
    </w:p>
    <w:p>
      <w:pPr>
        <w:jc w:val="both"/>
        <w:ind w:left="980" w:hanging="324"/>
        <w:spacing w:after="0" w:line="256"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limit our ability to obtain additional funding for working capital, to withstand operating risks that are customary in the industry, capital expenditures, acquisitions, investments, integration costs, and general corporate purposes, and adversely affect the terms on which such funding can be obtained;</w:t>
      </w:r>
    </w:p>
    <w:p>
      <w:pPr>
        <w:ind w:left="980" w:hanging="324"/>
        <w:spacing w:after="0" w:line="250"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and other obligations, thereby reducing the funds available for other purposes;</w:t>
      </w: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make us more vulnerable to economic downturns and catastrophic external events;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contain restrictive covenants that could:</w:t>
      </w:r>
    </w:p>
    <w:p>
      <w:pPr>
        <w:spacing w:after="0" w:line="9" w:lineRule="exact"/>
        <w:rPr>
          <w:rFonts w:ascii="Arial" w:cs="Arial" w:eastAsia="Arial" w:hAnsi="Arial"/>
          <w:sz w:val="18"/>
          <w:szCs w:val="18"/>
          <w:color w:val="auto"/>
        </w:rPr>
      </w:pPr>
    </w:p>
    <w:p>
      <w:pPr>
        <w:ind w:left="1620" w:right="20" w:hanging="315"/>
        <w:spacing w:after="0" w:line="250" w:lineRule="auto"/>
        <w:tabs>
          <w:tab w:leader="none" w:pos="16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limit our ability to merge, consolidate, sell assets, incur additional indebtedness, issue preferred stock, make investments and pay dividends; and</w:t>
      </w:r>
    </w:p>
    <w:p>
      <w:pPr>
        <w:jc w:val="both"/>
        <w:ind w:left="1620" w:hanging="315"/>
        <w:spacing w:after="0" w:line="250" w:lineRule="auto"/>
        <w:tabs>
          <w:tab w:leader="none" w:pos="16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 and</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limit our ability to withstand competitive pressures and reduce our flexibility in responding to changing business and economic conditions.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will need to obtain sufficient financing or other capital to operate successfully.</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Our business plan contemplates significant investments in modernizing our fleet and integrating the American and US Airways businesses. Significant capital resources will be required to execute this plan, and, as a result, we estimate that, based on our commitments as of June 30, 2014, our planned aggregate expenditures for aircraft purchase commitments and certain engines on a consolidated basis for calendar years 2014-2018 would be approximately $19.4 billion, of which $16.6 billion represents commitments by American. We also currently anticipate cash transition costs to integrate our businesses following the Merger to be approximately $1.2 billion, and these costs could exceed our expectations. Accordingly, we will need substantial financing or other capital resources. In addition, as of the date of this report, we had not secured financing commitments for some of the aircraft that we have on order, and we cannot be assured of the availability or cost of that financing. In particular, we do not have financing commitments for the following aircraft currently on order and scheduled to be delivered through 2016: 72 Airbus 320 family aircraft, 4 Boeing 737 family aircraft, 7 Boeing 777-300ER aircraft and 18 Boeing 787 family aircraft. In addition, we do not have financing commitments in place for the majority of aircraft currently on order and scheduled to be delivered in 2017 and beyond. The number of aircraft for which we do not have financing may change as we exercise purchase options or otherwise change our purchase and delivery schedules. If we are unable to arrange financing for such aircraft at customary advance rates and on terms and conditions acceptable to us, we may need to use cash from operations or cash on hand to purchase such aircraft or may seek to negotiate deferrals for such aircraft with the aircraft manufacturers. Depending on numerous factors, many of which are out of our control, such as the state of the domestic and global economies, the capital and credit markets’ view of our prospects and the airline industry in general, and the general availability of debt and equity capital at the time we seek capital, the financing or other capital resources that we will need may not be available to us, or may only be available on onerous terms and conditions. There can be no assurance that we will be successful in obtaining financing or other needed sources of capital to operate successfully. An inability to obtain necessary financing on acceptable terms would have a material adverse impact on our business, results of operations and financial condition.</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76" w:right="239" w:bottom="1440" w:gutter="0" w:footer="0" w:header="0"/>
        </w:sectPr>
      </w:pPr>
    </w:p>
    <w:bookmarkStart w:id="93" w:name="page94"/>
    <w:bookmarkEnd w:id="93"/>
    <w:p>
      <w:pPr>
        <w:ind w:left="660"/>
        <w:spacing w:after="0" w:line="277" w:lineRule="auto"/>
        <w:rPr>
          <w:sz w:val="20"/>
          <w:szCs w:val="20"/>
          <w:color w:val="auto"/>
        </w:rPr>
      </w:pPr>
      <w:r>
        <w:rPr>
          <w:rFonts w:ascii="Arial" w:cs="Arial" w:eastAsia="Arial" w:hAnsi="Arial"/>
          <w:sz w:val="18"/>
          <w:szCs w:val="18"/>
          <w:b w:val="1"/>
          <w:bCs w:val="1"/>
          <w:i w:val="1"/>
          <w:iCs w:val="1"/>
          <w:color w:val="auto"/>
        </w:rPr>
        <w:t>Increased costs of financing, a reduction in the availability of financing and fluctuations in interest rates could adversely affect our liquidity, results of operations and financial condition.</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Concerns about the systemic impact of inflation, the availability and cost of credit, energy costs and geopolitical issues, combined with continued changes in business activity levels and consumer confidence, increased unemployment and volatile oil prices, have in the past and may in the future contribute to volatility in the capital and credit markets. These market conditions could result in illiquid credit markets and wider credit spreads. Any such changes in the domestic and global financial markets may increase our costs of financing and adversely affect our ability to obtain financing needed for the acquisition of aircraft that we have contractual commitments to purchase and for other types of financings we may seek in order to refinance debt maturities, raise capital or fund other types of obligations. Any downgrades to our credit rating may likewise increase the cost and reduce the availability of financing.</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Further, a substantial portion of our indebtedness bears interest at fluctuating interest rates, primarily based on the London interbank offered rate for deposits of U.S. dollars (LIBOR). LIBOR tends to fluctuate based on general economic conditions, general interest rates, rates set by the Federal Reserve and other central banks, and the supply of and demand for credit in the London interbank market. We have not hedged our interest rate exposure with respect to our 2013 Citicorp Credit Facility, the Credit Facilities and other of our floating rate debt, and accordingly, our interest expense for any particular period may fluctuate based on LIBOR and other variable interest rates. To the extent these interest rates increase, our interest expense will increase, in which event we may have difficulties making interest payments and funding our other fixed costs, and our available cash flow for general corporate requirements may be adversely affected.</w:t>
      </w:r>
    </w:p>
    <w:p>
      <w:pPr>
        <w:spacing w:after="0" w:line="189" w:lineRule="exact"/>
        <w:rPr>
          <w:sz w:val="20"/>
          <w:szCs w:val="20"/>
          <w:color w:val="auto"/>
        </w:rPr>
      </w:pPr>
    </w:p>
    <w:p>
      <w:pPr>
        <w:ind w:left="660" w:right="20"/>
        <w:spacing w:after="0" w:line="381" w:lineRule="auto"/>
        <w:rPr>
          <w:sz w:val="20"/>
          <w:szCs w:val="20"/>
          <w:color w:val="auto"/>
        </w:rPr>
      </w:pPr>
      <w:r>
        <w:rPr>
          <w:rFonts w:ascii="Arial" w:cs="Arial" w:eastAsia="Arial" w:hAnsi="Arial"/>
          <w:sz w:val="15"/>
          <w:szCs w:val="15"/>
          <w:b w:val="1"/>
          <w:bCs w:val="1"/>
          <w:i w:val="1"/>
          <w:iCs w:val="1"/>
          <w:color w:val="auto"/>
        </w:rPr>
        <w:t>Our high level of fixed obligations may limit our ability to fund general corporate requirements and obtain additional financing, may limit our flexibility in responding to competitive developments and causes our business to be vulnerable to adverse economic and industry conditions.</w:t>
      </w:r>
    </w:p>
    <w:p>
      <w:pPr>
        <w:spacing w:after="0" w:line="10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 significant amount of fixed obligations, including debt, pension costs, aircraft leases and financings, aircraft purchase commitments, leases and developments of airport and other facilities and other cash obligations. We also have certain guaranteed costs associated with our regional operations.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result of the substantial fixed costs associated with these obligations:</w:t>
      </w:r>
    </w:p>
    <w:p>
      <w:pPr>
        <w:spacing w:after="0" w:line="117" w:lineRule="exact"/>
        <w:rPr>
          <w:sz w:val="20"/>
          <w:szCs w:val="20"/>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decrease in revenues results in a disproportionately greater percentage decrease in earnings;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may not have sufficient liquidity to fund all of these fixed obligations if our revenues decline or costs increase; and</w:t>
      </w:r>
    </w:p>
    <w:p>
      <w:pPr>
        <w:spacing w:after="0" w:line="9" w:lineRule="exact"/>
        <w:rPr>
          <w:rFonts w:ascii="Arial" w:cs="Arial" w:eastAsia="Arial" w:hAnsi="Arial"/>
          <w:sz w:val="18"/>
          <w:szCs w:val="18"/>
          <w:color w:val="auto"/>
        </w:rPr>
      </w:pPr>
    </w:p>
    <w:p>
      <w:pPr>
        <w:ind w:left="1620" w:hanging="640"/>
        <w:spacing w:after="0" w:line="261" w:lineRule="auto"/>
        <w:tabs>
          <w:tab w:leader="none" w:pos="1296"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may have to use our working capital to fund these fixed obligations instead of funding general corporate requirements, including capital expenditures.</w:t>
      </w:r>
    </w:p>
    <w:p>
      <w:pPr>
        <w:spacing w:after="0" w:line="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These obligations also impact our ability to obtain additional financing, if needed, and our flexibility in the conduct of our business, and could materially adversely affect our liquidity, results of operations and financial condition.</w:t>
      </w:r>
    </w:p>
    <w:p>
      <w:pPr>
        <w:spacing w:after="0" w:line="170"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b w:val="1"/>
          <w:bCs w:val="1"/>
          <w:i w:val="1"/>
          <w:iCs w:val="1"/>
          <w:color w:val="auto"/>
        </w:rPr>
        <w:t>We have significant pension and other post-employment benefit funding obligations, which may adversely affect our liquidity, results of operations and financial condition.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pension funding obligations are significant. The amount of these obligations will depend on the performance of investments held in trust by the pension plans, interest rates for determining liabilities and actuarial experience. Currently, our minimum funding obligation for our pension plans is subject to temporary favorable rules that are scheduled to expire at the end of 2017. Upon the expiration of those rules, our funding obligations are likely to increase materially. In addition, we may have significant obligations for other post-employment benefits depending on the outcome of an adversary proceeding related to retiree medical and life insurance obligations filed in the Chapter 11 cases.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76" w:right="239" w:bottom="1440" w:gutter="0" w:footer="0" w:header="0"/>
        </w:sectPr>
      </w:pPr>
    </w:p>
    <w:bookmarkStart w:id="94" w:name="page95"/>
    <w:bookmarkEnd w:id="94"/>
    <w:p>
      <w:pPr>
        <w:ind w:left="660"/>
        <w:spacing w:after="0" w:line="277" w:lineRule="auto"/>
        <w:rPr>
          <w:sz w:val="20"/>
          <w:szCs w:val="20"/>
          <w:color w:val="auto"/>
        </w:rPr>
      </w:pPr>
      <w:r>
        <w:rPr>
          <w:rFonts w:ascii="Arial" w:cs="Arial" w:eastAsia="Arial" w:hAnsi="Arial"/>
          <w:sz w:val="18"/>
          <w:szCs w:val="18"/>
          <w:b w:val="1"/>
          <w:bCs w:val="1"/>
          <w:i w:val="1"/>
          <w:iCs w:val="1"/>
          <w:color w:val="auto"/>
        </w:rPr>
        <w:t>Any failure to comply with the covenants contained in our financing arrangements may have a material adverse effect on our business, results of operations and financial condition.</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terms of our 2013 Citicorp Credit Facility and the Credit Facilities require us to ensure that AAG and its restricted subsidiaries maintain consolidated unrestricted cash and cash equivalents and amounts available to be drawn under revolving credit facilities in an aggregate amount not less than $2.0 billion, and the 2013 Citicorp Credit Facility also requires us and the other obligors thereunder to hold not less than $750 million (subject to partial reductions upon certain reductions in the outstanding amount of the loan) of that amount in accounts subject to control agreements.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ability to comply with these liquidity covenants while paying the fixed costs associated with our contractual obligations and our other expenses, including significant pension and other post-employment funding obligations and cash transition costs associated with the Merger, will depend on our operating performance and cash flow, which are seasonal, as well as factors including fuel costs and general economic and political conditions.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our credit facilities and certain other financing arrangements include covenants that, among other things, limit our ability to pay dividends and make certain other payments, make certain investments, incur additional indebtedness, enter into certain affiliate transactions and engage in certain business activities, in each case subject to certain exceptions.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factors affecting our liquidity (and our ability to comply with related liquidity and other covenants) will remain subject to significant fluctuations and uncertainties, many of which are outside our control. Any breach of our liquidity and other covenants or failure to timely pay our obligations could result in a variety of adverse consequences, including the acceleration of our indebtedness, the withholding of credit card proceeds by our credit card processors and the exercise of remedies by our creditors and lessors. In such a situation, we may not be able to fulfill our contractual obligations, repay the accelerated indebtedness, make required lease payments or otherwise cover our fixed costs.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If our financial condition worsens, provisions in our credit card processing and other commercial agreements may adversely affect our liquidity.</w:t>
      </w:r>
    </w:p>
    <w:p>
      <w:pPr>
        <w:spacing w:after="0" w:line="26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have agreements with companies that process customer credit card transactions for the sale of air travel and other services. These agreements allow these processing companies, under certain conditions (including, with respect to certain agreements, the failure of American to maintain certain levels of liquidity) to hold an amount of our cash (a "holdback") equal to some or all of the advance ticket sales that have been processed by that company, but for which we have not yet provided the air transportation. We are not currently required to maintain any holdbacks pursuant to these requirements. These holdback requirements can be modified at the discretion of the processing companies upon the occurrence of specific events, including material adverse changes in our financial condition. An increase in the current holdback balances to higher percentages up to and including 100% of relevant advanced ticket sales could materially reduce our liquidity. Likewise, other of our commercial agreements contain provisions that allow other entities to impose less favorable terms, including the acceleration of amounts due, in the event of material adverse changes in our financial condition.</w:t>
      </w:r>
    </w:p>
    <w:p>
      <w:pPr>
        <w:spacing w:after="0" w:line="16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The historical consolidated financial information contained in this report is not directly comparable to our financial information for prior or future periods</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number of factors render our historical consolidated financial information not directly comparable to our financial information for prior or future periods, including:</w:t>
      </w:r>
    </w:p>
    <w:p>
      <w:pPr>
        <w:spacing w:after="0" w:line="62" w:lineRule="exact"/>
        <w:rPr>
          <w:sz w:val="20"/>
          <w:szCs w:val="20"/>
          <w:color w:val="auto"/>
        </w:rPr>
      </w:pPr>
    </w:p>
    <w:p>
      <w:pPr>
        <w:ind w:left="1380" w:hanging="400"/>
        <w:spacing w:after="0" w:line="258" w:lineRule="auto"/>
        <w:tabs>
          <w:tab w:leader="none" w:pos="1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because the Merger was completed on December 9, 2013, AAG's 2013 consolidated results of operations include the results of US Airways Group and its subsidiaries for only 23 days of 2013;</w:t>
      </w:r>
    </w:p>
    <w:p>
      <w:pPr>
        <w:spacing w:after="0" w:line="1" w:lineRule="exact"/>
        <w:rPr>
          <w:rFonts w:ascii="Arial" w:cs="Arial" w:eastAsia="Arial" w:hAnsi="Arial"/>
          <w:sz w:val="18"/>
          <w:szCs w:val="18"/>
          <w:color w:val="auto"/>
        </w:rPr>
      </w:pPr>
    </w:p>
    <w:p>
      <w:pPr>
        <w:ind w:left="1380" w:hanging="400"/>
        <w:spacing w:after="0" w:line="250" w:lineRule="auto"/>
        <w:tabs>
          <w:tab w:leader="none" w:pos="1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Merger was accounted for using the acquisition method of accounting with AAG as the acquiring entity, resulting in an adjustment to the carrying values of the assets and liabilities of US Airways Group compared to its historical carrying values;</w:t>
      </w:r>
    </w:p>
    <w:p>
      <w:pPr>
        <w:jc w:val="both"/>
        <w:ind w:left="1380" w:hanging="400"/>
        <w:spacing w:after="0" w:line="250" w:lineRule="auto"/>
        <w:tabs>
          <w:tab w:leader="none" w:pos="1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during the course of our Chapter 11 Cases and in connection with our emergence from Chapter 11 and the effectiveness of the Plan, we recorded material expenses, charges, costs and other accounting entries related to our restructuring process, many of which generally had not been incurred in the past and are not expected to be incurred in the future; and</w:t>
      </w:r>
    </w:p>
    <w:p>
      <w:pPr>
        <w:spacing w:after="0" w:line="1" w:lineRule="exact"/>
        <w:rPr>
          <w:rFonts w:ascii="Arial" w:cs="Arial" w:eastAsia="Arial" w:hAnsi="Arial"/>
          <w:sz w:val="18"/>
          <w:szCs w:val="18"/>
          <w:color w:val="auto"/>
        </w:rPr>
      </w:pPr>
    </w:p>
    <w:p>
      <w:pPr>
        <w:ind w:left="1380" w:hanging="400"/>
        <w:spacing w:after="0" w:line="261" w:lineRule="auto"/>
        <w:tabs>
          <w:tab w:leader="none" w:pos="1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certain prior accounting presentations, including the manner in which we report our regional operations, have been changed and historical results restated to conform to the current presentation.</w:t>
      </w:r>
    </w:p>
    <w:p>
      <w:pPr>
        <w:spacing w:after="0" w:line="76"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Due to these and other factors largely related to the Merger and the Plan, investors are cautioned as to the limitations of our historical financial statements and urged to review carefully Part I, Item 2. Management’s Discussion and Analysis of Financial Condition and Results of Operations.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76" w:right="239" w:bottom="1440" w:gutter="0" w:footer="0" w:header="0"/>
        </w:sectPr>
      </w:pPr>
    </w:p>
    <w:bookmarkStart w:id="95" w:name="page96"/>
    <w:bookmarkEnd w:id="95"/>
    <w:p>
      <w:pPr>
        <w:ind w:left="660"/>
        <w:spacing w:after="0"/>
        <w:rPr>
          <w:sz w:val="20"/>
          <w:szCs w:val="20"/>
          <w:color w:val="auto"/>
        </w:rPr>
      </w:pPr>
      <w:r>
        <w:rPr>
          <w:rFonts w:ascii="Arial" w:cs="Arial" w:eastAsia="Arial" w:hAnsi="Arial"/>
          <w:sz w:val="18"/>
          <w:szCs w:val="18"/>
          <w:b w:val="1"/>
          <w:bCs w:val="1"/>
          <w:i w:val="1"/>
          <w:iCs w:val="1"/>
          <w:color w:val="auto"/>
        </w:rPr>
        <w:t>Union disputes, employee strikes and other labor-related disruptions may adversely affect our operations.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Relations between air carriers and labor unions in the U.S. are governed by the Railway Labor Act (RLA). Under the RLA,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(NMB).</w:t>
      </w:r>
    </w:p>
    <w:p>
      <w:pPr>
        <w:spacing w:after="0" w:line="1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Presidential Emergency Board (PEB) may be established, which examines the parties’ positions and recommends a solution. The PEB process lasts for 30 days and is followed by another 30-day "cooling off" period. At the end of a "cooling off" period, unless an agreement is reached or action is taken by Congress, the labor organization may exercise "self-help," such as a strike, which could materially adversely affect our business, results of operations and financial condition.</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None of these unions presently may lawfully engage in concerted refusals to work, such as strikes, slow-downs, sick-outs or other similar activity, against us. Nonetheless, there is a risk that disgruntled employees, either with or without union involvement, could engage in one or more concerted refusals to work that could individually or collectively harm the operation of our airline and impair our financial performance. See Part I, Item 1 - Business - </w:t>
      </w:r>
      <w:r>
        <w:rPr>
          <w:rFonts w:ascii="Arial" w:cs="Arial" w:eastAsia="Arial" w:hAnsi="Arial"/>
          <w:sz w:val="18"/>
          <w:szCs w:val="18"/>
          <w:i w:val="1"/>
          <w:iCs w:val="1"/>
          <w:color w:val="auto"/>
        </w:rPr>
        <w:t xml:space="preserve">"Employees and Labor Relations" </w:t>
      </w:r>
      <w:r>
        <w:rPr>
          <w:rFonts w:ascii="Arial" w:cs="Arial" w:eastAsia="Arial" w:hAnsi="Arial"/>
          <w:sz w:val="18"/>
          <w:szCs w:val="18"/>
          <w:color w:val="auto"/>
        </w:rPr>
        <w:t>in our 2013 Form 10-K.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inability to maintain labor costs at competitive levels would harm our financial performance.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Currently, we believe our labor costs are competitive relative to the other large network carriers. However, we cannot provide assurance that labor costs going forward will remain competitive because some of our agreements are amendable now and others may become amendable, competitors may significantly reduce their labor costs or we may agree to higher-cost provisions in our current or future labor negotiations. As of December 31, 2013, approximately 73% of our employees were represented for collective bargaining purposes by labor unions. Some of our unions have brought and may continue to bring grievances to binding arbitration, including related to wages. Unions may also bring court actions and may seek to compel us to engage in bargaining processes where we believe we have no such obligation. If successful, there is a risk these judicial or arbitral avenues could create material additional costs that we did not anticipate.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Interruptions or disruptions in service at one of our hub airports could have a material adverse impact on our operations.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operate principally through hubs in Charlotte, Chicago, Dallas/Fort Worth, Los Angeles, Miami, New York City, Philadelphia, Phoenix and Washington, D.C. Substantially all of our flights either originate in or fly into one of these locations. A significant interruption or disruption in service at one of our hubs resulting from air traffic control (ATC) delays, weather conditions, natural disasters, growth constraints, relations with third-party service providers, failure of computer systems, facility disruptions, labor relations, power supplies, fuel supplies, terrorist activities or otherwise could result in the cancellation or delay of a significant portion of our flights and, as a result, could have a severe impact on our business, results of operations and financial condition.</w:t>
      </w:r>
    </w:p>
    <w:p>
      <w:pPr>
        <w:spacing w:after="0" w:line="193"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b w:val="1"/>
          <w:bCs w:val="1"/>
          <w:i w:val="1"/>
          <w:iCs w:val="1"/>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order to operate our existing and proposed flight schedule and, where appropriate, add service along new or existing routes, we must be able to maintain and/or obtain adequate gates, ticketing facilities, operations areas, and office space. As airports around the world become more congested, we will not always be able to ensure that our plans for new service can be implemented in a commercially viable manner, given operating constraints at airports throughout our network, including due to inadequate facilities at desirable airports. Further, our operating costs at airports at which we operate, including our hubs, may increase significantly because of capital improvements at such airports that we may be required to fund, directly or indirectly. In some circumstances, such costs could be imposed by the relevant airport authority without our approval.</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operations at four major domestic airports, certain smaller domestic airports and certain foreign airports served by us are regulated by governmental entities through the use of slots or similar regulatory mechanisms which limit the rights of carriers to conduct operations at those airports. Each slot represents the authorization to land at or take off from the particular airport during a specified time period and may have other operational restrictions as well. In the U.S., the FAA currently regulates the allocation of slot or slot exemptions at Ronald Reagan Washington National Airport and three New York City airports: Newark, JFK and LaGuardia. Our operations at these airports generally require the allocation of slots or similar regulatory authority. Similarly, our operations at international airports in Frankfurt, London Heathrow, Paris and other airports outside the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76" w:right="239" w:bottom="1440" w:gutter="0" w:footer="0" w:header="0"/>
        </w:sectPr>
      </w:pPr>
    </w:p>
    <w:bookmarkStart w:id="96" w:name="page97"/>
    <w:bookmarkEnd w:id="96"/>
    <w:p>
      <w:pPr>
        <w:jc w:val="both"/>
        <w:spacing w:after="0" w:line="259" w:lineRule="auto"/>
        <w:rPr>
          <w:sz w:val="20"/>
          <w:szCs w:val="20"/>
          <w:color w:val="auto"/>
        </w:rPr>
      </w:pPr>
      <w:r>
        <w:rPr>
          <w:rFonts w:ascii="Arial" w:cs="Arial" w:eastAsia="Arial" w:hAnsi="Arial"/>
          <w:sz w:val="18"/>
          <w:szCs w:val="18"/>
          <w:color w:val="auto"/>
        </w:rPr>
        <w:t>U.S. are regulated by local slot authorities pursuant to the International Air Transport Association’s Worldwide Scheduling Guidelines and applicable local law. We cannot provide any assurance that regulatory changes regarding the allocation of slots or similar regulatory authority will not have a material adverse impact on our operations. For example, the FAA is planning a new rulemaking in 2014 to modify the current rules limiting flight operations at New York City’s JFK and LaGuardia airports.</w:t>
      </w:r>
    </w:p>
    <w:p>
      <w:pPr>
        <w:spacing w:after="0" w:line="24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connection with the settlement of litigation relating to the Merger brought by the DOJ and certain states, we entered into settlement agreements that provide for certain asset divestitures. In the agreement with the United States government, among other things, we agreed to divest and not reacquire for 10 years certain rights and assets consisting of 52 slot pairs at Washington Reagan National Airport, and 17 slot pairs at LaGuardia, in each case together with associated gates and related ground facilities necessary to operate those slot pairs, and two gates at each of Boston Logan International Airport, Chicago O’Hare International Airport, Dallas Love Field, Los Angeles International Airport and Miami International Airport. The agreement with the plaintiff states requires our airlines, subject to certain conditions and exceptions, to maintain certain hub operations in a manner generally consistent with historical operations and to continue to provide scheduled daily service to certain specified communities, both for limited periods of time. In addition, we entered into a related settlement with the DOT related to small community service from Washington Reagan National Airport. Further, as a consequence of the Merger clearance process in the EU, we are required to make available one pair of London Heathrow slots for use by another carrier between London and Philadelphia, which the acquiring carrier can deploy on another Heathrow city pair after operating the slots on London-Philadelphia for a period of not less than three consecutive years, and, along with our JBA partners, we are required to make available for an initial period of up to seven years one pair of Heathrow slots for service between London and Miami that may be operated via an intermediate point.</w:t>
      </w:r>
    </w:p>
    <w:p>
      <w:pPr>
        <w:spacing w:after="0" w:line="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limitation on our ability to acquire or maintain adequate gates, ticketing facilities, operations areas, slots (where applicable), or office space could have a material adverse effect on our business, results of operations and financial condition.</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If we incur problems with any of our third-party regional operators or third-party service providers, our operations could be adversely affected by a resulting decline in revenue or negative public perception about our services.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significant portion of our regional operations are conducted by third-party operators on our behalf, primarily under capacity purchase agreements. Due to our reliance on third parties to provide these essential services, we are subject to the risks of disruptions to their operations, which may result from many of the same risk factors disclosed in this report, such as the impact of adverse economic conditions, and other risk factors, such as a bankruptcy restructuring of any of the regional operators. We may also experience disruption to our regional operations if we terminate the capacity purchase agreement with one or more of our current operators and transition the services to another provider. As our regional segment provides revenues to us directly and indirectly (by providing flow traffic to our hubs), any significant disruption to our regional operations would have a material adverse effect on our business, results of operations and financial condition.</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our reliance upon others to provide essential services on behalf of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provision of information technology and services, regional operations, aircraft maintenance, ground services and facilities, reservations and baggage handling. Similar agreements may be entered into in any new markets we decide to serve. These agreements are generally subject to termination after notice by the third-party service provider. We are also at risk should one of these service providers cease operations, and there is no guarantee that we could replace these providers on a timely basis with comparably priced providers. Volatility in fuel prices, disruptions to capital markets and adverse economic conditions in general have subjected certain of these third-party regional carriers to significant financial pressures, which have led to several bankruptcies among these carriers. Any material problems with the efficiency and timeliness of contract services, resulting from financial hardships or otherwise, could have a material adverse effect on our business, results of operations and financial condition.</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We rely on third-party distribution channels and must manage effectively the costs, rights and functionality of these channels.</w:t>
      </w:r>
    </w:p>
    <w:p>
      <w:pPr>
        <w:spacing w:after="0" w:line="23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rely on third-party distribution channels, including those provided by or through global distribution systems, or GDSs (e.g., Amadeus, Sabre and Travelport), conventional travel agents and online travel agents, or OTAs (e.g., Expedia, Orbitz and Travelocity), to distribute a significant portion of our airline tickets, and we expect in the future to continue to rely on these channels and hope to expand their ability to distribute and collect revenues for ancillary products (e.g., fees for selective seating). These distribution channels are more expensive and at present have less functionality in respect of ancillary product offerings than those we operate ourselves, such as our call centers and our website. Certain of these distribution channels also effectively restrict the manner in which we distribute our products generally. To remain competitive, we will need to manage successfully our distribution costs and rights, increase our distribution flexibility and improve the functionality of third-party distribution channels, while maintaining an industry-competitive cost structure. Any inability to manage our third-party distribution costs, rights and functionality at a competitive level or any material diminishment or disruption in the distribution of our tickets could have a material adverse effect on our business, results of operations and financial condition.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76" w:right="239" w:bottom="1440" w:gutter="0" w:footer="0" w:header="0"/>
        </w:sectPr>
      </w:pPr>
    </w:p>
    <w:bookmarkStart w:id="97" w:name="page98"/>
    <w:bookmarkEnd w:id="97"/>
    <w:p>
      <w:pPr>
        <w:ind w:left="660" w:right="20"/>
        <w:spacing w:after="0" w:line="277" w:lineRule="auto"/>
        <w:rPr>
          <w:sz w:val="20"/>
          <w:szCs w:val="20"/>
          <w:color w:val="auto"/>
        </w:rPr>
      </w:pPr>
      <w:r>
        <w:rPr>
          <w:rFonts w:ascii="Arial" w:cs="Arial" w:eastAsia="Arial" w:hAnsi="Arial"/>
          <w:sz w:val="18"/>
          <w:szCs w:val="18"/>
          <w:b w:val="1"/>
          <w:bCs w:val="1"/>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Airlines are subject to extensive domestic and international regulatory requirements. In the last several years, Congress has passed laws, and DOT, the FAA, the TSA and the Department of Homeland Security have issued a number of directives and other regulations, that affect the airline industry. These requirements impose substantial costs on us and restrict the ways we may conduct our business.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example, the FAA from time to time issues directives and other regulations relating to the maintenance and operation of aircraft that require significant expenditures or operational restrictions. Our failure to timely comply with these requirements has in the past and may in the future result in fines and other enforcement actions by the FAA or other regulators. In addition, the FAA recently issued its final regulations governing pilot rest periods and work hours for all airlines certificated under Part 121 of the Federal Aviation Regulations. The rule, which became effective on January 4, 2014, impacts the required amount and timing of rest periods for pilots between work assignments and modifies duty and rest requirements based on the time of day, number of scheduled segments, flight types, time zones, and other factors. These regulations, or other regulations, could have a material adverse effect on us and the industry.</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Recent DOT consumer rules require new procedures for customer handling during long onboard delays, further regulate airline interactions with passengers through the reservations process, at the airport, and on board the aircraft, and require new disclosures concerning airline fares and ancillary fees such as baggage fees. The DOT has been aggressively investigating alleged violations of these new rules. Other DOT rules apply to post-ticket purchase price increases and an expansion of tarmac delay regulations to international airlines.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Aviation and Transportation Security Act mandates the federalization of certain airport security procedures and imposes additional security requirements on airports and airlines, most of which are funded by a per-ticket tax on passengers and a tax on airlines.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results of our operations, demand for air travel, and the manner in which we conduct business each may be affected by changes in law and future actions taken by governmental agencies, including:</w:t>
      </w:r>
    </w:p>
    <w:p>
      <w:pPr>
        <w:spacing w:after="0" w:line="62" w:lineRule="exact"/>
        <w:rPr>
          <w:sz w:val="20"/>
          <w:szCs w:val="20"/>
          <w:color w:val="auto"/>
        </w:rPr>
      </w:pPr>
    </w:p>
    <w:p>
      <w:pPr>
        <w:ind w:left="1380" w:hanging="400"/>
        <w:spacing w:after="0" w:line="258" w:lineRule="auto"/>
        <w:tabs>
          <w:tab w:leader="none" w:pos="1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changes in law which affect the services that can be offered by airlines in particular markets and at particular airports, or the types of fees that can be charged to passengers;</w:t>
      </w:r>
    </w:p>
    <w:p>
      <w:pPr>
        <w:spacing w:after="0" w:line="1" w:lineRule="exact"/>
        <w:rPr>
          <w:rFonts w:ascii="Arial" w:cs="Arial" w:eastAsia="Arial" w:hAnsi="Arial"/>
          <w:sz w:val="18"/>
          <w:szCs w:val="18"/>
          <w:color w:val="auto"/>
        </w:rPr>
      </w:pPr>
    </w:p>
    <w:p>
      <w:pPr>
        <w:ind w:left="1380" w:right="20" w:hanging="400"/>
        <w:spacing w:after="0" w:line="250" w:lineRule="auto"/>
        <w:tabs>
          <w:tab w:leader="none" w:pos="1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granting and timing of certain governmental approvals (including antitrust or foreign government approvals) needed for codesharing alliances and other arrangements with other airlines;</w:t>
      </w:r>
    </w:p>
    <w:p>
      <w:pPr>
        <w:ind w:left="1380" w:hanging="400"/>
        <w:spacing w:after="0" w:line="250" w:lineRule="auto"/>
        <w:tabs>
          <w:tab w:leader="none" w:pos="1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restrictions on competitive practices (for example, court orders, or agency regulations or orders, that would curtail an airline’s ability to respond to a competitor);</w:t>
      </w:r>
    </w:p>
    <w:p>
      <w:pPr>
        <w:ind w:left="1380" w:hanging="400"/>
        <w:spacing w:after="0" w:line="250" w:lineRule="auto"/>
        <w:tabs>
          <w:tab w:leader="none" w:pos="1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adoption of new passenger security standards or regulations that impact customer service standards (for example, a "passenger bill of rights");</w:t>
      </w:r>
    </w:p>
    <w:p>
      <w:pPr>
        <w:ind w:left="1380" w:hanging="400"/>
        <w:spacing w:after="0" w:line="250" w:lineRule="auto"/>
        <w:tabs>
          <w:tab w:leader="none" w:pos="1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restrictions on airport operations, such as restrictions on the use of slots at airports or the auction or reallocation of slot rights currently held by us; and</w:t>
      </w:r>
    </w:p>
    <w:p>
      <w:pPr>
        <w:ind w:left="1380" w:hanging="400"/>
        <w:spacing w:after="0"/>
        <w:tabs>
          <w:tab w:leader="none" w:pos="1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adoption of more restrictive locally-imposed noise restrictions.</w:t>
      </w:r>
    </w:p>
    <w:p>
      <w:pPr>
        <w:spacing w:after="0" w:line="10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additional regulation or other form of regulatory oversight increases costs and adds greater complexity to airline operations and, in some cases, may reduce the demand for air travel. There can be no assurance that our compliance with new rules, anticipated rules or other forms of regulatory oversight will not have a material adverse effect on us.</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April 2013, the FAA announced the imposition of furloughs that resulted in reduced staffing, including among air traffic controllers, in connection with its implementation of budget reductions related to the federal government’s response to the so-called "sequester" of government funding. These furloughs have been suspended as a result of Congressional legislation. However, we cannot predict whether there will be further furloughs or the impact of any such furloughs on our business. Any significant reduction in air traffic capacity at key airports in the U.S. could have a material adverse effect on our business, results of operations and financial condition. We also experienced delays in routine non-operational interactions with the FAA as a result of the government shut-down in 2013, and we may experience delays again in the event of any future government shut-down.</w:t>
      </w:r>
    </w:p>
    <w:p>
      <w:pPr>
        <w:spacing w:after="0" w:line="16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the ATC system is not successfully managing the growing demand for U.S. air travel. Air traffic controllers rely on outdated technologies that routinely overwhelm the system and compel airlines to fly inefficient, indirect routes. On February 14, 2012, the FAA Modernization and Reform Act of 2012 was signed. The law provides funding for the FAA to rebuild its ATC system, including switching from radar to a GPS-based system. It is uncertain when any improvements to the ATC system will take effect. Failure to update the ATC system in a timely manner and the substantial funding requirements that may be imposed on airlines of a modernized ATC system may have a material adverse effect on our business.</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ability of U.S. airlines to operate international routes is subject to change because the applicable arrangements between the U.S. and foreign governments may be amended from time to time and appropriate slots or facilities may not be made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76" w:right="239" w:bottom="1440" w:gutter="0" w:footer="0" w:header="0"/>
        </w:sectPr>
      </w:pPr>
    </w:p>
    <w:bookmarkStart w:id="98" w:name="page99"/>
    <w:bookmarkEnd w:id="98"/>
    <w:p>
      <w:pPr>
        <w:jc w:val="both"/>
        <w:spacing w:after="0" w:line="289" w:lineRule="auto"/>
        <w:rPr>
          <w:sz w:val="20"/>
          <w:szCs w:val="20"/>
          <w:color w:val="auto"/>
        </w:rPr>
      </w:pPr>
      <w:r>
        <w:rPr>
          <w:rFonts w:ascii="Arial" w:cs="Arial" w:eastAsia="Arial" w:hAnsi="Arial"/>
          <w:sz w:val="16"/>
          <w:szCs w:val="16"/>
          <w:color w:val="auto"/>
        </w:rPr>
        <w:t>available. We currently operate on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routes, such an event could have a material adverse impact on us and could result in the impairment of material amounts of our related tangible and intangible assets. In addition, competition from revenue-sharing joint ventures, JBAs, and other alliance arrangements by and among other airlines could impair the value of our business and assets on the open skies routes. For example, the open skies air services agreement between the U.S. and the EU, which took effect in March 2008, provides airlines from the U.S. and EU member states open access to each other’s markets, with freedom of pricing and unlimited rights to fly from the U.S. to any airport in the EU, including London’s Heathrow Airport. As a result of the agreement, we face increased competition in these markets, including Heathrow Airport. In addition, the open skies agreement between the U.S. and Brazil, which was signed in 2010 and takes full effect in 2015, has resulted in increased competition in the U.S./Brazil market.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airline industry is subject to extensive government fees and taxation that negatively impact our revenue.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passenger facility charge per passenger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TSA security screening fees, which were recently increased), and pass along the collected amounts to the appropriate governmental agencies. Although these taxes are not operating expenses, they represent an additional cost to our customers. There are continuing efforts in Congress and in other countries to raise different portions of the various taxes, fees, and charges imposed on airlines and their passengers. Increases in such taxes, fees and charges could negatively impact our business, results of operations and financial condition.</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 For example, in January 2014, Congress restructured the September 11 security fee, which will increase the fee on some customers.</w:t>
      </w:r>
    </w:p>
    <w:p>
      <w:pPr>
        <w:spacing w:after="0" w:line="18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Changes to our business model that are designed to increase revenues may not be successful and may cause operational difficulties or decreased demand.</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implemented several new measures designed to increase revenue and offset costs. These measures include charging separately for services that had previously been included within the price of a ticket and increasing other pre-existing fees. We may introduce additional initiatives in the future; however, as time goes on, we expect that it will be more difficult to identify and implement additional initiatives. We cannot assure you that these new measures or any future initiatives will be successful in increasing our revenues. Additionally, the implementation of these initiatives creates logistical challenges that could harm the operational performance of our airline. Also, the new and increased fees might reduce the demand for air travel on our airline or across the industry in general, particularly if weakened economic conditions continue to make our customers more sensitive to increased travel costs or provide a significant competitive advantage to other carriers that determine not to institute similar charges.</w:t>
      </w:r>
    </w:p>
    <w:p>
      <w:pPr>
        <w:spacing w:after="0" w:line="17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The loss of key personnel upon whom we depend to operate our business or the inability to attract additional qualified personnel could adversely affect our business.</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believe that our future success will depend in large part on our ability to retain or attract highly qualified management, technical and other personnel. We may not be successful in retaining key personnel or in attracting other highly qualified personnel. Any inability to retain or attract significant numbers of qualified management and other personnel would have a material adverse effect on our business, results of operations and financial condition.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may be adversely affected by conflicts overseas or terrorist attacks; the travel industry continues to face ongoing security concerns.</w:t>
      </w:r>
    </w:p>
    <w:p>
      <w:pPr>
        <w:spacing w:after="0" w:line="24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Acts of terrorism or fear of such attacks, including elevated national threat warnings, wars or other military conflicts, may depress air travel, particularly on international routes, and cause declines in revenues and increases in costs. The attacks of September 11, 2001 and continuing terrorist threats and attempted attacks materially impacted and continue to impact air travel. Increased security procedures introduced at airports since the attacks and other such measures as may be introduced in the future generate higher operating costs for airlines. The Aviation and Transportation Security Act mandated improved flight deck security, deployment of federal air marshals on board flights, improved airport perimeter access security, airline crew security training,</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76" w:right="239" w:bottom="1440" w:gutter="0" w:footer="0" w:header="0"/>
        </w:sectPr>
      </w:pPr>
    </w:p>
    <w:bookmarkStart w:id="99" w:name="page100"/>
    <w:bookmarkEnd w:id="99"/>
    <w:p>
      <w:pPr>
        <w:jc w:val="both"/>
        <w:spacing w:after="0" w:line="259" w:lineRule="auto"/>
        <w:rPr>
          <w:sz w:val="20"/>
          <w:szCs w:val="20"/>
          <w:color w:val="auto"/>
        </w:rPr>
      </w:pPr>
      <w:r>
        <w:rPr>
          <w:rFonts w:ascii="Arial" w:cs="Arial" w:eastAsia="Arial" w:hAnsi="Arial"/>
          <w:sz w:val="18"/>
          <w:szCs w:val="18"/>
          <w:color w:val="auto"/>
        </w:rPr>
        <w:t>enhanced security screening of passengers, baggage, cargo, mail, employees and vendors, enhanced training and qualifications of security screening personnel, additional provision of passenger data to U.S. Customs and enhanced background checks. A concurrent increase in airport security charges and procedures, such as restrictions on carry-on baggage, has also had and may continue to have a disproportionate impact on short-haul travel, which constitutes a significant portion of our flying and revenue.</w:t>
      </w:r>
    </w:p>
    <w:p>
      <w:pPr>
        <w:spacing w:after="0" w:line="187" w:lineRule="exact"/>
        <w:rPr>
          <w:sz w:val="20"/>
          <w:szCs w:val="20"/>
          <w:color w:val="auto"/>
        </w:rPr>
      </w:pPr>
    </w:p>
    <w:p>
      <w:pPr>
        <w:ind w:left="660" w:right="20"/>
        <w:spacing w:after="0" w:line="308" w:lineRule="auto"/>
        <w:rPr>
          <w:sz w:val="20"/>
          <w:szCs w:val="20"/>
          <w:color w:val="auto"/>
        </w:rPr>
      </w:pPr>
      <w:r>
        <w:rPr>
          <w:rFonts w:ascii="Arial" w:cs="Arial" w:eastAsia="Arial" w:hAnsi="Arial"/>
          <w:sz w:val="17"/>
          <w:szCs w:val="17"/>
          <w:b w:val="1"/>
          <w:bCs w:val="1"/>
          <w:i w:val="1"/>
          <w:iCs w:val="1"/>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20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operate a global business with operations outside of the U.S. from which American derived approximately 40% of its operating revenues and US Airways derived approximately 24% of its operating revenues in 2013, as measured and reported to the DOT. Our current international activities and prospects have been and in the future could be adversely affected by reversals or delays in the opening of foreign markets, exchange controls or other restrictions on repatriation of funds, currency and political risks (including changes in exchange rates and currency devaluations, which are more likely in countries with exchange controls such as Venezuela and Argentina), environmental regulation, increases in taxes and fees and changes in international government regulation of our operations, including the inability to obtain or retain needed route authorities and/or slots.</w:t>
      </w:r>
    </w:p>
    <w:p>
      <w:pPr>
        <w:spacing w:after="0" w:line="12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particular, fluctuations in foreign currencies, including devaluations, and exchange controls and other restrictions on the repatriation of funds, have significantly affected and may continue to significantly affect our operating performance, liquidity and the value of any cash held outside the U.S. in local currency. For example, the business environment in Venezuela has been challenging, with economic uncertainty fueled by currency devaluation, high inflation and governmental restrictions, including currency exchange and payment controls, price controls and the possibility of expropriation of property or other resources. As of June 30, 2014, approximately $791 million of our unrestricted cash balance was held in Venezuelan bolivars, valued at the weighted average applicable exchange rate of 6.53 bolivars to the dollar. This includes approximately $94 million valued at 4.3 bolivars, approximately $611 million valued at 6.3 bolivars, and approximately $86 million valued at 10.6 bolivars, with the rate depending on the date we submitted our repatriation request to the Venezuelan government. In the first quarter of 2014, the Venezuelan government announced that a newly-implemented system (SICAD I) will determine the exchange rate (which fluctuates as determined by weekly auctions and at June 30, 2014 was 10.6 bolivars to the dollar) for repatriation of cash proceeds from ticket sales after January 1, 2014, and introduced new procedures for approval of repatriation of local currency. We are continuing to work with Venezuelan authorities regarding the timing and exchange rate applicable to the repatriation of funds held in local currency. However, pending further repatriation of funds, and due to the significant decrease in demand for air travel resulting from the effective devaluation of the bolivar, we recently significantly reduced capacity in this market. We are monitoring this situation closely and continue to evaluate our holdings of Venezuelan bolivars for potential impairment. Further, the current, devalued rates may have an ongoing adverse effect on our reported results if we are unable to fully adjust prices on flights to and from Venezuela, of which there can be no assurance. More 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are subject to many forms of environmental regulation and may incur substantial costs as a result.</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increasingly stringent federal, state, local and foreign laws, regulations and ordinances relating to the protection of the environment, including those relating to emissions to the air, discharges to surface and subsurface waters, safe drinking water, and the management of hazardous substances, oils and waste materials. Compliance with all environmental laws and regulations can require significant expenditures, and violations can lead to significant fines and penalties.</w:t>
      </w:r>
    </w:p>
    <w:p>
      <w:pPr>
        <w:spacing w:after="0" w:line="14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EPA has proposed changes to underground storage tank regulations that could affect certain airport fuel hydrant systems. Airport systems that fall within threshold requirements would need to be modified in order to comply with applicable regulations. Additionally, the EPA has proposed the draft 2013 National Pollutant Discharge Elimination System General Permit for Stormwater Discharges from Industrial Activities. This permit would impose new limitations on certain discharges along with mandatory best management practices. Concurrently, California has proposed the State Final Draft Industrial General Permit for stormwater discharges. This permit employs the use of benchmark values to trigger response actions when exceeding those limits and eliminates group monitoring. These permits have not been finalized, and cost estimates have not been defined, but American and US Airways along with other airlines would share a portion of these costs at applicable airports. In addition to the proposed EPA and state regulations, several U.S. airport authorities are actively engaged in efforts to limit discharges of de-icing fluid to the environment, often by requiring airlines to participate in the building or reconfiguring of airport de-icing facilities. Such efforts are likely to impose additional costs and restrictions on airlines using those airports. We do not believe, however, that such environmental developments will have a material impact on our capital expenditures or otherwise materially adversely affect our operations, operating costs or competitive position.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76" w:right="239" w:bottom="1440" w:gutter="0" w:footer="0" w:header="0"/>
        </w:sectPr>
      </w:pPr>
    </w:p>
    <w:bookmarkStart w:id="100" w:name="page101"/>
    <w:bookmarkEnd w:id="100"/>
    <w:p>
      <w:pPr>
        <w:jc w:val="both"/>
        <w:ind w:firstLine="648"/>
        <w:spacing w:after="0" w:line="255" w:lineRule="auto"/>
        <w:rPr>
          <w:sz w:val="20"/>
          <w:szCs w:val="20"/>
          <w:color w:val="auto"/>
        </w:rPr>
      </w:pPr>
      <w:r>
        <w:rPr>
          <w:rFonts w:ascii="Arial" w:cs="Arial" w:eastAsia="Arial" w:hAnsi="Arial"/>
          <w:sz w:val="18"/>
          <w:szCs w:val="18"/>
          <w:color w:val="auto"/>
        </w:rPr>
        <w:t>We are also subject to other environmental laws and regulations, including those that require us to investigate and remediate soil or groundwater to meet certain objectives. Under federal law, generators of waste materials, and current and former owners or operators of facilities, can be subject to liability for investigation and remediation costs at locations that have been identified as requiring response actions. Liability under these laws may be strict, joint and several, meaning that we could be liable for the costs of cleaning up environmental contamination regardless of fault or the amount of wastes directly attributable to us. We have liability for investigation and remediation costs at various sites, although such costs are currently not expected to have a material adverse effect on our business.</w:t>
      </w:r>
    </w:p>
    <w:p>
      <w:pPr>
        <w:spacing w:after="0" w:line="15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even if we are not the party responsible for the initial event that caused the environmental damage. We also participate in leases with other airlines in fuel consortiums and fuel committees at airports, where such indemnities are generally joint and several among the participating airlines.</w:t>
      </w:r>
    </w:p>
    <w:p>
      <w:pPr>
        <w:spacing w:after="0" w:line="11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There is increasing global regulatory focus on climate change and greenhouse gas emissions. For example, the EU has established the Emissions Trading Scheme (ETS) to regulate carbon dioxide emissions in the EU. The EU adopted a directive under which each EU member state is required to extend the ETS to aviation operations. This directive would have required us, beginning in 2012, to annually submit emission allowances in order to operate flights to and from airports in the European Economic Area (EEA), including flights between the U.S. and EU member states. However, in an effort to allow ICAO time to propose an alternate scheme to manage global aviation emissions, in April 2013 the EU suspended for one year the ETS' application to flights entering and departing the EEA, limiting its application, for flights flown in 2012, to intra-EEA flights only. In October 2013, the ICAO Assembly adopted a resolution calling for the development through ICAO of a global, market-based scheme for aviation emissions, to be implemented in 2020. Subsequently, the EU has amended the EU ETS so that the monitoring, reporting and submission of allowances for emissions from flights flown will continue to be limited to only intra-EEA flights through 2016, at which time the EU will evaluate the progress made by ICAO and determine what, if any, measures to take related to aviation emissions from 2017 onwards. The U.S. enacted legislation in November 2012 which encourages the DOT to seek an international solution through ICAO and that will allow the U.S. Secretary of Transportation to prohibit U.S. airlines from participating in the ETS. Ultimately, the scope and application of ETS or other emissions trading schemes to our operations, now or in the near future, remains uncertain. We do not anticipate any significant emissions allowance expenditures in 2014. Beyond 2014, compliance with the ETS or similar emissions-related requirements could significantly increase our operating costs. Further, the potential impact of ETS or other emissions-related requirements on our costs will ultimately depend on a number of factors, including baseline emissions, the price of emission allowances and the number of future flights subject to ETS or other emissions-related requirements. These costs have not been completely defined and could fluctuate.</w:t>
      </w:r>
    </w:p>
    <w:p>
      <w:pPr>
        <w:spacing w:after="0" w:line="14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Similarly, within the U.S., there is an increasing trend toward regulating greenhouse gas emissions directly under the Clean Air Act. While the EPA's recent regulatory activity in this area has focused on industries other than aviation, it is possible that future EPA regulations, or new legislation, could impact airlines. Several states are also considering initiatives to regulate emissions of greenhouse gases, primarily through the planned development of greenhouse gas emissions inventories and/or regional greenhouse gas cap and trade programs. These regulatory efforts, both internationally and in the U.S. at the federal and state levels, are still developing, and we cannot yet determine what the final regulatory programs will be in the U.S., the EU or in other areas in which we do business. However, such climate change-related regulatory activity in the future may adversely affect our business and financial results by requiring us to reduce our emissions, purchase allowances or otherwise pay for our emissions. Such activity may also impact us indirectly by increasing our operating costs, including fuel costs.</w:t>
      </w:r>
    </w:p>
    <w:p>
      <w:pPr>
        <w:spacing w:after="0" w:line="13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Governmental authorities in several U.S. and foreign cities are also considering, or have already implemented, aircraft noise reduction programs, including the imposition of nighttime curfews and limitations on daytime take-offs and landings. We have been able to accommodate local noise restrictions imposed to date, but our operations could be adversely affected if locally-imposed regulations become more restrictive or widespread.</w:t>
      </w:r>
    </w:p>
    <w:p>
      <w:pPr>
        <w:spacing w:after="0" w:line="233"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failure of these technologies or systems could harm our business, results of operations and financial condition.</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highly dependent on technology and automated systems to operate our business and achieve low operating costs. These technologies and systems include our computerized airline reservation systems, flight operations systems, financial planning, management and accounting systems, telecommunications systems, website, maintenance systems and check-in kiosks. In order for our 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 able to issue, track and accept these electronic tickets. If our automated systems are not functioning or if our third-party service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368" w:right="239" w:bottom="1440" w:gutter="0" w:footer="0" w:header="0"/>
        </w:sectPr>
      </w:pPr>
    </w:p>
    <w:bookmarkStart w:id="101" w:name="page102"/>
    <w:bookmarkEnd w:id="101"/>
    <w:p>
      <w:pPr>
        <w:jc w:val="both"/>
        <w:spacing w:after="0" w:line="270" w:lineRule="auto"/>
        <w:rPr>
          <w:sz w:val="20"/>
          <w:szCs w:val="20"/>
          <w:color w:val="auto"/>
        </w:rPr>
      </w:pPr>
      <w:r>
        <w:rPr>
          <w:rFonts w:ascii="Arial" w:cs="Arial" w:eastAsia="Arial" w:hAnsi="Arial"/>
          <w:sz w:val="17"/>
          <w:szCs w:val="17"/>
          <w:color w:val="auto"/>
        </w:rPr>
        <w:t>providers were to fail to adequately provide technical support, system maintenance or timely software upgrades for any one of our key existing systems, we could experience service disruptions or delays, which could harm our business and result in the loss of important data, increase our expenses and decrease our revenues. In the event that one or more of our primary technology or systems vendors goes into bankruptcy, ceases operations or fails to perform as promised, replacement services may not be readily available on a timely basis, at competitive rates or at all, and any transition time to a new system may be significant. Our automated systems cannot be completely protected against other events that are beyond our control, including natural disasters, power failures, terrorist attacks, cyber-attacks, data theft, equipment and software failures, computer viruses or telecommunications failures. Substantial or sustained system failures could cause service delays or failures and result in our customers purchasing tickets from other airlines. We cannot assure you that our security measures, change control procedures or disaster recovery plans are adequate to prevent disruptions or delays. Disruption in or changes to these systems could result in a disruption to our business and the loss of important data. Any of the foregoing could result in a material adverse effect on our business, results of operations and financial condition.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face challenges in integrating our computer, communications and other technology systems.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Among the principal risks of integrating our businesses and operations are the risks relating to integrating various computer, communications and other technology systems, including designing and implementing an integrated customer reservations system, that will be necessary to operate US Airways and American as a single airline and to achieve cost synergies by eliminating redundancies in the businesses. The integration of these systems in a number of prior airline mergers has taken longer, been more disruptive and cost more than originally forecast. The implementation process to integrate these various systems will involve a number of risks that could adversely impact our business, results of operations and financial condition. New systems will replace multiple legacy systems and the related implementation will be a complex and time-consuming project involving substantial expenditures for implementation consultants, system hardware, software and implementation activities, as well as the transformation of business and financial processes.</w:t>
      </w:r>
    </w:p>
    <w:p>
      <w:pPr>
        <w:spacing w:after="0" w:line="16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with any large project, there will be many factors that may materially affect the schedule, cost and execution of the integration of our computer, communications and other technology systems. These factors include, among others: problems during the design, implementation and testing phases; systems delays and/or malfunctions; the risk that suppliers and contractors will not perform as required under their contracts; the diversion of management attention from daily operations to the project; reworks due to unanticipated changes in business processes; challenges in simultaneously activating new systems throughout our global network; difficulty in training employees in the operations of new systems; the risk of security breach or disruption; and other unexpected events beyond our control. We cannot assure you that our security measures, change control procedures or disaster recovery plans will be adequate to prevent disruptions or delays. Disruptions in or changes to these systems could result in a disruption to our business and the loss of important data. Any of the foregoing could result in a material adverse effect on our business, results of operations and financial condition.</w:t>
      </w:r>
    </w:p>
    <w:p>
      <w:pPr>
        <w:spacing w:after="0" w:line="16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Ongoing data security compliance requirements could increase our costs, and any significant data breach could harm our business, results of operations and financial condition.</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business requires the appropriate and secure utilization of customer and other sensitive information. We cannot be certain that advances in criminal capabilities (including cyber-attacks or cyber intrusions over the Internet, malware, computer viruses and the like), discovery of new vulnerabilities or attempts to exploit existing vulnerabilities in our systems, other data thefts, physical system or network break-ins or inappropriate access, or other developments will not compromise or breach the technology protecting the networks that access and store sensitive information. The risk of a security breach or disruption, particularly through cyber-attack or cyber intrusion, including by computer hackers, foreign governments and cyber terrorists, has increased as the number, intensity and sophistication of attempted attacks and intrusions from around the world have increased. Furthermore, there has been heightened legislative and regulatory focus on data security in the U.S. and abroad (particularly in the EU), including requirements for varying levels of customer notification in the event of a data breach.</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While we continue our efforts to meet these standards, new and revised standards may be imposed that may be difficult for us to meet and could increase our costs.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Failure to comply with the Payment Card Industry Standards or other privacy and data use and security requirements of our partners or related laws, rules and regulations to which we are subject may expose us to claims for contract breach, fines, sanctions or other penalties, which could materially and adversely affect our business, results of operations and financial condition. In addition, failure to address these issues appropriately could also give rise to additional legal risks, which, in turn, could increase the size and number of litigation claims and damages asserted or subject us to enforcement actions, fines and penalties and cause us to incur further related costs and expenses.</w:t>
      </w:r>
    </w:p>
    <w:p>
      <w:pPr>
        <w:spacing w:after="0" w:line="18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We are at risk of losses and adverse publicity stemming from any accident involving any of our aircraft or the aircraft of our regional or codeshare operators.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76" w:right="239" w:bottom="1440" w:gutter="0" w:footer="0" w:header="0"/>
        </w:sectPr>
      </w:pPr>
    </w:p>
    <w:bookmarkStart w:id="102" w:name="page103"/>
    <w:bookmarkEnd w:id="102"/>
    <w:p>
      <w:pPr>
        <w:jc w:val="both"/>
        <w:ind w:firstLine="648"/>
        <w:spacing w:after="0" w:line="291" w:lineRule="auto"/>
        <w:rPr>
          <w:sz w:val="20"/>
          <w:szCs w:val="20"/>
          <w:color w:val="auto"/>
        </w:rPr>
      </w:pPr>
      <w:r>
        <w:rPr>
          <w:rFonts w:ascii="Arial" w:cs="Arial" w:eastAsia="Arial" w:hAnsi="Arial"/>
          <w:sz w:val="16"/>
          <w:szCs w:val="16"/>
          <w:color w:val="auto"/>
        </w:rPr>
        <w:t>If one of our aircraft, an aircraft that is operated under our brand by one of our regional operators or an aircraft that is operated by an airline with which we have a marketing alliance or codeshare relationship were to be involved in an accident, we could be exposed to significant tort liability. The insurance we carry to cover damages arising from any future accidents may be inadequate. In the event that our insurance is not adequate, we may be forced to bear substantial losses from an accident. In addition, any accident involving an aircraft that we operate, an aircraft that is operated under our brand by one of our regional operators or an aircraft that is operated by an airline that is one of our codeshare partners could create a public perception that our aircraft or those of our regional operators or codeshare partners are not safe or reliable, which could harm our reputation, result in air travelers being reluctant to fly on our aircraft or those of our regional operators or codeshare partners and adversely impact our business, results of operations and financial condition.</w:t>
      </w:r>
    </w:p>
    <w:p>
      <w:pPr>
        <w:spacing w:after="0" w:line="16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Delays in scheduled aircraft deliveries or other loss of anticipated fleet capacity, and failure of new aircraft to perform as expected, may adversely impact our business, results of operations and financial condition.</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success of our business depends on, among other things, the ability to operate an optimum number and type of aircraft. In many cases, the aircraft we intend to operate are not yet in our fleet, but we have contractual commitments to purchase or lease them. If for any reason we were unable to accept or secure deliveries of new aircraft on contractually scheduled delivery dates, this could have a negative impact on our business, results of operations and financial condition. Our failure to integrate newly purchased aircraft into our fleet as planned might require us to seek extensions of the terms for some leased aircraft or otherwise delay the exit of certain aircraft from our fleet. Such unanticipated extensions or delays may require us to operate existing aircraft beyond the point at which it is economically optimal to retire them, resulting in increased maintenance costs. If new aircraft orders are not filled on a timely basis, we could face higher operating costs than planned. In addition, if the aircraft we receive do not meet expected performance or quality standards, including with respect to fuel efficiency and reliability, our business, results of operations and financial condition could be adversely impacted.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depend on a limited number of suppliers for aircraft, aircraft engines and parts.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depend on a limited number of suppliers for aircraft, aircraft engines and many aircraft and engine parts. As a result, we are vulnerable to any problems associated with the supply of those aircraft, parts and engines, including design defects, mechanical problems, contractual performance by the suppliers, or adverse perception by the public that would result in customer avoidance or in actions by the FAA resulting in an inability to operate our aircraft.</w:t>
      </w:r>
    </w:p>
    <w:p>
      <w:pPr>
        <w:spacing w:after="0" w:line="147"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b w:val="1"/>
          <w:bCs w:val="1"/>
          <w:i w:val="1"/>
          <w:iCs w:val="1"/>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14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business, results of operations and financial condition has been and will continue to be affected by many changing economic and other conditions beyond our control, including, among others:</w:t>
      </w:r>
    </w:p>
    <w:p>
      <w:pPr>
        <w:spacing w:after="0" w:line="62" w:lineRule="exact"/>
        <w:rPr>
          <w:sz w:val="20"/>
          <w:szCs w:val="20"/>
          <w:color w:val="auto"/>
        </w:rPr>
      </w:pPr>
    </w:p>
    <w:p>
      <w:pPr>
        <w:ind w:left="1380" w:hanging="400"/>
        <w:spacing w:after="0" w:line="258" w:lineRule="auto"/>
        <w:tabs>
          <w:tab w:leader="none" w:pos="1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actual or potential changes in international, national, regional, and local economic, business and financial conditions, including recession, inflation, higher interest rates, wars, terrorist attacks, or political instability;</w:t>
      </w:r>
    </w:p>
    <w:p>
      <w:pPr>
        <w:spacing w:after="0" w:line="1" w:lineRule="exact"/>
        <w:rPr>
          <w:rFonts w:ascii="Arial" w:cs="Arial" w:eastAsia="Arial" w:hAnsi="Arial"/>
          <w:sz w:val="18"/>
          <w:szCs w:val="18"/>
          <w:color w:val="auto"/>
        </w:rPr>
      </w:pPr>
    </w:p>
    <w:p>
      <w:pPr>
        <w:ind w:left="1380" w:hanging="400"/>
        <w:spacing w:after="0"/>
        <w:tabs>
          <w:tab w:leader="none" w:pos="1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changes in consumer preferences, perceptions, spending patterns, or demographic trends;</w:t>
      </w:r>
    </w:p>
    <w:p>
      <w:pPr>
        <w:spacing w:after="0" w:line="9" w:lineRule="exact"/>
        <w:rPr>
          <w:rFonts w:ascii="Arial" w:cs="Arial" w:eastAsia="Arial" w:hAnsi="Arial"/>
          <w:sz w:val="18"/>
          <w:szCs w:val="18"/>
          <w:color w:val="auto"/>
        </w:rPr>
      </w:pPr>
    </w:p>
    <w:p>
      <w:pPr>
        <w:ind w:left="1380" w:hanging="400"/>
        <w:spacing w:after="0"/>
        <w:tabs>
          <w:tab w:leader="none" w:pos="1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changes in the competitive environment due to industry consolidation, changes in airline alliance affiliations, and other factors;</w:t>
      </w:r>
    </w:p>
    <w:p>
      <w:pPr>
        <w:spacing w:after="0" w:line="9" w:lineRule="exact"/>
        <w:rPr>
          <w:rFonts w:ascii="Arial" w:cs="Arial" w:eastAsia="Arial" w:hAnsi="Arial"/>
          <w:sz w:val="18"/>
          <w:szCs w:val="18"/>
          <w:color w:val="auto"/>
        </w:rPr>
      </w:pPr>
    </w:p>
    <w:p>
      <w:pPr>
        <w:ind w:left="1380" w:hanging="400"/>
        <w:spacing w:after="0"/>
        <w:tabs>
          <w:tab w:leader="none" w:pos="13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actual or potential disruptions to the ATC systems, including as a result of "sequestration" or any other interruption in government funding;</w:t>
      </w:r>
    </w:p>
    <w:p>
      <w:pPr>
        <w:spacing w:after="0" w:line="32" w:lineRule="exact"/>
        <w:rPr>
          <w:rFonts w:ascii="Arial" w:cs="Arial" w:eastAsia="Arial" w:hAnsi="Arial"/>
          <w:sz w:val="16"/>
          <w:szCs w:val="16"/>
          <w:color w:val="auto"/>
        </w:rPr>
      </w:pPr>
    </w:p>
    <w:p>
      <w:pPr>
        <w:ind w:left="1380" w:hanging="400"/>
        <w:spacing w:after="0"/>
        <w:tabs>
          <w:tab w:leader="none" w:pos="1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increases in costs of safety, security, and environmental measures;</w:t>
      </w:r>
    </w:p>
    <w:p>
      <w:pPr>
        <w:spacing w:after="0" w:line="9" w:lineRule="exact"/>
        <w:rPr>
          <w:rFonts w:ascii="Arial" w:cs="Arial" w:eastAsia="Arial" w:hAnsi="Arial"/>
          <w:sz w:val="18"/>
          <w:szCs w:val="18"/>
          <w:color w:val="auto"/>
        </w:rPr>
      </w:pPr>
    </w:p>
    <w:p>
      <w:pPr>
        <w:ind w:left="1380" w:hanging="400"/>
        <w:spacing w:after="0"/>
        <w:tabs>
          <w:tab w:leader="none" w:pos="1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outbreaks of diseases that affect travel behavior; and</w:t>
      </w:r>
    </w:p>
    <w:p>
      <w:pPr>
        <w:spacing w:after="0" w:line="9" w:lineRule="exact"/>
        <w:rPr>
          <w:rFonts w:ascii="Arial" w:cs="Arial" w:eastAsia="Arial" w:hAnsi="Arial"/>
          <w:sz w:val="18"/>
          <w:szCs w:val="18"/>
          <w:color w:val="auto"/>
        </w:rPr>
      </w:pPr>
    </w:p>
    <w:p>
      <w:pPr>
        <w:ind w:left="1380" w:hanging="400"/>
        <w:spacing w:after="0"/>
        <w:tabs>
          <w:tab w:leader="none" w:pos="1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weather and natural disasters.</w:t>
      </w:r>
    </w:p>
    <w:p>
      <w:pPr>
        <w:spacing w:after="0" w:line="1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particular, an outbreak of a contagious disease such as Severe Acute Respiratory Syndrome, H1N1 influenza virus, avian flu, or any other influenza-type illness, if it were to persist for an extended period, could materially affect the airline industry and us by reducing revenues and adversely impacting our operations and passengers’ travel behavior. As a result of these or other conditions beyond our control, our results of operations could be volatile and subject to rapid and unexpected change. In addition, due to generally weaker demand for air travel during the winter, our revenues in the first and fourth quarters of the year could be weaker than revenues in the second and third quarters of the year.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higher than normal number of pilot retirements and a potential shortage of pilots could adversely affect us.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currently have a higher than normal number of pilots eligible for retirement. Among other things, the extension of pilot careers facilitated by the FAA’s 2007 modification of the mandatory retirement age from age 60 to age 65 has now been fully implemented, resulting in large numbers of pilots in the industry approaching the revised mandatory retirement age. If pilot retirements were to exceed normal levels in the future, it may adversely affect us. The FAA also recently issued regulations that increase the flight experience required for pilots working for airlines certificated under Part 121 of the Federal Aviation Regulations. These and other factors could contribute to a shortage of qualified pilots, which could adversely affect us.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76" w:right="239" w:bottom="1440" w:gutter="0" w:footer="0" w:header="0"/>
        </w:sectPr>
      </w:pPr>
    </w:p>
    <w:bookmarkStart w:id="103" w:name="page104"/>
    <w:bookmarkEnd w:id="103"/>
    <w:p>
      <w:pPr>
        <w:ind w:left="660"/>
        <w:spacing w:after="0"/>
        <w:rPr>
          <w:sz w:val="20"/>
          <w:szCs w:val="20"/>
          <w:color w:val="auto"/>
        </w:rPr>
      </w:pPr>
      <w:r>
        <w:rPr>
          <w:rFonts w:ascii="Arial" w:cs="Arial" w:eastAsia="Arial" w:hAnsi="Arial"/>
          <w:sz w:val="18"/>
          <w:szCs w:val="18"/>
          <w:b w:val="1"/>
          <w:bCs w:val="1"/>
          <w:i w:val="1"/>
          <w:iCs w:val="1"/>
          <w:color w:val="auto"/>
        </w:rPr>
        <w:t>Increases in insurance costs or reductions in insurance coverage may adversely impact our operations and financial results.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terrorist attacks of September 11, 2001 led to a significant increase in insurance premiums and a decrease in the insurance coverage available to commercial air carriers. Accordingly, our insurance costs increased significantly, and our ability to continue to obtain insurance even at current prices remains uncertain. The failure of one or more of our insurers could result in a lack of coverage for a period of time. Additionally, severe disruptions in the domestic and global financial markets could adversely impact the claims paying ability of some insurers. Future downgrades in the ratings of enough insurers could adversely impact both the availability of appropriate insurance coverage and its cost. Because of competitive pressures in our industry, our ability to pass additional insurance costs to passengers is limited. As a result, further increases in insurance costs or reductions in available insurance coverage could have an adverse impact on our financial results.</w:t>
      </w:r>
    </w:p>
    <w:p>
      <w:pPr>
        <w:spacing w:after="0" w:line="18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b w:val="1"/>
          <w:bCs w:val="1"/>
          <w:i w:val="1"/>
          <w:iCs w:val="1"/>
          <w:color w:val="auto"/>
        </w:rPr>
        <w:t>Several lawsuits were filed in connection with the Merger and remain pending, and these lawsuits could have a material adverse impact on our business.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US Airways Group, as well as the members of US Airways Group’s board of directors, were named as defendants in a lawsuit brought by a purported class of US Airways Group’s stockholders challenging the Merger and seeking a declaration that the Merger Agreement is unenforceable, an injunction against the Merger (or rescission in the event it has been consummated), imposition of a constructive trust, an award of fees and costs, including attorneys’ and experts’ fees, and other relief. US Airways Group, US Airways, AMR and American were also named as defendants in a private antitrust lawsuit. The complaint alleges that the effect of the Merger may be to substantially lessen competition or tend to create a monopoly in violation of Section 7 of the Clayton Antitrust Act. The relief sought in the complaint includes an injunction against the Merger, or divestiture. In January 2014, the complaint was amended to add a claim for money damages and to request injunctive relief requiring the carriers to hold separate their assets. In March 2014, the Court allowed plaintiffs to add certain allegations but denied plaintiffs' requests to add a damages claim or seek preliminary injunctive relief requiring the carriers to hold separate their assets, and in June 2014 plaintiffs filed an amended motion for leave to file a second amended and supplemental complaint. Such private lawsuits could result in an obligation to pay damages or terms, conditions, requirements, limitations, costs or restrictions that would impose additional material costs on or materially limit our revenues, or materially limit some of the synergies and other benefits we anticipate following the Merger. See Part II, Item 1 - Legal Proceedings.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ability to utilize our NOL Carryforwards may be limited.</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Under the Internal Revenue Code of 1986, as amended (the Internal Revenue Code), a corporation is generally allowed a deduction for NOL Carryforwards. As of December 31, 2013, we had available NOL Carryforwards of approximately $10.6 billion for regular federal income tax purposes which will expire, if unused, beginning in 2022, and approximately $4.7 billion for state income tax purposes which will expire, if unused, between 2014 and 2033. The amount of NOL Carryforwards for state income tax purposes that will expire, if unused, in the remainder of 2014 is $106 million. Our NOL Carryforwards are subject to adjustment on audit by the Internal Revenue Service and the respective state taxing authorities.</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 corporation's ability to deduct its federal NOL Carryforwards and to utilize certain other available tax attributes can be substantially constrained under the general annual limitation rules of Section 382 of the Internal Revenue Code (Section 382) if it undergoes an "ownership change" as defined in Section 382 (generally where cumulative stock ownership changes among material shareholders exceed 50 percent during a rolling three-year period). We experienced an ownership change in connection with our emergence from bankruptcy and US Airways Group experienced an ownership change in connection with the Merger. The general limitation rules for a debtor in a bankruptcy case are liberalized where the ownership change occurs upon emergence from bankruptcy. While we anticipate taking advantage of certain special rules for federal income tax purposes that would permit approximately $9.0 billion of our federal NOL Carryforwards to be utilized without regard to the annual limitation generally imposed by Section 382, there can be no assurance that these special rules will apply to the ownership change we experienced upon our emergence from bankruptcy, including that we may ultimately elect not to apply them. If the special rules do not apply, our ability to utilize such federal NOL Carryforwards may be subject to limitation. Substantially all of our remaining federal NOL Carryforwards (attributable to US Airways Group and its subsidiaries) are subject to limitation under Section 382 as a result of the Merger; however, our ability to utilize such NOL Carryforwards is not anticipated to be effectively constrained as a result of such limitation. Similar limitations may apply for state income tax purposes.</w:t>
      </w:r>
    </w:p>
    <w:p>
      <w:pPr>
        <w:spacing w:after="0" w:line="18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Notwithstanding the foregoing, an ownership change subsequent to our emergence from bankruptcy may severely limit or effectively eliminate our ability to utilize our NOL Carryforwards and other tax attributes. To reduce the risk of a potential adverse effect on our ability to utilize our NOL Carryforwards, our Certificate of Incorporation contains transfer restrictions applicable to certain substantial shareholders. Although the purpose of these transfer restrictions is to prevent an ownership change from occurring, no assurance can be given that such an ownership change will not occur, in which case our ability to utilize our NOL Carryforwards and other tax attributes could be severely limited or effectively eliminated.</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ability to use our NOL Carryforwards also will depend on the amount of taxable income generated in future periods. The NOL Carryforwards may expire before we can generate sufficient taxable income to use them.</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76" w:right="239" w:bottom="1440" w:gutter="0" w:footer="0" w:header="0"/>
        </w:sectPr>
      </w:pPr>
    </w:p>
    <w:bookmarkStart w:id="104" w:name="page105"/>
    <w:bookmarkEnd w:id="104"/>
    <w:p>
      <w:pPr>
        <w:jc w:val="both"/>
        <w:ind w:left="660"/>
        <w:spacing w:after="0" w:line="264" w:lineRule="auto"/>
        <w:rPr>
          <w:sz w:val="20"/>
          <w:szCs w:val="20"/>
          <w:color w:val="auto"/>
        </w:rPr>
      </w:pPr>
      <w:r>
        <w:rPr>
          <w:rFonts w:ascii="Arial" w:cs="Arial" w:eastAsia="Arial" w:hAnsi="Arial"/>
          <w:sz w:val="18"/>
          <w:szCs w:val="18"/>
          <w:b w:val="1"/>
          <w:bCs w:val="1"/>
          <w:i w:val="1"/>
          <w:iCs w:val="1"/>
          <w:color w:val="auto"/>
        </w:rPr>
        <w:t>The application of the acquisition method of accounting resulted in AAG recording a significant amount of goodwill, which amount is tested for impairment at least annually. In addition, AAG and American may never realize the full value of their respective intangible assets or long-lived assets, causing them to record material impairment charges.</w:t>
      </w:r>
    </w:p>
    <w:p>
      <w:pPr>
        <w:spacing w:after="0" w:line="3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accordance with applicable acquisition accounting rules, AAG recorded goodwill on its consolidated balance sheet to the extent the US Airways Group acquisition purchase price exceeded the net fair value of US Airway Group’s tangible and intangible assets and liabilities as of the acquisition date. Goodwill is not amortized, but is tested for impairment at least annually. Also, in accordance with applicable accounting standards, AAG and American will be required to test their respective indefinite-lived intangible assets for impairment on an annual basis, or more frequently if conditions indicate that an impairment may have occurred. In addition, AAG and American are required to test certain of their other assets for impairment if conditions indicate that an impairment may have occurred.</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Future impairment of goodwill or other assets could be recorded in results of operations as a result of changes in assumptions, estimates, or circumstances, some of which are beyond our control. Factors which could result in an impairment could include, but are not limited to: (i) reduced passenger demand as a result of domestic or global economic conditions; (ii) higher prices for jet fuel; (iii) lower fares or passenger yields as a result of increased competition or lower demand; (iv) a significant increase in future capital expenditure commitments; and (v) significant disruptions to our operations as a result of both internal and external events such as terrorist activities, actual or threatened war, labor actions by employees, or further industry regulation. There can be no assurance that a material impairment charge of goodwill or tangible or intangible assets will be avoided. The value of our aircraft could be impacted in future periods by changes in supply and demand for these aircraft. Such changes in supply and demand for certain aircraft types could result from grounding of aircraft by us or other airlines. An impairment charge could have a material adverse effect on our business, results of operations and financial condition.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AAG 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price of AAG Common Stock has recently been and may in the future be volatile.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market price of AAG Common Stock may fluctuate substantially due to a variety of factors, many of which are beyond our control, including:</w:t>
      </w:r>
    </w:p>
    <w:p>
      <w:pPr>
        <w:spacing w:after="0" w:line="140" w:lineRule="exact"/>
        <w:rPr>
          <w:sz w:val="20"/>
          <w:szCs w:val="20"/>
          <w:color w:val="auto"/>
        </w:rPr>
      </w:pPr>
    </w:p>
    <w:p>
      <w:pPr>
        <w:ind w:left="1300" w:hanging="320"/>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AAG's operating and financial results failing to meet the expectations of securities analysts or investors;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material announcements by us or our competitors;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movements in fuel prices;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success or failure of AAG's integration efforts;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changes in our key personnel;</w:t>
      </w:r>
    </w:p>
    <w:p>
      <w:pPr>
        <w:spacing w:after="0" w:line="9" w:lineRule="exact"/>
        <w:rPr>
          <w:rFonts w:ascii="Arial" w:cs="Arial" w:eastAsia="Arial" w:hAnsi="Arial"/>
          <w:sz w:val="18"/>
          <w:szCs w:val="18"/>
          <w:color w:val="auto"/>
        </w:rPr>
      </w:pPr>
    </w:p>
    <w:p>
      <w:pPr>
        <w:ind w:left="1300" w:right="20" w:hanging="320"/>
        <w:spacing w:after="0" w:line="259"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distributions of shares of AAG Common Stock pursuant to the Plan</w:t>
      </w:r>
      <w:r>
        <w:rPr>
          <w:rFonts w:ascii="Arial" w:cs="Arial" w:eastAsia="Arial" w:hAnsi="Arial"/>
          <w:sz w:val="19"/>
          <w:szCs w:val="19"/>
          <w:color w:val="auto"/>
        </w:rPr>
        <w:t>,</w:t>
      </w:r>
      <w:r>
        <w:rPr>
          <w:rFonts w:ascii="Arial" w:cs="Arial" w:eastAsia="Arial" w:hAnsi="Arial"/>
          <w:sz w:val="18"/>
          <w:szCs w:val="18"/>
          <w:color w:val="auto"/>
        </w:rPr>
        <w:t xml:space="preserve"> including distributions from the disputed claims reserve established under the plan of reorganization upon the resolution of the underlying claims;</w:t>
      </w:r>
    </w:p>
    <w:p>
      <w:pPr>
        <w:ind w:left="1300" w:hanging="320"/>
        <w:spacing w:after="0" w:line="250"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public sales of a substantial number of shares of AAG Common Stock or issuances of AAG Common Stock upon the exercise or conversion of convertible securities, options, warrants, RSUs, SARs, or similar rights;</w:t>
      </w:r>
    </w:p>
    <w:p>
      <w:pPr>
        <w:ind w:left="1300" w:hanging="320"/>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increases or decreases in reported holdings by insiders or other significant stockholders;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fluctuations in trading volume;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changes in market values of airline companies as well as general market conditions.</w:t>
      </w:r>
    </w:p>
    <w:p>
      <w:pPr>
        <w:spacing w:after="0" w:line="103"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b w:val="1"/>
          <w:bCs w:val="1"/>
          <w:i w:val="1"/>
          <w:iCs w:val="1"/>
          <w:color w:val="auto"/>
        </w:rPr>
        <w:t>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Certain provisions of our Certificate of Incorporation and Bylaws may have the effect of delaying or preventing changes in control if our board of directors determines that such changes in control are not in our best interest and the best interest of our stockholders. These provisions include, among other things, the following:</w:t>
      </w:r>
    </w:p>
    <w:p>
      <w:pPr>
        <w:spacing w:after="0" w:line="73" w:lineRule="exact"/>
        <w:rPr>
          <w:sz w:val="20"/>
          <w:szCs w:val="20"/>
          <w:color w:val="auto"/>
        </w:rPr>
      </w:pPr>
    </w:p>
    <w:p>
      <w:pPr>
        <w:ind w:left="1380" w:hanging="400"/>
        <w:spacing w:after="0"/>
        <w:tabs>
          <w:tab w:leader="none" w:pos="13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advance notice procedures for stockholder proposals to be considered at stockholders’ meetings;</w:t>
      </w:r>
    </w:p>
    <w:p>
      <w:pPr>
        <w:spacing w:after="0" w:line="23" w:lineRule="exact"/>
        <w:rPr>
          <w:rFonts w:ascii="Arial" w:cs="Arial" w:eastAsia="Arial" w:hAnsi="Arial"/>
          <w:sz w:val="18"/>
          <w:szCs w:val="18"/>
          <w:color w:val="auto"/>
        </w:rPr>
      </w:pPr>
    </w:p>
    <w:p>
      <w:pPr>
        <w:ind w:left="1380" w:hanging="400"/>
        <w:spacing w:after="0"/>
        <w:tabs>
          <w:tab w:leader="none" w:pos="13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ability of our board of directors to fill vacancies on the board;</w:t>
      </w:r>
    </w:p>
    <w:p>
      <w:pPr>
        <w:spacing w:after="0" w:line="9" w:lineRule="exact"/>
        <w:rPr>
          <w:rFonts w:ascii="Arial" w:cs="Arial" w:eastAsia="Arial" w:hAnsi="Arial"/>
          <w:sz w:val="18"/>
          <w:szCs w:val="18"/>
          <w:color w:val="auto"/>
        </w:rPr>
      </w:pPr>
    </w:p>
    <w:p>
      <w:pPr>
        <w:ind w:left="1380" w:hanging="400"/>
        <w:spacing w:after="0"/>
        <w:tabs>
          <w:tab w:leader="none" w:pos="13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prohibition against stockholders taking action by written consent;</w:t>
      </w:r>
    </w:p>
    <w:p>
      <w:pPr>
        <w:spacing w:after="0" w:line="9" w:lineRule="exact"/>
        <w:rPr>
          <w:rFonts w:ascii="Arial" w:cs="Arial" w:eastAsia="Arial" w:hAnsi="Arial"/>
          <w:sz w:val="18"/>
          <w:szCs w:val="18"/>
          <w:color w:val="auto"/>
        </w:rPr>
      </w:pPr>
    </w:p>
    <w:p>
      <w:pPr>
        <w:ind w:left="1380" w:hanging="400"/>
        <w:spacing w:after="0"/>
        <w:tabs>
          <w:tab w:leader="none" w:pos="13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prohibition against stockholders calling special meetings of stockholders;</w:t>
      </w:r>
    </w:p>
    <w:p>
      <w:pPr>
        <w:spacing w:after="0" w:line="9" w:lineRule="exact"/>
        <w:rPr>
          <w:rFonts w:ascii="Arial" w:cs="Arial" w:eastAsia="Arial" w:hAnsi="Arial"/>
          <w:sz w:val="18"/>
          <w:szCs w:val="18"/>
          <w:color w:val="auto"/>
        </w:rPr>
      </w:pPr>
    </w:p>
    <w:p>
      <w:pPr>
        <w:ind w:left="1380" w:hanging="400"/>
        <w:spacing w:after="0" w:line="250" w:lineRule="auto"/>
        <w:tabs>
          <w:tab w:leader="none" w:pos="13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requirement that holders of at least 80% of the voting power of the shares entitled to vote in the election of directors approve any amendment of our Bylaws submitted to stockholders for approval; and</w:t>
      </w:r>
    </w:p>
    <w:p>
      <w:pPr>
        <w:ind w:left="1380" w:hanging="400"/>
        <w:spacing w:after="0"/>
        <w:tabs>
          <w:tab w:leader="none" w:pos="13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super-majority voting requirements to modify or amend specified provisions of our Certificate of Incorporation.</w:t>
      </w:r>
    </w:p>
    <w:p>
      <w:pPr>
        <w:sectPr>
          <w:pgSz w:w="11900" w:h="16838" w:orient="portrait"/>
          <w:cols w:equalWidth="0" w:num="1">
            <w:col w:w="11420"/>
          </w:cols>
          <w:pgMar w:left="240" w:top="584"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420"/>
          </w:cols>
          <w:pgMar w:left="240" w:top="584" w:right="239" w:bottom="1440" w:gutter="0" w:footer="0" w:header="0"/>
          <w:type w:val="continuous"/>
        </w:sectPr>
      </w:pPr>
    </w:p>
    <w:bookmarkStart w:id="105" w:name="page106"/>
    <w:bookmarkEnd w:id="105"/>
    <w:p>
      <w:pPr>
        <w:jc w:val="both"/>
        <w:ind w:firstLine="648"/>
        <w:spacing w:after="0" w:line="273" w:lineRule="auto"/>
        <w:rPr>
          <w:sz w:val="20"/>
          <w:szCs w:val="20"/>
          <w:color w:val="auto"/>
        </w:rPr>
      </w:pPr>
      <w:r>
        <w:rPr>
          <w:rFonts w:ascii="Arial" w:cs="Arial" w:eastAsia="Arial" w:hAnsi="Arial"/>
          <w:sz w:val="17"/>
          <w:szCs w:val="17"/>
          <w:color w:val="auto"/>
        </w:rPr>
        <w:t>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interests and, in that case, may prevent or discourage attempts to remove and replace incumbent directors. In addition, we are subject to the provisions of Section 203 of the Delaware General Corporation Law, which prohibits business combinations with interested stockholders. Interested stockholders do not include stockholders whose acquisition of our securities is approved by the board of directors prior to the investment under Section 203.</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AAG's Certificate of Incorporation and Bylaws include provisions that limit voting and acquisition and disposition of our equity interests.</w:t>
      </w:r>
    </w:p>
    <w:p>
      <w:pPr>
        <w:spacing w:after="0" w:line="14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Certificate of Incorporation and Bylaws include certain provisions that limit voting and ownership and disposition of our equity interests, including AAG Common Stock, AAG Series A Preferred Stock and convertible notes. These restrictions may adversely affect the ability of certain holders of AAG Common Stock and our other equity interests to vote such interests and adversely affect the ability of persons to acquire shares of AAG Common Stock and our other equity interests.</w:t>
      </w:r>
    </w:p>
    <w:p>
      <w:pPr>
        <w:spacing w:after="0" w:line="241" w:lineRule="exact"/>
        <w:rPr>
          <w:sz w:val="20"/>
          <w:szCs w:val="20"/>
          <w:color w:val="auto"/>
        </w:rPr>
      </w:pPr>
    </w:p>
    <w:p>
      <w:pPr>
        <w:ind w:left="660" w:right="20"/>
        <w:spacing w:after="0" w:line="308" w:lineRule="auto"/>
        <w:rPr>
          <w:sz w:val="20"/>
          <w:szCs w:val="20"/>
          <w:color w:val="auto"/>
        </w:rPr>
      </w:pPr>
      <w:r>
        <w:rPr>
          <w:rFonts w:ascii="Arial" w:cs="Arial" w:eastAsia="Arial" w:hAnsi="Arial"/>
          <w:sz w:val="17"/>
          <w:szCs w:val="17"/>
          <w:b w:val="1"/>
          <w:bCs w:val="1"/>
          <w:i w:val="1"/>
          <w:iCs w:val="1"/>
          <w:color w:val="auto"/>
        </w:rPr>
        <w:t>In order to protect AAG's NOL Carryforwards and certain other tax attributes, AAG's Certificate of Incorporation includes certain limitations on acquisitions and dispositions of the AAG Common Stock, which may limit the liquidity of AAG Common Stock.</w:t>
      </w:r>
    </w:p>
    <w:p>
      <w:pPr>
        <w:spacing w:after="0" w:line="3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To reduce the risk of a potential adverse effect on our ability to use our NOL Carryforwards and certain other tax attributes for federal income tax purposes, our Certificate of Incorporation contains certain restrictions on the acquisition and disposition of AAG Common Stock by substantial stockholders. These restrictions may adversely affect the ability of certain holders of AAG Common Stock to dispose of or acquire shares of AAG Common Stock. Although the purpose of these transfer restrictions is to prevent an "ownership change" (as defined in Section 382 of the Internal Revenue Code) from occurring, no assurance can be given that an ownership change will not occur even with these restrictions in place.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76" w:right="239" w:bottom="1440" w:gutter="0" w:footer="0" w:header="0"/>
        </w:sectPr>
      </w:pPr>
    </w:p>
    <w:bookmarkStart w:id="106" w:name="page107"/>
    <w:bookmarkEnd w:id="106"/>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exhibits listed in the Exhibit Index following the signature pages to this report are filed as part of, or incorporated by reference into, this report.</w:t>
      </w:r>
    </w:p>
    <w:p>
      <w:pPr>
        <w:spacing w:after="0" w:line="19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Exhibits required to be filed by Item 601 of Regulation S-K: Where the amount of securities authorized to be issued under any of our long-term debt agreements does not exceed 10 percent of our assets, pursuant to paragraph (b)(4) of Item 601 of Regulation S-K, in lieu of filing such as an exhibit, we hereby agree to furnish to the Commission upon request a copy of any agreement with respect to such long-term debt.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715" w:right="23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00" w:lineRule="exact"/>
        <w:rPr>
          <w:sz w:val="20"/>
          <w:szCs w:val="20"/>
          <w:color w:val="auto"/>
        </w:rPr>
      </w:pPr>
    </w:p>
    <w:p>
      <w:pPr>
        <w:spacing w:after="0" w:line="232"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Date: July 23, 2014 By: /s/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3102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Derek J. Kerr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American Airlines, Inc.</w:t>
      </w:r>
    </w:p>
    <w:p>
      <w:pPr>
        <w:spacing w:after="0" w:line="200" w:lineRule="exact"/>
        <w:rPr>
          <w:sz w:val="20"/>
          <w:szCs w:val="20"/>
          <w:color w:val="auto"/>
        </w:rPr>
      </w:pPr>
    </w:p>
    <w:p>
      <w:pPr>
        <w:spacing w:after="0" w:line="232"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Date: July 23, 2014 By: /s/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3102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Derek J. Kerr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526" w:right="25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10260" w:type="dxa"/>
            <w:vAlign w:val="bottom"/>
          </w:tcPr>
          <w:p>
            <w:pPr>
              <w:spacing w:after="0"/>
              <w:rPr>
                <w:sz w:val="24"/>
                <w:szCs w:val="24"/>
                <w:color w:val="auto"/>
              </w:rPr>
            </w:pPr>
          </w:p>
        </w:tc>
      </w:tr>
      <w:tr>
        <w:trPr>
          <w:trHeight w:val="234"/>
        </w:trPr>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10260" w:type="dxa"/>
            <w:vAlign w:val="bottom"/>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60" w:type="dxa"/>
            <w:vAlign w:val="bottom"/>
            <w:tcBorders>
              <w:bottom w:val="single" w:sz="8" w:color="auto"/>
            </w:tcBorders>
          </w:tcPr>
          <w:p>
            <w:pPr>
              <w:spacing w:after="0"/>
              <w:rPr>
                <w:sz w:val="2"/>
                <w:szCs w:val="2"/>
                <w:color w:val="auto"/>
              </w:rPr>
            </w:pPr>
          </w:p>
        </w:tc>
      </w:tr>
      <w:tr>
        <w:trPr>
          <w:trHeight w:val="222"/>
        </w:trPr>
        <w:tc>
          <w:tcPr>
            <w:tcW w:w="1040" w:type="dxa"/>
            <w:vAlign w:val="bottom"/>
          </w:tcPr>
          <w:p>
            <w:pPr>
              <w:jc w:val="right"/>
              <w:ind w:right="590"/>
              <w:spacing w:after="0"/>
              <w:rPr>
                <w:sz w:val="20"/>
                <w:szCs w:val="20"/>
                <w:color w:val="auto"/>
              </w:rPr>
            </w:pPr>
            <w:r>
              <w:rPr>
                <w:rFonts w:ascii="Arial" w:cs="Arial" w:eastAsia="Arial" w:hAnsi="Arial"/>
                <w:sz w:val="18"/>
                <w:szCs w:val="18"/>
                <w:color w:val="auto"/>
                <w:w w:val="96"/>
              </w:rPr>
              <w:t>10.1</w:t>
            </w:r>
          </w:p>
        </w:tc>
        <w:tc>
          <w:tcPr>
            <w:tcW w:w="120" w:type="dxa"/>
            <w:vAlign w:val="bottom"/>
          </w:tcPr>
          <w:p>
            <w:pPr>
              <w:spacing w:after="0"/>
              <w:rPr>
                <w:sz w:val="19"/>
                <w:szCs w:val="19"/>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6"/>
              </w:rPr>
              <w:t>Amendment No. 4, dated as of June 18, 2014, to the A320 Family Aircraft Purchase Agreement between Airbus S.A.S., as seller, and</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5"/>
              </w:rPr>
              <w:t>American Airlines, Inc., as buyer, dated as of July 20, 2011, as amended, restated, amended and restated, supplemented or otherwise</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modified.*</w:t>
            </w:r>
          </w:p>
        </w:tc>
      </w:tr>
      <w:tr>
        <w:trPr>
          <w:trHeight w:val="256"/>
        </w:trPr>
        <w:tc>
          <w:tcPr>
            <w:tcW w:w="1040" w:type="dxa"/>
            <w:vAlign w:val="bottom"/>
          </w:tcPr>
          <w:p>
            <w:pPr>
              <w:jc w:val="right"/>
              <w:ind w:right="590"/>
              <w:spacing w:after="0"/>
              <w:rPr>
                <w:sz w:val="20"/>
                <w:szCs w:val="20"/>
                <w:color w:val="auto"/>
              </w:rPr>
            </w:pPr>
            <w:r>
              <w:rPr>
                <w:rFonts w:ascii="Arial" w:cs="Arial" w:eastAsia="Arial" w:hAnsi="Arial"/>
                <w:sz w:val="18"/>
                <w:szCs w:val="18"/>
                <w:color w:val="auto"/>
                <w:w w:val="96"/>
              </w:rPr>
              <w:t>10.2</w:t>
            </w:r>
          </w:p>
        </w:tc>
        <w:tc>
          <w:tcPr>
            <w:tcW w:w="120" w:type="dxa"/>
            <w:vAlign w:val="bottom"/>
          </w:tcPr>
          <w:p>
            <w:pPr>
              <w:spacing w:after="0"/>
              <w:rPr>
                <w:sz w:val="22"/>
                <w:szCs w:val="22"/>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6"/>
              </w:rPr>
              <w:t>Amendment No. 5, dated as of June 24, 2014, to the A320 Family Aircraft Purchase Agreement between Airbus S.A.S., as seller, and</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5"/>
              </w:rPr>
              <w:t>American Airlines, Inc., as buyer, dated as of July 20, 2011, as amended, restated, amended and restated, supplemented or otherwise</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modified.*</w:t>
            </w:r>
          </w:p>
        </w:tc>
      </w:tr>
      <w:tr>
        <w:trPr>
          <w:trHeight w:val="256"/>
        </w:trPr>
        <w:tc>
          <w:tcPr>
            <w:tcW w:w="1040" w:type="dxa"/>
            <w:vAlign w:val="bottom"/>
          </w:tcPr>
          <w:p>
            <w:pPr>
              <w:jc w:val="right"/>
              <w:ind w:right="590"/>
              <w:spacing w:after="0"/>
              <w:rPr>
                <w:sz w:val="20"/>
                <w:szCs w:val="20"/>
                <w:color w:val="auto"/>
              </w:rPr>
            </w:pPr>
            <w:r>
              <w:rPr>
                <w:rFonts w:ascii="Arial" w:cs="Arial" w:eastAsia="Arial" w:hAnsi="Arial"/>
                <w:sz w:val="18"/>
                <w:szCs w:val="18"/>
                <w:color w:val="auto"/>
                <w:w w:val="96"/>
              </w:rPr>
              <w:t>10.3</w:t>
            </w:r>
          </w:p>
        </w:tc>
        <w:tc>
          <w:tcPr>
            <w:tcW w:w="120" w:type="dxa"/>
            <w:vAlign w:val="bottom"/>
          </w:tcPr>
          <w:p>
            <w:pPr>
              <w:spacing w:after="0"/>
              <w:rPr>
                <w:sz w:val="22"/>
                <w:szCs w:val="22"/>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7"/>
              </w:rPr>
              <w:t>Amendment No. 6, dated as of July 1, 2014, to the A320 Family Aircraft Purchase Agreement between Airbus S.A.S., as seller, and</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5"/>
              </w:rPr>
              <w:t>American Airlines, Inc., as buyer, dated as of July 20, 2011, as amended, restated, amended and restated, supplemented or otherwise</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modified.*</w:t>
            </w:r>
          </w:p>
        </w:tc>
      </w:tr>
      <w:tr>
        <w:trPr>
          <w:trHeight w:val="256"/>
        </w:trPr>
        <w:tc>
          <w:tcPr>
            <w:tcW w:w="1040" w:type="dxa"/>
            <w:vAlign w:val="bottom"/>
          </w:tcPr>
          <w:p>
            <w:pPr>
              <w:jc w:val="right"/>
              <w:ind w:right="590"/>
              <w:spacing w:after="0"/>
              <w:rPr>
                <w:sz w:val="20"/>
                <w:szCs w:val="20"/>
                <w:color w:val="auto"/>
              </w:rPr>
            </w:pPr>
            <w:r>
              <w:rPr>
                <w:rFonts w:ascii="Arial" w:cs="Arial" w:eastAsia="Arial" w:hAnsi="Arial"/>
                <w:sz w:val="18"/>
                <w:szCs w:val="18"/>
                <w:color w:val="auto"/>
                <w:w w:val="96"/>
              </w:rPr>
              <w:t>10.4</w:t>
            </w:r>
          </w:p>
        </w:tc>
        <w:tc>
          <w:tcPr>
            <w:tcW w:w="120" w:type="dxa"/>
            <w:vAlign w:val="bottom"/>
          </w:tcPr>
          <w:p>
            <w:pPr>
              <w:spacing w:after="0"/>
              <w:rPr>
                <w:sz w:val="22"/>
                <w:szCs w:val="22"/>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0"/>
              </w:rPr>
              <w:t>Supplemental Agreement No. 37, dated as of April 25, 2014, to Purchase Agreement No. 1977, between The Boeing Company and American</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6"/>
              </w:rPr>
              <w:t>Airlines, Inc. dated as of October 31, 1997, Relating to Boeing Model 737-800 Aircraft, as amended, restated, amended and restated,</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supplemented or otherwise modified.*</w:t>
            </w:r>
          </w:p>
        </w:tc>
      </w:tr>
      <w:tr>
        <w:trPr>
          <w:trHeight w:val="256"/>
        </w:trPr>
        <w:tc>
          <w:tcPr>
            <w:tcW w:w="1040" w:type="dxa"/>
            <w:vAlign w:val="bottom"/>
          </w:tcPr>
          <w:p>
            <w:pPr>
              <w:jc w:val="right"/>
              <w:ind w:right="590"/>
              <w:spacing w:after="0"/>
              <w:rPr>
                <w:sz w:val="20"/>
                <w:szCs w:val="20"/>
                <w:color w:val="auto"/>
              </w:rPr>
            </w:pPr>
            <w:r>
              <w:rPr>
                <w:rFonts w:ascii="Arial" w:cs="Arial" w:eastAsia="Arial" w:hAnsi="Arial"/>
                <w:sz w:val="18"/>
                <w:szCs w:val="18"/>
                <w:color w:val="auto"/>
                <w:w w:val="96"/>
              </w:rPr>
              <w:t>10.5</w:t>
            </w:r>
          </w:p>
        </w:tc>
        <w:tc>
          <w:tcPr>
            <w:tcW w:w="120" w:type="dxa"/>
            <w:vAlign w:val="bottom"/>
          </w:tcPr>
          <w:p>
            <w:pPr>
              <w:spacing w:after="0"/>
              <w:rPr>
                <w:sz w:val="22"/>
                <w:szCs w:val="22"/>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0"/>
              </w:rPr>
              <w:t>Supplemental Agreement No. 36, dated as of April 30, 2014, to Purchase Agreement No. 1980, between The Boeing Company and American</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9"/>
              </w:rPr>
              <w:t>Airlines, Inc. dated as of October 31, 1997, Relating to Boeing Model 777 Aircraft, as amended, restated, amended and restated,</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supplemented or otherwise modified.*</w:t>
            </w:r>
          </w:p>
        </w:tc>
      </w:tr>
      <w:tr>
        <w:trPr>
          <w:trHeight w:val="256"/>
        </w:trPr>
        <w:tc>
          <w:tcPr>
            <w:tcW w:w="1040" w:type="dxa"/>
            <w:vAlign w:val="bottom"/>
          </w:tcPr>
          <w:p>
            <w:pPr>
              <w:jc w:val="right"/>
              <w:ind w:right="590"/>
              <w:spacing w:after="0"/>
              <w:rPr>
                <w:sz w:val="20"/>
                <w:szCs w:val="20"/>
                <w:color w:val="auto"/>
              </w:rPr>
            </w:pPr>
            <w:r>
              <w:rPr>
                <w:rFonts w:ascii="Arial" w:cs="Arial" w:eastAsia="Arial" w:hAnsi="Arial"/>
                <w:sz w:val="18"/>
                <w:szCs w:val="18"/>
                <w:color w:val="auto"/>
                <w:w w:val="96"/>
              </w:rPr>
              <w:t>10.6</w:t>
            </w:r>
          </w:p>
        </w:tc>
        <w:tc>
          <w:tcPr>
            <w:tcW w:w="120" w:type="dxa"/>
            <w:vAlign w:val="bottom"/>
          </w:tcPr>
          <w:p>
            <w:pPr>
              <w:spacing w:after="0"/>
              <w:rPr>
                <w:sz w:val="22"/>
                <w:szCs w:val="22"/>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2"/>
              </w:rPr>
              <w:t>Supplemental Agreement No. 4, dated as of June 9, 2014, to Purchase Agreement No. 3219, between The Boeing Company and American</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9"/>
              </w:rPr>
              <w:t>Airlines, Inc. dated as of October 15, 2008, Relating to Boeing Model 787 Aircraft, as amended, restated, amended and restated,</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supplemented or otherwise modified.*</w:t>
            </w:r>
          </w:p>
        </w:tc>
      </w:tr>
      <w:tr>
        <w:trPr>
          <w:trHeight w:val="256"/>
        </w:trPr>
        <w:tc>
          <w:tcPr>
            <w:tcW w:w="1040" w:type="dxa"/>
            <w:vAlign w:val="bottom"/>
          </w:tcPr>
          <w:p>
            <w:pPr>
              <w:jc w:val="right"/>
              <w:ind w:right="590"/>
              <w:spacing w:after="0"/>
              <w:rPr>
                <w:sz w:val="20"/>
                <w:szCs w:val="20"/>
                <w:color w:val="auto"/>
              </w:rPr>
            </w:pPr>
            <w:r>
              <w:rPr>
                <w:rFonts w:ascii="Arial" w:cs="Arial" w:eastAsia="Arial" w:hAnsi="Arial"/>
                <w:sz w:val="18"/>
                <w:szCs w:val="18"/>
                <w:color w:val="auto"/>
                <w:w w:val="96"/>
              </w:rPr>
              <w:t>10.7</w:t>
            </w:r>
          </w:p>
        </w:tc>
        <w:tc>
          <w:tcPr>
            <w:tcW w:w="120" w:type="dxa"/>
            <w:vAlign w:val="bottom"/>
          </w:tcPr>
          <w:p>
            <w:pPr>
              <w:spacing w:after="0"/>
              <w:rPr>
                <w:sz w:val="22"/>
                <w:szCs w:val="22"/>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2"/>
              </w:rPr>
              <w:t>Amendment No. 16, dated as of July 1, 2014, to the Amended and Restated Airbus A320 Family Aircraft Purchase Agreement, dated as of</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October 2, 2007, between Airbus S.A.S. and US Airways, Inc. as amended, restated, amended and restated, supplemented or otherwise</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modified. *</w:t>
            </w:r>
          </w:p>
        </w:tc>
      </w:tr>
      <w:tr>
        <w:trPr>
          <w:trHeight w:val="270"/>
        </w:trPr>
        <w:tc>
          <w:tcPr>
            <w:tcW w:w="1040" w:type="dxa"/>
            <w:vAlign w:val="bottom"/>
          </w:tcPr>
          <w:p>
            <w:pPr>
              <w:jc w:val="right"/>
              <w:ind w:right="590"/>
              <w:spacing w:after="0"/>
              <w:rPr>
                <w:sz w:val="20"/>
                <w:szCs w:val="20"/>
                <w:color w:val="auto"/>
              </w:rPr>
            </w:pPr>
            <w:r>
              <w:rPr>
                <w:rFonts w:ascii="Arial" w:cs="Arial" w:eastAsia="Arial" w:hAnsi="Arial"/>
                <w:sz w:val="18"/>
                <w:szCs w:val="18"/>
                <w:color w:val="auto"/>
                <w:w w:val="96"/>
              </w:rPr>
              <w:t>10.8</w:t>
            </w:r>
          </w:p>
        </w:tc>
        <w:tc>
          <w:tcPr>
            <w:tcW w:w="120" w:type="dxa"/>
            <w:vAlign w:val="bottom"/>
          </w:tcPr>
          <w:p>
            <w:pPr>
              <w:spacing w:after="0"/>
              <w:rPr>
                <w:sz w:val="23"/>
                <w:szCs w:val="23"/>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2014 Short Term-Incentive Program Under 2013 Incentive Award Plan.</w:t>
            </w:r>
          </w:p>
        </w:tc>
      </w:tr>
      <w:tr>
        <w:trPr>
          <w:trHeight w:val="256"/>
        </w:trPr>
        <w:tc>
          <w:tcPr>
            <w:tcW w:w="1040" w:type="dxa"/>
            <w:vAlign w:val="bottom"/>
          </w:tcPr>
          <w:p>
            <w:pPr>
              <w:jc w:val="right"/>
              <w:ind w:right="590"/>
              <w:spacing w:after="0"/>
              <w:rPr>
                <w:sz w:val="20"/>
                <w:szCs w:val="20"/>
                <w:color w:val="auto"/>
              </w:rPr>
            </w:pPr>
            <w:r>
              <w:rPr>
                <w:rFonts w:ascii="Arial" w:cs="Arial" w:eastAsia="Arial" w:hAnsi="Arial"/>
                <w:sz w:val="18"/>
                <w:szCs w:val="18"/>
                <w:color w:val="auto"/>
                <w:w w:val="96"/>
              </w:rPr>
              <w:t>12.1</w:t>
            </w:r>
          </w:p>
        </w:tc>
        <w:tc>
          <w:tcPr>
            <w:tcW w:w="120" w:type="dxa"/>
            <w:vAlign w:val="bottom"/>
          </w:tcPr>
          <w:p>
            <w:pPr>
              <w:spacing w:after="0"/>
              <w:rPr>
                <w:sz w:val="22"/>
                <w:szCs w:val="22"/>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Computation of ratio of earnings to combined fixed charges and preferred dividends of American Airlines Group Inc. for the three and six</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months ended June 30, 2014 and 2013.</w:t>
            </w:r>
          </w:p>
        </w:tc>
      </w:tr>
      <w:tr>
        <w:trPr>
          <w:trHeight w:val="270"/>
        </w:trPr>
        <w:tc>
          <w:tcPr>
            <w:tcW w:w="1040" w:type="dxa"/>
            <w:vAlign w:val="bottom"/>
          </w:tcPr>
          <w:p>
            <w:pPr>
              <w:jc w:val="right"/>
              <w:ind w:right="590"/>
              <w:spacing w:after="0"/>
              <w:rPr>
                <w:sz w:val="20"/>
                <w:szCs w:val="20"/>
                <w:color w:val="auto"/>
              </w:rPr>
            </w:pPr>
            <w:r>
              <w:rPr>
                <w:rFonts w:ascii="Arial" w:cs="Arial" w:eastAsia="Arial" w:hAnsi="Arial"/>
                <w:sz w:val="18"/>
                <w:szCs w:val="18"/>
                <w:color w:val="auto"/>
                <w:w w:val="96"/>
              </w:rPr>
              <w:t>12.2</w:t>
            </w:r>
          </w:p>
        </w:tc>
        <w:tc>
          <w:tcPr>
            <w:tcW w:w="120" w:type="dxa"/>
            <w:vAlign w:val="bottom"/>
          </w:tcPr>
          <w:p>
            <w:pPr>
              <w:spacing w:after="0"/>
              <w:rPr>
                <w:sz w:val="23"/>
                <w:szCs w:val="23"/>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Computation of ratio of earnings to fixed charges of American Airlines, Inc. for the three and six months ended June 30, 2014 and 2013.</w:t>
            </w:r>
          </w:p>
        </w:tc>
      </w:tr>
      <w:tr>
        <w:trPr>
          <w:trHeight w:val="270"/>
        </w:trPr>
        <w:tc>
          <w:tcPr>
            <w:tcW w:w="1040" w:type="dxa"/>
            <w:vAlign w:val="bottom"/>
          </w:tcPr>
          <w:p>
            <w:pPr>
              <w:jc w:val="right"/>
              <w:ind w:right="590"/>
              <w:spacing w:after="0"/>
              <w:rPr>
                <w:sz w:val="20"/>
                <w:szCs w:val="20"/>
                <w:color w:val="auto"/>
              </w:rPr>
            </w:pPr>
            <w:r>
              <w:rPr>
                <w:rFonts w:ascii="Arial" w:cs="Arial" w:eastAsia="Arial" w:hAnsi="Arial"/>
                <w:sz w:val="18"/>
                <w:szCs w:val="18"/>
                <w:color w:val="auto"/>
                <w:w w:val="96"/>
              </w:rPr>
              <w:t>31.1</w:t>
            </w:r>
          </w:p>
        </w:tc>
        <w:tc>
          <w:tcPr>
            <w:tcW w:w="120" w:type="dxa"/>
            <w:vAlign w:val="bottom"/>
          </w:tcPr>
          <w:p>
            <w:pPr>
              <w:spacing w:after="0"/>
              <w:rPr>
                <w:sz w:val="23"/>
                <w:szCs w:val="23"/>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Certification of AAG Chief Executive Officer pursuant to Rule 13a-14(a).</w:t>
            </w:r>
          </w:p>
        </w:tc>
      </w:tr>
      <w:tr>
        <w:trPr>
          <w:trHeight w:val="270"/>
        </w:trPr>
        <w:tc>
          <w:tcPr>
            <w:tcW w:w="1040" w:type="dxa"/>
            <w:vAlign w:val="bottom"/>
          </w:tcPr>
          <w:p>
            <w:pPr>
              <w:jc w:val="right"/>
              <w:ind w:right="590"/>
              <w:spacing w:after="0"/>
              <w:rPr>
                <w:sz w:val="20"/>
                <w:szCs w:val="20"/>
                <w:color w:val="auto"/>
              </w:rPr>
            </w:pPr>
            <w:r>
              <w:rPr>
                <w:rFonts w:ascii="Arial" w:cs="Arial" w:eastAsia="Arial" w:hAnsi="Arial"/>
                <w:sz w:val="18"/>
                <w:szCs w:val="18"/>
                <w:color w:val="auto"/>
                <w:w w:val="96"/>
              </w:rPr>
              <w:t>31.2</w:t>
            </w:r>
          </w:p>
        </w:tc>
        <w:tc>
          <w:tcPr>
            <w:tcW w:w="120" w:type="dxa"/>
            <w:vAlign w:val="bottom"/>
          </w:tcPr>
          <w:p>
            <w:pPr>
              <w:spacing w:after="0"/>
              <w:rPr>
                <w:sz w:val="23"/>
                <w:szCs w:val="23"/>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Certification of AAG Chief Financial Officer pursuant to Rule 13a-14(a).</w:t>
            </w:r>
          </w:p>
        </w:tc>
      </w:tr>
      <w:tr>
        <w:trPr>
          <w:trHeight w:val="270"/>
        </w:trPr>
        <w:tc>
          <w:tcPr>
            <w:tcW w:w="1040" w:type="dxa"/>
            <w:vAlign w:val="bottom"/>
          </w:tcPr>
          <w:p>
            <w:pPr>
              <w:jc w:val="right"/>
              <w:ind w:right="590"/>
              <w:spacing w:after="0"/>
              <w:rPr>
                <w:sz w:val="20"/>
                <w:szCs w:val="20"/>
                <w:color w:val="auto"/>
              </w:rPr>
            </w:pPr>
            <w:r>
              <w:rPr>
                <w:rFonts w:ascii="Arial" w:cs="Arial" w:eastAsia="Arial" w:hAnsi="Arial"/>
                <w:sz w:val="18"/>
                <w:szCs w:val="18"/>
                <w:color w:val="auto"/>
                <w:w w:val="96"/>
              </w:rPr>
              <w:t>31.3</w:t>
            </w:r>
          </w:p>
        </w:tc>
        <w:tc>
          <w:tcPr>
            <w:tcW w:w="120" w:type="dxa"/>
            <w:vAlign w:val="bottom"/>
          </w:tcPr>
          <w:p>
            <w:pPr>
              <w:spacing w:after="0"/>
              <w:rPr>
                <w:sz w:val="23"/>
                <w:szCs w:val="23"/>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Certification of American Chief Executive Officer pursuant to Rule 13a-14(a).</w:t>
            </w:r>
          </w:p>
        </w:tc>
      </w:tr>
      <w:tr>
        <w:trPr>
          <w:trHeight w:val="270"/>
        </w:trPr>
        <w:tc>
          <w:tcPr>
            <w:tcW w:w="1040" w:type="dxa"/>
            <w:vAlign w:val="bottom"/>
          </w:tcPr>
          <w:p>
            <w:pPr>
              <w:jc w:val="right"/>
              <w:ind w:right="590"/>
              <w:spacing w:after="0"/>
              <w:rPr>
                <w:sz w:val="20"/>
                <w:szCs w:val="20"/>
                <w:color w:val="auto"/>
              </w:rPr>
            </w:pPr>
            <w:r>
              <w:rPr>
                <w:rFonts w:ascii="Arial" w:cs="Arial" w:eastAsia="Arial" w:hAnsi="Arial"/>
                <w:sz w:val="18"/>
                <w:szCs w:val="18"/>
                <w:color w:val="auto"/>
                <w:w w:val="96"/>
              </w:rPr>
              <w:t>31.4</w:t>
            </w:r>
          </w:p>
        </w:tc>
        <w:tc>
          <w:tcPr>
            <w:tcW w:w="120" w:type="dxa"/>
            <w:vAlign w:val="bottom"/>
          </w:tcPr>
          <w:p>
            <w:pPr>
              <w:spacing w:after="0"/>
              <w:rPr>
                <w:sz w:val="23"/>
                <w:szCs w:val="23"/>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Certification of American Chief Financial Officer pursuant to Rule 13a-14(a).</w:t>
            </w:r>
          </w:p>
        </w:tc>
      </w:tr>
      <w:tr>
        <w:trPr>
          <w:trHeight w:val="256"/>
        </w:trPr>
        <w:tc>
          <w:tcPr>
            <w:tcW w:w="1040" w:type="dxa"/>
            <w:vAlign w:val="bottom"/>
          </w:tcPr>
          <w:p>
            <w:pPr>
              <w:jc w:val="right"/>
              <w:ind w:right="590"/>
              <w:spacing w:after="0"/>
              <w:rPr>
                <w:sz w:val="20"/>
                <w:szCs w:val="20"/>
                <w:color w:val="auto"/>
              </w:rPr>
            </w:pPr>
            <w:r>
              <w:rPr>
                <w:rFonts w:ascii="Arial" w:cs="Arial" w:eastAsia="Arial" w:hAnsi="Arial"/>
                <w:sz w:val="18"/>
                <w:szCs w:val="18"/>
                <w:color w:val="auto"/>
                <w:w w:val="96"/>
              </w:rPr>
              <w:t>32.1</w:t>
            </w:r>
          </w:p>
        </w:tc>
        <w:tc>
          <w:tcPr>
            <w:tcW w:w="120" w:type="dxa"/>
            <w:vAlign w:val="bottom"/>
          </w:tcPr>
          <w:p>
            <w:pPr>
              <w:spacing w:after="0"/>
              <w:rPr>
                <w:sz w:val="22"/>
                <w:szCs w:val="22"/>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1"/>
              </w:rPr>
              <w:t>Certification pursuant to Rule 13a-14(b) and section 906 of the Sarbanes-Oxley Act of 2002 (subsections (a) and (b) of section 1350, chapter</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63 of title 18, United States Code).</w:t>
            </w:r>
          </w:p>
        </w:tc>
      </w:tr>
      <w:tr>
        <w:trPr>
          <w:trHeight w:val="256"/>
        </w:trPr>
        <w:tc>
          <w:tcPr>
            <w:tcW w:w="1040" w:type="dxa"/>
            <w:vAlign w:val="bottom"/>
          </w:tcPr>
          <w:p>
            <w:pPr>
              <w:jc w:val="right"/>
              <w:ind w:right="590"/>
              <w:spacing w:after="0"/>
              <w:rPr>
                <w:sz w:val="20"/>
                <w:szCs w:val="20"/>
                <w:color w:val="auto"/>
              </w:rPr>
            </w:pPr>
            <w:r>
              <w:rPr>
                <w:rFonts w:ascii="Arial" w:cs="Arial" w:eastAsia="Arial" w:hAnsi="Arial"/>
                <w:sz w:val="18"/>
                <w:szCs w:val="18"/>
                <w:color w:val="auto"/>
                <w:w w:val="96"/>
              </w:rPr>
              <w:t>32.2</w:t>
            </w:r>
          </w:p>
        </w:tc>
        <w:tc>
          <w:tcPr>
            <w:tcW w:w="120" w:type="dxa"/>
            <w:vAlign w:val="bottom"/>
          </w:tcPr>
          <w:p>
            <w:pPr>
              <w:spacing w:after="0"/>
              <w:rPr>
                <w:sz w:val="22"/>
                <w:szCs w:val="22"/>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1"/>
              </w:rPr>
              <w:t>Certification pursuant to Rule 13a-14(b) and section 906 of the Sarbanes-Oxley Act of 2002 (subsections (a) and (b) of section 1350, chapter</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63 of title 18, United States Code).</w:t>
            </w:r>
          </w:p>
        </w:tc>
      </w:tr>
    </w:tbl>
    <w:p>
      <w:pPr>
        <w:spacing w:after="0" w:line="40" w:lineRule="exact"/>
        <w:rPr>
          <w:sz w:val="20"/>
          <w:szCs w:val="20"/>
          <w:color w:val="auto"/>
        </w:rPr>
      </w:pPr>
    </w:p>
    <w:p>
      <w:pPr>
        <w:ind w:left="1180" w:hanging="1145"/>
        <w:spacing w:after="0"/>
        <w:tabs>
          <w:tab w:leader="none" w:pos="11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Confidential treatment has been requested with respect to certain portions of this agreement.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580" w:right="239" w:bottom="1440" w:gutter="0" w:footer="0" w:header="0"/>
        </w:sectPr>
      </w:pPr>
    </w:p>
    <w:bookmarkStart w:id="109" w:name="page110"/>
    <w:bookmarkEnd w:id="109"/>
    <w:p>
      <w:pPr>
        <w:ind w:left="10480"/>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A320 Family Aircraft Purchase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made July 20, 2011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AIRBUS S.A.S.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Amendment No. 4 to the A320 Family Purchase Agreement made July 20, 2011 (as amended, supplemented or otherwise modified, hereinafter referred to as the “</w:t>
      </w:r>
      <w:r>
        <w:rPr>
          <w:rFonts w:ascii="Arial" w:cs="Arial" w:eastAsia="Arial" w:hAnsi="Arial"/>
          <w:sz w:val="17"/>
          <w:szCs w:val="17"/>
          <w:b w:val="1"/>
          <w:bCs w:val="1"/>
          <w:color w:val="auto"/>
        </w:rPr>
        <w:t>Amendment</w:t>
      </w:r>
      <w:r>
        <w:rPr>
          <w:rFonts w:ascii="Arial" w:cs="Arial" w:eastAsia="Arial" w:hAnsi="Arial"/>
          <w:sz w:val="17"/>
          <w:szCs w:val="17"/>
          <w:color w:val="auto"/>
        </w:rPr>
        <w:t xml:space="preserve">”), entered into as of June 18, 2014, by and between </w:t>
      </w:r>
      <w:r>
        <w:rPr>
          <w:rFonts w:ascii="Arial" w:cs="Arial" w:eastAsia="Arial" w:hAnsi="Arial"/>
          <w:sz w:val="17"/>
          <w:szCs w:val="17"/>
          <w:b w:val="1"/>
          <w:bCs w:val="1"/>
          <w:color w:val="auto"/>
        </w:rPr>
        <w:t>AIRBUS S.A.S</w:t>
      </w:r>
      <w:r>
        <w:rPr>
          <w:rFonts w:ascii="Arial" w:cs="Arial" w:eastAsia="Arial" w:hAnsi="Arial"/>
          <w:sz w:val="17"/>
          <w:szCs w:val="17"/>
          <w:color w:val="auto"/>
        </w:rPr>
        <w:t xml:space="preserve">., a </w:t>
      </w:r>
      <w:r>
        <w:rPr>
          <w:rFonts w:ascii="Arial" w:cs="Arial" w:eastAsia="Arial" w:hAnsi="Arial"/>
          <w:sz w:val="17"/>
          <w:szCs w:val="17"/>
          <w:i w:val="1"/>
          <w:iCs w:val="1"/>
          <w:color w:val="auto"/>
        </w:rPr>
        <w:t>société par actions simplifiée</w:t>
      </w:r>
      <w:r>
        <w:rPr>
          <w:rFonts w:ascii="Arial" w:cs="Arial" w:eastAsia="Arial" w:hAnsi="Arial"/>
          <w:sz w:val="17"/>
          <w:szCs w:val="17"/>
          <w:color w:val="auto"/>
        </w:rPr>
        <w:t xml:space="preserve">, created and existing under French law having its registered office at 1 Rond-Point Maurice Bellonte, 31707 Blagnac-Cedex, France and registered with the Toulouse </w:t>
      </w:r>
      <w:r>
        <w:rPr>
          <w:rFonts w:ascii="Arial" w:cs="Arial" w:eastAsia="Arial" w:hAnsi="Arial"/>
          <w:sz w:val="17"/>
          <w:szCs w:val="17"/>
          <w:i w:val="1"/>
          <w:iCs w:val="1"/>
          <w:color w:val="auto"/>
        </w:rPr>
        <w:t>Registre du</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Commerce </w:t>
      </w:r>
      <w:r>
        <w:rPr>
          <w:rFonts w:ascii="Arial" w:cs="Arial" w:eastAsia="Arial" w:hAnsi="Arial"/>
          <w:sz w:val="17"/>
          <w:szCs w:val="17"/>
          <w:color w:val="auto"/>
        </w:rPr>
        <w:t>under number RCS Toulouse 383 474 814 (the “</w:t>
      </w:r>
      <w:r>
        <w:rPr>
          <w:rFonts w:ascii="Arial" w:cs="Arial" w:eastAsia="Arial" w:hAnsi="Arial"/>
          <w:sz w:val="17"/>
          <w:szCs w:val="17"/>
          <w:b w:val="1"/>
          <w:bCs w:val="1"/>
          <w:color w:val="auto"/>
        </w:rPr>
        <w:t>Seller</w:t>
      </w:r>
      <w:r>
        <w:rPr>
          <w:rFonts w:ascii="Arial" w:cs="Arial" w:eastAsia="Arial" w:hAnsi="Arial"/>
          <w:sz w:val="17"/>
          <w:szCs w:val="17"/>
          <w:color w:val="auto"/>
        </w:rPr>
        <w:t>”), and</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AMERICAN AIRLINES, INC</w:t>
      </w:r>
      <w:r>
        <w:rPr>
          <w:rFonts w:ascii="Arial" w:cs="Arial" w:eastAsia="Arial" w:hAnsi="Arial"/>
          <w:sz w:val="17"/>
          <w:szCs w:val="17"/>
          <w:color w:val="auto"/>
        </w:rPr>
        <w:t>., a Delaware corporation having its principal office</w:t>
      </w:r>
      <w:r>
        <w:rPr>
          <w:rFonts w:ascii="Arial" w:cs="Arial" w:eastAsia="Arial" w:hAnsi="Arial"/>
          <w:sz w:val="17"/>
          <w:szCs w:val="17"/>
          <w:i w:val="1"/>
          <w:iCs w:val="1"/>
          <w:color w:val="auto"/>
        </w:rPr>
        <w:t xml:space="preserve"> </w:t>
      </w:r>
      <w:r>
        <w:rPr>
          <w:rFonts w:ascii="Arial" w:cs="Arial" w:eastAsia="Arial" w:hAnsi="Arial"/>
          <w:sz w:val="17"/>
          <w:szCs w:val="17"/>
          <w:color w:val="auto"/>
        </w:rPr>
        <w:t>at 4333 Amon Carter Boulevard, Fort Worth, Texas 76155, United States of America (the “</w:t>
      </w:r>
      <w:r>
        <w:rPr>
          <w:rFonts w:ascii="Arial" w:cs="Arial" w:eastAsia="Arial" w:hAnsi="Arial"/>
          <w:sz w:val="17"/>
          <w:szCs w:val="17"/>
          <w:b w:val="1"/>
          <w:bCs w:val="1"/>
          <w:color w:val="auto"/>
        </w:rPr>
        <w:t>Buyer</w:t>
      </w:r>
      <w:r>
        <w:rPr>
          <w:rFonts w:ascii="Arial" w:cs="Arial" w:eastAsia="Arial" w:hAnsi="Arial"/>
          <w:sz w:val="17"/>
          <w:szCs w:val="17"/>
          <w:color w:val="auto"/>
        </w:rPr>
        <w: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WHEREAS, the Buyer and the Seller entered into an Airbus A320 Family Aircraft Purchase Agreement, made July 20, 2011, which, together with all Exhibits, Appendices and Letter Agreements attached thereto and as amended, modified or supplemented from time to time is hereinafter called the “</w:t>
      </w:r>
      <w:r>
        <w:rPr>
          <w:rFonts w:ascii="Arial" w:cs="Arial" w:eastAsia="Arial" w:hAnsi="Arial"/>
          <w:sz w:val="18"/>
          <w:szCs w:val="18"/>
          <w:b w:val="1"/>
          <w:bCs w:val="1"/>
          <w:color w:val="auto"/>
        </w:rPr>
        <w:t>Agreement</w:t>
      </w:r>
      <w:r>
        <w:rPr>
          <w:rFonts w:ascii="Arial" w:cs="Arial" w:eastAsia="Arial" w:hAnsi="Arial"/>
          <w:sz w:val="18"/>
          <w:szCs w:val="18"/>
          <w:color w:val="auto"/>
        </w:rPr>
        <w:t>”; and</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WHEREAS, the Buyer and the Seller have agreed to modify certain terms of Letter Agreement No. 2 to Amendment No. 1 to the Agreement, dated as of January 11, 2013 (the “</w:t>
      </w:r>
      <w:r>
        <w:rPr>
          <w:rFonts w:ascii="Arial" w:cs="Arial" w:eastAsia="Arial" w:hAnsi="Arial"/>
          <w:sz w:val="18"/>
          <w:szCs w:val="18"/>
          <w:b w:val="1"/>
          <w:bCs w:val="1"/>
          <w:color w:val="auto"/>
        </w:rPr>
        <w:t>Letter Agreement</w:t>
      </w:r>
      <w:r>
        <w:rPr>
          <w:rFonts w:ascii="Arial" w:cs="Arial" w:eastAsia="Arial" w:hAnsi="Arial"/>
          <w:sz w:val="18"/>
          <w:szCs w:val="18"/>
          <w:color w:val="auto"/>
        </w:rPr>
        <w:t>”), relating to [*CTR].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IT IS AGREED AS FOLLOWS: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capitalized terms used herein and not otherwise defined in this Amendment will have the meanings assigned to them in the Agreement. The terms “herein,” “hereof,” and “hereunder” and words of similar import refer to this Amendment.</w:t>
      </w:r>
    </w:p>
    <w:p>
      <w:pPr>
        <w:spacing w:after="0" w:line="103" w:lineRule="exact"/>
        <w:rPr>
          <w:sz w:val="20"/>
          <w:szCs w:val="20"/>
          <w:color w:val="auto"/>
        </w:rPr>
      </w:pPr>
    </w:p>
    <w:p>
      <w:pPr>
        <w:spacing w:after="0"/>
        <w:tabs>
          <w:tab w:leader="none" w:pos="10920" w:val="left"/>
        </w:tabs>
        <w:rPr>
          <w:sz w:val="20"/>
          <w:szCs w:val="20"/>
          <w:color w:val="auto"/>
        </w:rPr>
      </w:pPr>
      <w:r>
        <w:rPr>
          <w:rFonts w:ascii="Arial" w:cs="Arial" w:eastAsia="Arial" w:hAnsi="Arial"/>
          <w:sz w:val="15"/>
          <w:szCs w:val="15"/>
          <w:color w:val="auto"/>
        </w:rPr>
        <w:t>CT1001520</w:t>
      </w:r>
      <w:r>
        <w:rPr>
          <w:sz w:val="20"/>
          <w:szCs w:val="20"/>
          <w:color w:val="auto"/>
        </w:rPr>
        <w:tab/>
      </w:r>
      <w:r>
        <w:rPr>
          <w:rFonts w:ascii="Arial" w:cs="Arial" w:eastAsia="Arial" w:hAnsi="Arial"/>
          <w:sz w:val="15"/>
          <w:szCs w:val="15"/>
          <w:color w:val="auto"/>
        </w:rPr>
        <w:t>Page 1</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[*CTR] = [CONFIDENTIAL PORTION OMITTED AND FILED SEPARATELY WITH THE COMMISSION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A REQUEST FOR CONFIDENTIAL TREATMENT]</w:t>
      </w:r>
    </w:p>
    <w:p>
      <w:pPr>
        <w:sectPr>
          <w:pgSz w:w="11900" w:h="16838" w:orient="portrait"/>
          <w:cols w:equalWidth="0" w:num="1">
            <w:col w:w="11420"/>
          </w:cols>
          <w:pgMar w:left="240" w:top="121" w:right="239" w:bottom="1440" w:gutter="0" w:footer="0" w:header="0"/>
        </w:sectPr>
      </w:pPr>
    </w:p>
    <w:bookmarkStart w:id="110" w:name="page111"/>
    <w:bookmarkEnd w:id="110"/>
    <w:p>
      <w:pPr>
        <w:ind w:left="460" w:hanging="452"/>
        <w:spacing w:after="0"/>
        <w:tabs>
          <w:tab w:leader="none" w:pos="4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[*CTR]</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Paragraph 1 of the Letter Agreement is hereby amended by adding the following quoted text at the end of such paragraph:</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QUOTE</w:t>
      </w:r>
    </w:p>
    <w:p>
      <w:pPr>
        <w:spacing w:after="0" w:line="113" w:lineRule="exact"/>
        <w:rPr>
          <w:sz w:val="20"/>
          <w:szCs w:val="20"/>
          <w:color w:val="auto"/>
        </w:rPr>
      </w:pPr>
    </w:p>
    <w:p>
      <w:pPr>
        <w:jc w:val="both"/>
        <w:ind w:left="460"/>
        <w:spacing w:after="0" w:line="266" w:lineRule="auto"/>
        <w:rPr>
          <w:sz w:val="20"/>
          <w:szCs w:val="20"/>
          <w:color w:val="auto"/>
        </w:rPr>
      </w:pPr>
      <w:r>
        <w:rPr>
          <w:rFonts w:ascii="Arial" w:cs="Arial" w:eastAsia="Arial" w:hAnsi="Arial"/>
          <w:sz w:val="18"/>
          <w:szCs w:val="18"/>
          <w:color w:val="auto"/>
        </w:rPr>
        <w:t>As used in this Letter Agreement, the term “</w:t>
      </w:r>
      <w:r>
        <w:rPr>
          <w:rFonts w:ascii="Arial" w:cs="Arial" w:eastAsia="Arial" w:hAnsi="Arial"/>
          <w:sz w:val="18"/>
          <w:szCs w:val="18"/>
          <w:b w:val="1"/>
          <w:bCs w:val="1"/>
          <w:color w:val="auto"/>
        </w:rPr>
        <w:t>Leased Aircraft</w:t>
      </w:r>
      <w:r>
        <w:rPr>
          <w:rFonts w:ascii="Arial" w:cs="Arial" w:eastAsia="Arial" w:hAnsi="Arial"/>
          <w:sz w:val="18"/>
          <w:szCs w:val="18"/>
          <w:color w:val="auto"/>
        </w:rPr>
        <w:t>” shall include any Aircraft that is scheduled to be leased from a Lessor, including any Aircraft subject to or that becomes subject to a Leasing Letter, regardless of whether the Buyer leases such Aircraft from the applicable Lessor or acquires the right to purchase such Aircraft from the applicable Third Party prior to Delivery.</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UNQUOTE</w:t>
      </w:r>
    </w:p>
    <w:p>
      <w:pPr>
        <w:spacing w:after="0" w:line="131" w:lineRule="exact"/>
        <w:rPr>
          <w:sz w:val="20"/>
          <w:szCs w:val="20"/>
          <w:color w:val="auto"/>
        </w:rPr>
      </w:pPr>
    </w:p>
    <w:p>
      <w:pPr>
        <w:ind w:left="460" w:hanging="445"/>
        <w:spacing w:after="0" w:line="277" w:lineRule="auto"/>
        <w:tabs>
          <w:tab w:leader="none" w:pos="440" w:val="left"/>
        </w:tabs>
        <w:rPr>
          <w:sz w:val="20"/>
          <w:szCs w:val="20"/>
          <w:color w:val="auto"/>
        </w:rPr>
      </w:pPr>
      <w:r>
        <w:rPr>
          <w:rFonts w:ascii="Arial" w:cs="Arial" w:eastAsia="Arial" w:hAnsi="Arial"/>
          <w:sz w:val="18"/>
          <w:szCs w:val="18"/>
          <w:color w:val="auto"/>
        </w:rPr>
        <w:t>1.2</w:t>
        <w:tab/>
        <w:t>Footnote 1 in Paragraph 2.1 of the Letter Agreement is hereby amended by deleting the text of such footnote in its entirety and replacing it with the following quoted text: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set forth in Schedule I to the Agreement, as amended.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UNQUOTE</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A new Paragraph 2.4 is hereby added to the Letter Agreement following Paragraph 2.3 with the following quoted text: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QUOTE</w:t>
      </w:r>
    </w:p>
    <w:p>
      <w:pPr>
        <w:spacing w:after="0" w:line="13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2.4</w:t>
        <w:tab/>
        <w:t>[*CTR]</w:t>
      </w:r>
    </w:p>
    <w:p>
      <w:pPr>
        <w:spacing w:after="0" w:line="117" w:lineRule="exact"/>
        <w:rPr>
          <w:sz w:val="20"/>
          <w:szCs w:val="20"/>
          <w:color w:val="auto"/>
        </w:rPr>
      </w:pPr>
    </w:p>
    <w:p>
      <w:pPr>
        <w:jc w:val="both"/>
        <w:ind w:left="920"/>
        <w:spacing w:after="0" w:line="270" w:lineRule="auto"/>
        <w:rPr>
          <w:sz w:val="20"/>
          <w:szCs w:val="20"/>
          <w:color w:val="auto"/>
        </w:rPr>
      </w:pPr>
      <w:r>
        <w:rPr>
          <w:rFonts w:ascii="Arial" w:cs="Arial" w:eastAsia="Arial" w:hAnsi="Arial"/>
          <w:sz w:val="17"/>
          <w:szCs w:val="17"/>
          <w:color w:val="auto"/>
        </w:rPr>
        <w:t>Notwithstanding anything in this Letter Agreement to the contrary, in the event that either (i) the Buyer or any Affiliate of the Buyer becomes the Owner Participant or owner with respect to any [*CTR] or (ii) any Lease with respect to any [*CTR] is terminated and title to such [*CTR] is transferred to the Buyer or any Affiliate of the Buyer, or any designee of the Buyer or any Affiliate of the Buyer (any such [*CTR] for which clause (i) or (ii) is applicable, an [*CTR]), the Seller shall continue to [*CTR]. For the avoidance of doubt, Paragraphs 2.3, 5 and 6 of this Letter Agreement shall not be applicable with respect to any [*CTR] (except in the case an [*CTR] is leased to the Buyer, in which case Paragraphs 5 and 6 shall be applicable to the extent provided below), and the Seller shall [*CTR] in the manner set forth in Paragraph 3 hereof without any prompting from the Buyer. If any [*CTR] shall be leased to the Buyer from a third party lessor at any time when the Seller remains [*CTR] the Buyer, Paragraphs 5 and 6 hereof shall be applicable to such [*CTR], provided that the Buyer shall be deemed to have complied with Paragraph 5 if the Buyer has provided written confirmation to the Seller that it has [*CTR].</w:t>
      </w:r>
    </w:p>
    <w:p>
      <w:pPr>
        <w:spacing w:after="0" w:line="114" w:lineRule="exact"/>
        <w:rPr>
          <w:sz w:val="20"/>
          <w:szCs w:val="20"/>
          <w:color w:val="auto"/>
        </w:rPr>
      </w:pPr>
    </w:p>
    <w:p>
      <w:pPr>
        <w:spacing w:after="0"/>
        <w:tabs>
          <w:tab w:leader="none" w:pos="10920" w:val="left"/>
        </w:tabs>
        <w:rPr>
          <w:sz w:val="20"/>
          <w:szCs w:val="20"/>
          <w:color w:val="auto"/>
        </w:rPr>
      </w:pPr>
      <w:r>
        <w:rPr>
          <w:rFonts w:ascii="Arial" w:cs="Arial" w:eastAsia="Arial" w:hAnsi="Arial"/>
          <w:sz w:val="15"/>
          <w:szCs w:val="15"/>
          <w:color w:val="auto"/>
        </w:rPr>
        <w:t>CT1001520</w:t>
      </w:r>
      <w:r>
        <w:rPr>
          <w:sz w:val="20"/>
          <w:szCs w:val="20"/>
          <w:color w:val="auto"/>
        </w:rPr>
        <w:tab/>
      </w:r>
      <w:r>
        <w:rPr>
          <w:rFonts w:ascii="Arial" w:cs="Arial" w:eastAsia="Arial" w:hAnsi="Arial"/>
          <w:sz w:val="15"/>
          <w:szCs w:val="15"/>
          <w:color w:val="auto"/>
        </w:rPr>
        <w:t>Page 2</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[*CTR] = [CONFIDENTIAL PORTION OMITTED AND FILED SEPARATELY WITH THE COMMISSION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A REQUEST FOR CONFIDENTIAL TREATMENT]</w:t>
      </w:r>
    </w:p>
    <w:p>
      <w:pPr>
        <w:sectPr>
          <w:pgSz w:w="11900" w:h="16838" w:orient="portrait"/>
          <w:cols w:equalWidth="0" w:num="1">
            <w:col w:w="11420"/>
          </w:cols>
          <w:pgMar w:left="240" w:top="270" w:right="239" w:bottom="1440" w:gutter="0" w:footer="0" w:header="0"/>
        </w:sectPr>
      </w:pPr>
    </w:p>
    <w:bookmarkStart w:id="111" w:name="page112"/>
    <w:bookmarkEnd w:id="11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UNQUOTE</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Paragraph 10 of the Letter Agreement is hereby amended by deleting such Paragraph in its entirety and replacing it with the following quoted text: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QUOTE</w:t>
      </w:r>
    </w:p>
    <w:p>
      <w:pPr>
        <w:spacing w:after="0" w:line="127"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10</w:t>
        <w:tab/>
        <w:t>CONFIDENTIALITY</w:t>
      </w:r>
    </w:p>
    <w:p>
      <w:pPr>
        <w:spacing w:after="0" w:line="121" w:lineRule="exact"/>
        <w:rPr>
          <w:sz w:val="20"/>
          <w:szCs w:val="20"/>
          <w:color w:val="auto"/>
        </w:rPr>
      </w:pPr>
    </w:p>
    <w:p>
      <w:pPr>
        <w:jc w:val="both"/>
        <w:ind w:left="920"/>
        <w:spacing w:after="0" w:line="302" w:lineRule="auto"/>
        <w:rPr>
          <w:sz w:val="20"/>
          <w:szCs w:val="20"/>
          <w:color w:val="auto"/>
        </w:rPr>
      </w:pPr>
      <w:r>
        <w:rPr>
          <w:rFonts w:ascii="Arial" w:cs="Arial" w:eastAsia="Arial" w:hAnsi="Arial"/>
          <w:sz w:val="16"/>
          <w:szCs w:val="16"/>
          <w:color w:val="auto"/>
        </w:rPr>
        <w:t>Each of the Seller and the Buyer agree not to disclose the terms and conditions of this Letter Agreement to any person without the prior written consent of the other party. Notwithstanding the foregoing, each of the Seller and the Buyer agrees that such terms and conditions may be disclosed without such prior written consent (i) as required by law or as necessary in connection with the enforcement of such party’s rights hereunder and (ii) to the board of directors, managers, employees, auditors, and legal, financial and technical advisors of each party.</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UNQUOTE</w:t>
      </w:r>
    </w:p>
    <w:p>
      <w:pPr>
        <w:spacing w:after="0" w:line="370"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REFERENCES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On and after the date of this Amendment:</w:t>
      </w:r>
    </w:p>
    <w:p>
      <w:pPr>
        <w:spacing w:after="0" w:line="130" w:lineRule="exact"/>
        <w:rPr>
          <w:rFonts w:ascii="Arial" w:cs="Arial" w:eastAsia="Arial" w:hAnsi="Arial"/>
          <w:sz w:val="18"/>
          <w:szCs w:val="18"/>
          <w:b w:val="1"/>
          <w:bCs w:val="1"/>
          <w:color w:val="auto"/>
        </w:rPr>
      </w:pPr>
    </w:p>
    <w:p>
      <w:pPr>
        <w:ind w:left="900" w:hanging="446"/>
        <w:spacing w:after="0" w:line="277" w:lineRule="auto"/>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each reference in the Letter Agreement to “this Letter Agreement”, “hereunder”, “hereof” or words of like import referring to the Letter Agreement shall mean and be a reference to the Letter Agreement as amended by this Amendment, and</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each reference in the Agreement to “this Agreement”, “hereunder”, “hereof” or words of like import referring to the Agreement shall mean and be a reference to the Agreement as amended by this Amendment.</w:t>
      </w:r>
    </w:p>
    <w:p>
      <w:pPr>
        <w:spacing w:after="0" w:line="315"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121" w:lineRule="exact"/>
        <w:rPr>
          <w:rFonts w:ascii="Arial" w:cs="Arial" w:eastAsia="Arial" w:hAnsi="Arial"/>
          <w:sz w:val="18"/>
          <w:szCs w:val="18"/>
          <w:b w:val="1"/>
          <w:bCs w:val="1"/>
          <w:color w:val="auto"/>
        </w:rPr>
      </w:pPr>
    </w:p>
    <w:p>
      <w:pPr>
        <w:jc w:val="both"/>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This Amendment and the rights and obligations of the parties will be subject to the provisions of Clause 21 of the Agreement; provided, however, this Amendment may not be assigned by the Buyer under either Clause 21.5 or 21.6 of the Agreement without the express written consent of the Seller, which the Seller may withhold in its sole discretion.</w:t>
      </w:r>
    </w:p>
    <w:p>
      <w:pPr>
        <w:spacing w:after="0" w:line="326"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21" w:lineRule="exact"/>
        <w:rPr>
          <w:rFonts w:ascii="Arial" w:cs="Arial" w:eastAsia="Arial" w:hAnsi="Arial"/>
          <w:sz w:val="18"/>
          <w:szCs w:val="18"/>
          <w:b w:val="1"/>
          <w:bCs w:val="1"/>
          <w:color w:val="auto"/>
        </w:rPr>
      </w:pPr>
    </w:p>
    <w:p>
      <w:pPr>
        <w:jc w:val="both"/>
        <w:ind w:left="4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Each of the Seller and the Buyer agree not to disclose the terms and conditions of this Amendment to any person without the prior written consent of the other party. Notwithstanding the foregoing, each of the Seller and the Buyer agrees that such terms and conditions may be disclosed without such prior written consent (i) as required by law or as necessary in connection with the enforcement of such party’s rights hereunder, and (ii) to the board of directors, managers, employees, auditors, and legal, financial and technical advisors of each party.</w:t>
      </w:r>
    </w:p>
    <w:p>
      <w:pPr>
        <w:spacing w:after="0" w:line="104" w:lineRule="exact"/>
        <w:rPr>
          <w:sz w:val="20"/>
          <w:szCs w:val="20"/>
          <w:color w:val="auto"/>
        </w:rPr>
      </w:pPr>
    </w:p>
    <w:p>
      <w:pPr>
        <w:spacing w:after="0"/>
        <w:tabs>
          <w:tab w:leader="none" w:pos="10920" w:val="left"/>
        </w:tabs>
        <w:rPr>
          <w:sz w:val="20"/>
          <w:szCs w:val="20"/>
          <w:color w:val="auto"/>
        </w:rPr>
      </w:pPr>
      <w:r>
        <w:rPr>
          <w:rFonts w:ascii="Arial" w:cs="Arial" w:eastAsia="Arial" w:hAnsi="Arial"/>
          <w:sz w:val="15"/>
          <w:szCs w:val="15"/>
          <w:color w:val="auto"/>
        </w:rPr>
        <w:t>CT1001520</w:t>
      </w:r>
      <w:r>
        <w:rPr>
          <w:sz w:val="20"/>
          <w:szCs w:val="20"/>
          <w:color w:val="auto"/>
        </w:rPr>
        <w:tab/>
      </w:r>
      <w:r>
        <w:rPr>
          <w:rFonts w:ascii="Arial" w:cs="Arial" w:eastAsia="Arial" w:hAnsi="Arial"/>
          <w:sz w:val="15"/>
          <w:szCs w:val="15"/>
          <w:color w:val="auto"/>
        </w:rPr>
        <w:t>Page 3</w:t>
      </w:r>
    </w:p>
    <w:p>
      <w:pPr>
        <w:sectPr>
          <w:pgSz w:w="11900" w:h="16838" w:orient="portrait"/>
          <w:cols w:equalWidth="0" w:num="1">
            <w:col w:w="11420"/>
          </w:cols>
          <w:pgMar w:left="240" w:top="274" w:right="239" w:bottom="1440" w:gutter="0" w:footer="0" w:header="0"/>
        </w:sectPr>
      </w:pPr>
    </w:p>
    <w:bookmarkStart w:id="112" w:name="page113"/>
    <w:bookmarkEnd w:id="112"/>
    <w:p>
      <w:pPr>
        <w:ind w:left="460" w:hanging="452"/>
        <w:spacing w:after="0"/>
        <w:tabs>
          <w:tab w:leader="none" w:pos="4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COUNTERPARTS</w:t>
      </w:r>
    </w:p>
    <w:p>
      <w:pPr>
        <w:spacing w:after="0" w:line="121"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Amendment may be executed by the parties hereto in separate counterparts, each of which when so executed and delivered will be an original, but all such counterparts will together constitute but one and the same instrument.</w:t>
      </w:r>
    </w:p>
    <w:p>
      <w:pPr>
        <w:spacing w:after="0" w:line="103" w:lineRule="exact"/>
        <w:rPr>
          <w:sz w:val="20"/>
          <w:szCs w:val="20"/>
          <w:color w:val="auto"/>
        </w:rPr>
      </w:pPr>
    </w:p>
    <w:p>
      <w:pPr>
        <w:spacing w:after="0"/>
        <w:tabs>
          <w:tab w:leader="none" w:pos="10920" w:val="left"/>
        </w:tabs>
        <w:rPr>
          <w:sz w:val="20"/>
          <w:szCs w:val="20"/>
          <w:color w:val="auto"/>
        </w:rPr>
      </w:pPr>
      <w:r>
        <w:rPr>
          <w:rFonts w:ascii="Arial" w:cs="Arial" w:eastAsia="Arial" w:hAnsi="Arial"/>
          <w:sz w:val="15"/>
          <w:szCs w:val="15"/>
          <w:color w:val="auto"/>
        </w:rPr>
        <w:t>CT1001520</w:t>
      </w:r>
      <w:r>
        <w:rPr>
          <w:sz w:val="20"/>
          <w:szCs w:val="20"/>
          <w:color w:val="auto"/>
        </w:rPr>
        <w:tab/>
      </w:r>
      <w:r>
        <w:rPr>
          <w:rFonts w:ascii="Arial" w:cs="Arial" w:eastAsia="Arial" w:hAnsi="Arial"/>
          <w:sz w:val="15"/>
          <w:szCs w:val="15"/>
          <w:color w:val="auto"/>
        </w:rPr>
        <w:t>Page 4</w:t>
      </w:r>
    </w:p>
    <w:p>
      <w:pPr>
        <w:sectPr>
          <w:pgSz w:w="11900" w:h="16838" w:orient="portrait"/>
          <w:cols w:equalWidth="0" w:num="1">
            <w:col w:w="11420"/>
          </w:cols>
          <w:pgMar w:left="240" w:top="270" w:right="239" w:bottom="1440" w:gutter="0" w:footer="0" w:header="0"/>
        </w:sectPr>
      </w:pPr>
    </w:p>
    <w:bookmarkStart w:id="113" w:name="page114"/>
    <w:bookmarkEnd w:id="113"/>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correctly sets forth your understanding, please execute the original and one (1) copy hereof in the space provided below and return a copy to the Seller.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AIRBUS S.A.S.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AIRBUS 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Senior VP Contracts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VP Fleet Planning</w:t>
      </w:r>
    </w:p>
    <w:p>
      <w:pPr>
        <w:spacing w:after="0" w:line="143" w:lineRule="exact"/>
        <w:rPr>
          <w:sz w:val="20"/>
          <w:szCs w:val="20"/>
          <w:color w:val="auto"/>
        </w:rPr>
      </w:pPr>
    </w:p>
    <w:p>
      <w:pPr>
        <w:spacing w:after="0"/>
        <w:tabs>
          <w:tab w:leader="none" w:pos="10920" w:val="left"/>
        </w:tabs>
        <w:rPr>
          <w:sz w:val="20"/>
          <w:szCs w:val="20"/>
          <w:color w:val="auto"/>
        </w:rPr>
      </w:pPr>
      <w:r>
        <w:rPr>
          <w:rFonts w:ascii="Arial" w:cs="Arial" w:eastAsia="Arial" w:hAnsi="Arial"/>
          <w:sz w:val="15"/>
          <w:szCs w:val="15"/>
          <w:color w:val="auto"/>
        </w:rPr>
        <w:t>CT1001520</w:t>
      </w:r>
      <w:r>
        <w:rPr>
          <w:sz w:val="20"/>
          <w:szCs w:val="20"/>
          <w:color w:val="auto"/>
        </w:rPr>
        <w:tab/>
      </w:r>
      <w:r>
        <w:rPr>
          <w:rFonts w:ascii="Arial" w:cs="Arial" w:eastAsia="Arial" w:hAnsi="Arial"/>
          <w:sz w:val="15"/>
          <w:szCs w:val="15"/>
          <w:color w:val="auto"/>
        </w:rPr>
        <w:t>Page 5</w:t>
      </w:r>
    </w:p>
    <w:p>
      <w:pPr>
        <w:sectPr>
          <w:pgSz w:w="11900" w:h="16838" w:orient="portrait"/>
          <w:cols w:equalWidth="0" w:num="1">
            <w:col w:w="11420"/>
          </w:cols>
          <w:pgMar w:left="240" w:top="274" w:right="239" w:bottom="1440" w:gutter="0" w:footer="0" w:header="0"/>
        </w:sectPr>
      </w:pPr>
    </w:p>
    <w:bookmarkStart w:id="114" w:name="page115"/>
    <w:bookmarkEnd w:id="114"/>
    <w:p>
      <w:pPr>
        <w:ind w:left="10480"/>
        <w:spacing w:after="0"/>
        <w:rPr>
          <w:sz w:val="20"/>
          <w:szCs w:val="20"/>
          <w:color w:val="auto"/>
        </w:rPr>
      </w:pPr>
      <w:r>
        <w:rPr>
          <w:rFonts w:ascii="Arial" w:cs="Arial" w:eastAsia="Arial" w:hAnsi="Arial"/>
          <w:sz w:val="16"/>
          <w:szCs w:val="16"/>
          <w:b w:val="1"/>
          <w:bCs w:val="1"/>
          <w:color w:val="auto"/>
        </w:rPr>
        <w:t>Exhibit 10.2</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A320 Family Aircraft Purchase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made July 20, 2011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AIRBUS S.A.S.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Amendment No. 5 to the A320 Family Purchase Agreement made July 20, 2011 (as amended, supplemented or otherwise modified, hereinafter referred to as the “</w:t>
      </w:r>
      <w:r>
        <w:rPr>
          <w:rFonts w:ascii="Arial" w:cs="Arial" w:eastAsia="Arial" w:hAnsi="Arial"/>
          <w:sz w:val="17"/>
          <w:szCs w:val="17"/>
          <w:b w:val="1"/>
          <w:bCs w:val="1"/>
          <w:color w:val="auto"/>
        </w:rPr>
        <w:t>Amendment</w:t>
      </w:r>
      <w:r>
        <w:rPr>
          <w:rFonts w:ascii="Arial" w:cs="Arial" w:eastAsia="Arial" w:hAnsi="Arial"/>
          <w:sz w:val="17"/>
          <w:szCs w:val="17"/>
          <w:color w:val="auto"/>
        </w:rPr>
        <w:t xml:space="preserve">”), entered into as of June 24, 2014, by and between </w:t>
      </w:r>
      <w:r>
        <w:rPr>
          <w:rFonts w:ascii="Arial" w:cs="Arial" w:eastAsia="Arial" w:hAnsi="Arial"/>
          <w:sz w:val="17"/>
          <w:szCs w:val="17"/>
          <w:b w:val="1"/>
          <w:bCs w:val="1"/>
          <w:color w:val="auto"/>
        </w:rPr>
        <w:t>AIRBUS S.A.S</w:t>
      </w:r>
      <w:r>
        <w:rPr>
          <w:rFonts w:ascii="Arial" w:cs="Arial" w:eastAsia="Arial" w:hAnsi="Arial"/>
          <w:sz w:val="17"/>
          <w:szCs w:val="17"/>
          <w:color w:val="auto"/>
        </w:rPr>
        <w:t xml:space="preserve">., a </w:t>
      </w:r>
      <w:r>
        <w:rPr>
          <w:rFonts w:ascii="Arial" w:cs="Arial" w:eastAsia="Arial" w:hAnsi="Arial"/>
          <w:sz w:val="17"/>
          <w:szCs w:val="17"/>
          <w:i w:val="1"/>
          <w:iCs w:val="1"/>
          <w:color w:val="auto"/>
        </w:rPr>
        <w:t>société par actions simplifiée</w:t>
      </w:r>
      <w:r>
        <w:rPr>
          <w:rFonts w:ascii="Arial" w:cs="Arial" w:eastAsia="Arial" w:hAnsi="Arial"/>
          <w:sz w:val="17"/>
          <w:szCs w:val="17"/>
          <w:color w:val="auto"/>
        </w:rPr>
        <w:t xml:space="preserve">, created and existing under French law having its registered office at 1 Rond-Point Maurice Bellonte, 31707 Blagnac-Cedex, France and registered with the Toulouse </w:t>
      </w:r>
      <w:r>
        <w:rPr>
          <w:rFonts w:ascii="Arial" w:cs="Arial" w:eastAsia="Arial" w:hAnsi="Arial"/>
          <w:sz w:val="17"/>
          <w:szCs w:val="17"/>
          <w:i w:val="1"/>
          <w:iCs w:val="1"/>
          <w:color w:val="auto"/>
        </w:rPr>
        <w:t>Registre du</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Commerce </w:t>
      </w:r>
      <w:r>
        <w:rPr>
          <w:rFonts w:ascii="Arial" w:cs="Arial" w:eastAsia="Arial" w:hAnsi="Arial"/>
          <w:sz w:val="17"/>
          <w:szCs w:val="17"/>
          <w:color w:val="auto"/>
        </w:rPr>
        <w:t>under number RCS Toulouse 383 474 814 (the “</w:t>
      </w:r>
      <w:r>
        <w:rPr>
          <w:rFonts w:ascii="Arial" w:cs="Arial" w:eastAsia="Arial" w:hAnsi="Arial"/>
          <w:sz w:val="17"/>
          <w:szCs w:val="17"/>
          <w:b w:val="1"/>
          <w:bCs w:val="1"/>
          <w:color w:val="auto"/>
        </w:rPr>
        <w:t>Seller</w:t>
      </w:r>
      <w:r>
        <w:rPr>
          <w:rFonts w:ascii="Arial" w:cs="Arial" w:eastAsia="Arial" w:hAnsi="Arial"/>
          <w:sz w:val="17"/>
          <w:szCs w:val="17"/>
          <w:color w:val="auto"/>
        </w:rPr>
        <w:t>”), and</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AMERICAN AIRLINES, INC</w:t>
      </w:r>
      <w:r>
        <w:rPr>
          <w:rFonts w:ascii="Arial" w:cs="Arial" w:eastAsia="Arial" w:hAnsi="Arial"/>
          <w:sz w:val="17"/>
          <w:szCs w:val="17"/>
          <w:color w:val="auto"/>
        </w:rPr>
        <w:t>., a Delaware corporation having its principal office</w:t>
      </w:r>
      <w:r>
        <w:rPr>
          <w:rFonts w:ascii="Arial" w:cs="Arial" w:eastAsia="Arial" w:hAnsi="Arial"/>
          <w:sz w:val="17"/>
          <w:szCs w:val="17"/>
          <w:i w:val="1"/>
          <w:iCs w:val="1"/>
          <w:color w:val="auto"/>
        </w:rPr>
        <w:t xml:space="preserve"> </w:t>
      </w:r>
      <w:r>
        <w:rPr>
          <w:rFonts w:ascii="Arial" w:cs="Arial" w:eastAsia="Arial" w:hAnsi="Arial"/>
          <w:sz w:val="17"/>
          <w:szCs w:val="17"/>
          <w:color w:val="auto"/>
        </w:rPr>
        <w:t>at 4333 Amon Carter Boulevard, Fort Worth, Texas 76155, United States of America (the “</w:t>
      </w:r>
      <w:r>
        <w:rPr>
          <w:rFonts w:ascii="Arial" w:cs="Arial" w:eastAsia="Arial" w:hAnsi="Arial"/>
          <w:sz w:val="17"/>
          <w:szCs w:val="17"/>
          <w:b w:val="1"/>
          <w:bCs w:val="1"/>
          <w:color w:val="auto"/>
        </w:rPr>
        <w:t>Buyer</w:t>
      </w:r>
      <w:r>
        <w:rPr>
          <w:rFonts w:ascii="Arial" w:cs="Arial" w:eastAsia="Arial" w:hAnsi="Arial"/>
          <w:sz w:val="17"/>
          <w:szCs w:val="17"/>
          <w:color w:val="auto"/>
        </w:rPr>
        <w: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WHEREAS, the Buyer and the Seller entered into an Airbus A320 Family Aircraft Purchase Agreement, made July 20, 2011, which, together with all Exhibits, Appendices and Letter Agreements attached thereto and as amended, modified or supplemented from time to time is hereinafter called 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WHEREAS, the Buyer and the Seller have agreed to modify certain terms relating to new engine models;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IT IS AGREED AS FOLLOWS: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capitalized terms used herein and not otherwise defined in this Amendment will have the meanings assigned to them in the Agreement. The terms “herein,” “hereof,” and “hereunder” and words of similar import refer to this Amendment.</w:t>
      </w:r>
    </w:p>
    <w:p>
      <w:pPr>
        <w:spacing w:after="0" w:line="315"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ENGINE SELECTION</w:t>
      </w:r>
    </w:p>
    <w:p>
      <w:pPr>
        <w:spacing w:after="0" w:line="135" w:lineRule="exact"/>
        <w:rPr>
          <w:sz w:val="20"/>
          <w:szCs w:val="20"/>
          <w:color w:val="auto"/>
        </w:rPr>
      </w:pPr>
    </w:p>
    <w:p>
      <w:pPr>
        <w:jc w:val="both"/>
        <w:ind w:left="460" w:hanging="445"/>
        <w:spacing w:after="0" w:line="264" w:lineRule="auto"/>
        <w:tabs>
          <w:tab w:leader="none" w:pos="440" w:val="left"/>
        </w:tabs>
        <w:rPr>
          <w:sz w:val="20"/>
          <w:szCs w:val="20"/>
          <w:color w:val="auto"/>
        </w:rPr>
      </w:pPr>
      <w:r>
        <w:rPr>
          <w:rFonts w:ascii="Arial" w:cs="Arial" w:eastAsia="Arial" w:hAnsi="Arial"/>
          <w:sz w:val="18"/>
          <w:szCs w:val="18"/>
          <w:color w:val="auto"/>
        </w:rPr>
        <w:t>1.1</w:t>
        <w:tab/>
        <w:t>Clause 0 (Definitions) of the Agreement is hereby amended by deleting the definitions for A319 NEO Group 1 Aircraft, A320 NEO Group 1 Aircraft, A321 NEO Group 1 Aircraft, Base Price of the Propulsion System, and Propulsion System Reference Price in their entirety and replacing such definitions with the following quoted text in alphabetical order:</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SPH-2122766-6 / CT1001520</w:t>
      </w:r>
    </w:p>
    <w:p>
      <w:pPr>
        <w:sectPr>
          <w:pgSz w:w="11900" w:h="16838" w:orient="portrait"/>
          <w:cols w:equalWidth="0" w:num="1">
            <w:col w:w="11420"/>
          </w:cols>
          <w:pgMar w:left="240" w:top="121" w:right="239" w:bottom="1440" w:gutter="0" w:footer="0" w:header="0"/>
        </w:sectPr>
      </w:pPr>
    </w:p>
    <w:bookmarkStart w:id="115" w:name="page116"/>
    <w:bookmarkEnd w:id="11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QUOTE</w:t>
      </w:r>
    </w:p>
    <w:p>
      <w:pPr>
        <w:spacing w:after="0" w:line="117" w:lineRule="exact"/>
        <w:rPr>
          <w:sz w:val="20"/>
          <w:szCs w:val="20"/>
          <w:color w:val="auto"/>
        </w:rPr>
      </w:pPr>
    </w:p>
    <w:p>
      <w:pPr>
        <w:jc w:val="both"/>
        <w:ind w:left="460" w:right="20"/>
        <w:spacing w:after="0" w:line="277" w:lineRule="auto"/>
        <w:rPr>
          <w:sz w:val="20"/>
          <w:szCs w:val="20"/>
          <w:color w:val="auto"/>
        </w:rPr>
      </w:pPr>
      <w:r>
        <w:rPr>
          <w:rFonts w:ascii="Arial" w:cs="Arial" w:eastAsia="Arial" w:hAnsi="Arial"/>
          <w:sz w:val="18"/>
          <w:szCs w:val="18"/>
          <w:u w:val="single" w:color="auto"/>
          <w:color w:val="auto"/>
        </w:rPr>
        <w:t>A319 NEO Group 1 Aircraft</w:t>
      </w:r>
      <w:r>
        <w:rPr>
          <w:rFonts w:ascii="Arial" w:cs="Arial" w:eastAsia="Arial" w:hAnsi="Arial"/>
          <w:sz w:val="18"/>
          <w:szCs w:val="18"/>
          <w:color w:val="auto"/>
        </w:rPr>
        <w:t xml:space="preserve"> – any or all of the A319 NEO Aircraft for which the Buyer has selected a Propulsion System manufactured by CFM pursuant to Clause 2.4.</w:t>
      </w:r>
    </w:p>
    <w:p>
      <w:pPr>
        <w:spacing w:after="0" w:line="62"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u w:val="single" w:color="auto"/>
          <w:color w:val="auto"/>
        </w:rPr>
        <w:t>A320 NEO Group 1 Aircraft</w:t>
      </w:r>
      <w:r>
        <w:rPr>
          <w:rFonts w:ascii="Arial" w:cs="Arial" w:eastAsia="Arial" w:hAnsi="Arial"/>
          <w:sz w:val="18"/>
          <w:szCs w:val="18"/>
          <w:color w:val="auto"/>
        </w:rPr>
        <w:t xml:space="preserve"> – any or all of the A320 NEO Aircraft for which the Buyer has selected a Propulsion System manufactured by CFM pursuant to Clause 2.4.</w:t>
      </w:r>
    </w:p>
    <w:p>
      <w:pPr>
        <w:spacing w:after="0" w:line="62" w:lineRule="exact"/>
        <w:rPr>
          <w:sz w:val="20"/>
          <w:szCs w:val="20"/>
          <w:color w:val="auto"/>
        </w:rPr>
      </w:pPr>
    </w:p>
    <w:p>
      <w:pPr>
        <w:jc w:val="both"/>
        <w:ind w:left="460" w:right="20"/>
        <w:spacing w:after="0" w:line="277" w:lineRule="auto"/>
        <w:rPr>
          <w:sz w:val="20"/>
          <w:szCs w:val="20"/>
          <w:color w:val="auto"/>
        </w:rPr>
      </w:pPr>
      <w:r>
        <w:rPr>
          <w:rFonts w:ascii="Arial" w:cs="Arial" w:eastAsia="Arial" w:hAnsi="Arial"/>
          <w:sz w:val="18"/>
          <w:szCs w:val="18"/>
          <w:u w:val="single" w:color="auto"/>
          <w:color w:val="auto"/>
        </w:rPr>
        <w:t>A321 NEO Group 1 Aircraft</w:t>
      </w:r>
      <w:r>
        <w:rPr>
          <w:rFonts w:ascii="Arial" w:cs="Arial" w:eastAsia="Arial" w:hAnsi="Arial"/>
          <w:sz w:val="18"/>
          <w:szCs w:val="18"/>
          <w:color w:val="auto"/>
        </w:rPr>
        <w:t xml:space="preserve"> – any or all of the A321 NEO Aircraft for which the Buyer has selected a Propulsion System manufactured by CFM pursuant to Clause 2.4.</w:t>
      </w:r>
    </w:p>
    <w:p>
      <w:pPr>
        <w:spacing w:after="0" w:line="62"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u w:val="single" w:color="auto"/>
          <w:color w:val="auto"/>
        </w:rPr>
        <w:t>Base Price of the Propulsion System</w:t>
      </w:r>
      <w:r>
        <w:rPr>
          <w:rFonts w:ascii="Arial" w:cs="Arial" w:eastAsia="Arial" w:hAnsi="Arial"/>
          <w:sz w:val="18"/>
          <w:szCs w:val="18"/>
          <w:color w:val="auto"/>
        </w:rPr>
        <w:t xml:space="preserve"> – the Engine A Base Price, the Engine B Base Price, the Engine C Base Price, the Engine D Base Price, the Engine E Base Price, the Engine F Base Price, the Engine G Base Price, the Engine H Base Price, the Engine I Base Price, the Engine J Base Price, the Engine K Base Price, the Engine L Base Price, the Engine M Base Price, the Engine N Base Price, the Engine O Base Price, or the Engine P Base Price, as applicable.</w:t>
      </w:r>
    </w:p>
    <w:p>
      <w:pPr>
        <w:spacing w:after="0" w:line="79" w:lineRule="exact"/>
        <w:rPr>
          <w:sz w:val="20"/>
          <w:szCs w:val="20"/>
          <w:color w:val="auto"/>
        </w:rPr>
      </w:pPr>
    </w:p>
    <w:p>
      <w:pPr>
        <w:jc w:val="both"/>
        <w:ind w:left="460"/>
        <w:spacing w:after="0" w:line="279" w:lineRule="auto"/>
        <w:rPr>
          <w:sz w:val="20"/>
          <w:szCs w:val="20"/>
          <w:color w:val="auto"/>
        </w:rPr>
      </w:pPr>
      <w:r>
        <w:rPr>
          <w:rFonts w:ascii="Arial" w:cs="Arial" w:eastAsia="Arial" w:hAnsi="Arial"/>
          <w:sz w:val="17"/>
          <w:szCs w:val="17"/>
          <w:u w:val="single" w:color="auto"/>
          <w:color w:val="auto"/>
        </w:rPr>
        <w:t>Propulsion System Reference Price</w:t>
      </w:r>
      <w:r>
        <w:rPr>
          <w:rFonts w:ascii="Arial" w:cs="Arial" w:eastAsia="Arial" w:hAnsi="Arial"/>
          <w:sz w:val="17"/>
          <w:szCs w:val="17"/>
          <w:color w:val="auto"/>
        </w:rPr>
        <w:t xml:space="preserve"> – the Engine A Reference Price, the Engine B Reference Price, the Engine C Reference Price, the Engine D Reference Price, the Engine E Reference Price, the Engine F Reference Price, the Engine G Reference Price, the Engine H Reference Price, the Engine I Reference Price, the Engine J Reference Price, the Engine K Reference Price, the Engine L Reference Price the Engine M Reference Price, the Engine N Reference Price, the Engine O Reference Price or the Engine P Reference Price, as applicable.</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UNQUOTE</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Clause 0 (Definitions) of the Agreement is hereby amended by adding the following quoted text in alphabetical order: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Engine M Base Price</w:t>
      </w:r>
      <w:r>
        <w:rPr>
          <w:rFonts w:ascii="Arial" w:cs="Arial" w:eastAsia="Arial" w:hAnsi="Arial"/>
          <w:sz w:val="18"/>
          <w:szCs w:val="18"/>
          <w:color w:val="auto"/>
        </w:rPr>
        <w:t xml:space="preserve"> – as defined in Clause 3.1.2.13.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Engine M Reference Price</w:t>
      </w:r>
      <w:r>
        <w:rPr>
          <w:rFonts w:ascii="Arial" w:cs="Arial" w:eastAsia="Arial" w:hAnsi="Arial"/>
          <w:sz w:val="18"/>
          <w:szCs w:val="18"/>
          <w:color w:val="auto"/>
        </w:rPr>
        <w:t xml:space="preserve"> – as defined in Clause 3.1.2.13.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Engine N Base Price</w:t>
      </w:r>
      <w:r>
        <w:rPr>
          <w:rFonts w:ascii="Arial" w:cs="Arial" w:eastAsia="Arial" w:hAnsi="Arial"/>
          <w:sz w:val="18"/>
          <w:szCs w:val="18"/>
          <w:color w:val="auto"/>
        </w:rPr>
        <w:t xml:space="preserve"> – as defined in Clause 3.1.2.14.</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Engine N Reference Price</w:t>
      </w:r>
      <w:r>
        <w:rPr>
          <w:rFonts w:ascii="Arial" w:cs="Arial" w:eastAsia="Arial" w:hAnsi="Arial"/>
          <w:sz w:val="18"/>
          <w:szCs w:val="18"/>
          <w:color w:val="auto"/>
        </w:rPr>
        <w:t xml:space="preserve"> – as defined in Clause 3.1.2.14.</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SPH-2122766-6 / CT1001520</w:t>
      </w:r>
    </w:p>
    <w:p>
      <w:pPr>
        <w:sectPr>
          <w:pgSz w:w="11900" w:h="16838" w:orient="portrait"/>
          <w:cols w:equalWidth="0" w:num="1">
            <w:col w:w="11420"/>
          </w:cols>
          <w:pgMar w:left="240" w:top="274" w:right="239" w:bottom="1440" w:gutter="0" w:footer="0" w:header="0"/>
        </w:sectPr>
      </w:pPr>
    </w:p>
    <w:bookmarkStart w:id="116" w:name="page117"/>
    <w:bookmarkEnd w:id="116"/>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Engine O Base Price</w:t>
      </w:r>
      <w:r>
        <w:rPr>
          <w:rFonts w:ascii="Arial" w:cs="Arial" w:eastAsia="Arial" w:hAnsi="Arial"/>
          <w:sz w:val="18"/>
          <w:szCs w:val="18"/>
          <w:color w:val="auto"/>
        </w:rPr>
        <w:t xml:space="preserve"> – as defined in Clause 3.1.2.15.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Engine O Reference Price</w:t>
      </w:r>
      <w:r>
        <w:rPr>
          <w:rFonts w:ascii="Arial" w:cs="Arial" w:eastAsia="Arial" w:hAnsi="Arial"/>
          <w:sz w:val="18"/>
          <w:szCs w:val="18"/>
          <w:color w:val="auto"/>
        </w:rPr>
        <w:t xml:space="preserve"> – as defined in Clause 3.1.2.15.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Engine P Base Price</w:t>
      </w:r>
      <w:r>
        <w:rPr>
          <w:rFonts w:ascii="Arial" w:cs="Arial" w:eastAsia="Arial" w:hAnsi="Arial"/>
          <w:sz w:val="18"/>
          <w:szCs w:val="18"/>
          <w:color w:val="auto"/>
        </w:rPr>
        <w:t xml:space="preserve"> – as defined in Clause 3.1.2.16.</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Engine P Reference Price</w:t>
      </w:r>
      <w:r>
        <w:rPr>
          <w:rFonts w:ascii="Arial" w:cs="Arial" w:eastAsia="Arial" w:hAnsi="Arial"/>
          <w:sz w:val="18"/>
          <w:szCs w:val="18"/>
          <w:color w:val="auto"/>
        </w:rPr>
        <w:t xml:space="preserve"> – as defined in Clause 3.1.2.16.</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UNQUOTE</w:t>
      </w:r>
    </w:p>
    <w:p>
      <w:pPr>
        <w:spacing w:after="0" w:line="131" w:lineRule="exact"/>
        <w:rPr>
          <w:sz w:val="20"/>
          <w:szCs w:val="20"/>
          <w:color w:val="auto"/>
        </w:rPr>
      </w:pPr>
    </w:p>
    <w:p>
      <w:pPr>
        <w:ind w:left="460" w:hanging="445"/>
        <w:spacing w:after="0" w:line="277" w:lineRule="auto"/>
        <w:tabs>
          <w:tab w:leader="none" w:pos="440" w:val="left"/>
        </w:tabs>
        <w:rPr>
          <w:sz w:val="20"/>
          <w:szCs w:val="20"/>
          <w:color w:val="auto"/>
        </w:rPr>
      </w:pPr>
      <w:r>
        <w:rPr>
          <w:rFonts w:ascii="Arial" w:cs="Arial" w:eastAsia="Arial" w:hAnsi="Arial"/>
          <w:sz w:val="18"/>
          <w:szCs w:val="18"/>
          <w:color w:val="auto"/>
        </w:rPr>
        <w:t>1.3</w:t>
        <w:tab/>
        <w:t>Clause 2.4.4 of the Agreement is amended by replacing “LEAP-X1A24” with “LEAP-1A24 or LEAP-1A26” and replacing “PW1124G” with “PW1124G-JM or PW1127G1-JM”.</w:t>
      </w:r>
    </w:p>
    <w:p>
      <w:pPr>
        <w:spacing w:after="0" w:line="7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Clause 2.4.5 of the Agreement is amended by replacing “LEAP-X1A26” with “LEAP-1A26” and replacing “PW1127G” with “PW1127G-JM”.</w:t>
      </w:r>
    </w:p>
    <w:p>
      <w:pPr>
        <w:spacing w:after="0" w:line="131" w:lineRule="exact"/>
        <w:rPr>
          <w:sz w:val="20"/>
          <w:szCs w:val="20"/>
          <w:color w:val="auto"/>
        </w:rPr>
      </w:pPr>
    </w:p>
    <w:p>
      <w:pPr>
        <w:ind w:left="460" w:right="20" w:hanging="445"/>
        <w:spacing w:after="0" w:line="277" w:lineRule="auto"/>
        <w:tabs>
          <w:tab w:leader="none" w:pos="440" w:val="left"/>
        </w:tabs>
        <w:rPr>
          <w:sz w:val="20"/>
          <w:szCs w:val="20"/>
          <w:color w:val="auto"/>
        </w:rPr>
      </w:pPr>
      <w:r>
        <w:rPr>
          <w:rFonts w:ascii="Arial" w:cs="Arial" w:eastAsia="Arial" w:hAnsi="Arial"/>
          <w:sz w:val="18"/>
          <w:szCs w:val="18"/>
          <w:color w:val="auto"/>
        </w:rPr>
        <w:t>1.5</w:t>
        <w:tab/>
        <w:t>Clause 2.4.6 of the Agreement is amended by replacing “LEAP-X1A32” with “LEAP-1A32, LEAP-1A33 or LEAP-1A33B2” and replacing “PW1133G” with “PW1133G-JM or PW1133G1-JM”.</w:t>
      </w:r>
    </w:p>
    <w:p>
      <w:pPr>
        <w:spacing w:after="0" w:line="7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Clause 3.1.1.8 of the Agreement is hereby deleted in its entirety and replaced with the following quoted text: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QUOTE</w:t>
      </w:r>
    </w:p>
    <w:p>
      <w:pPr>
        <w:spacing w:after="0" w:line="131"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3.1.1.8</w:t>
      </w:r>
      <w:r>
        <w:rPr>
          <w:sz w:val="20"/>
          <w:szCs w:val="20"/>
          <w:color w:val="auto"/>
        </w:rPr>
        <w:tab/>
      </w:r>
      <w:r>
        <w:rPr>
          <w:rFonts w:ascii="Arial" w:cs="Arial" w:eastAsia="Arial" w:hAnsi="Arial"/>
          <w:sz w:val="16"/>
          <w:szCs w:val="16"/>
          <w:color w:val="auto"/>
        </w:rPr>
        <w:t>Base Price of the A321 NEO Group 1 Airframe</w:t>
      </w:r>
    </w:p>
    <w:p>
      <w:pPr>
        <w:spacing w:after="0" w:line="11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Base Price of the A321 NEO Group 1 Airframe</w:t>
      </w:r>
      <w:r>
        <w:rPr>
          <w:rFonts w:ascii="Arial" w:cs="Arial" w:eastAsia="Arial" w:hAnsi="Arial"/>
          <w:sz w:val="18"/>
          <w:szCs w:val="18"/>
          <w:color w:val="auto"/>
        </w:rPr>
        <w:t>” is the sum of the following base prices:</w:t>
      </w:r>
    </w:p>
    <w:p>
      <w:pPr>
        <w:spacing w:after="0" w:line="135" w:lineRule="exact"/>
        <w:rPr>
          <w:sz w:val="20"/>
          <w:szCs w:val="20"/>
          <w:color w:val="auto"/>
        </w:rPr>
      </w:pPr>
    </w:p>
    <w:p>
      <w:pPr>
        <w:ind w:left="1700" w:hanging="558"/>
        <w:spacing w:after="0" w:line="277" w:lineRule="auto"/>
        <w:tabs>
          <w:tab w:leader="none" w:pos="1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base price of the A321 NEO Airframe as defined in the A321 Standard Specification (excluding Buyer Furnished Equipment), including nacelles and thrust reversers, is:</w:t>
      </w:r>
    </w:p>
    <w:p>
      <w:pPr>
        <w:spacing w:after="0" w:line="62"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US$ [*CTR]</w:t>
      </w:r>
    </w:p>
    <w:p>
      <w:pPr>
        <w:spacing w:after="0" w:line="117"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(US dollars – [*CTR]) and</w:t>
      </w:r>
    </w:p>
    <w:p>
      <w:pPr>
        <w:spacing w:after="0" w:line="130" w:lineRule="exact"/>
        <w:rPr>
          <w:rFonts w:ascii="Arial" w:cs="Arial" w:eastAsia="Arial" w:hAnsi="Arial"/>
          <w:sz w:val="18"/>
          <w:szCs w:val="18"/>
          <w:color w:val="auto"/>
        </w:rPr>
      </w:pPr>
    </w:p>
    <w:p>
      <w:pPr>
        <w:ind w:left="1700" w:right="20" w:hanging="558"/>
        <w:spacing w:after="0" w:line="277" w:lineRule="auto"/>
        <w:tabs>
          <w:tab w:leader="none" w:pos="1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sum of the base prices of any and all SCNs (other than Irrevocable SCNs to the extent included in clause (iii) below) set forth in Exhibit A-7 is:</w:t>
      </w:r>
    </w:p>
    <w:p>
      <w:pPr>
        <w:spacing w:after="0" w:line="62"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US$ [*CTR]</w:t>
      </w:r>
    </w:p>
    <w:p>
      <w:pPr>
        <w:sectPr>
          <w:pgSz w:w="11900" w:h="16838" w:orient="portrait"/>
          <w:cols w:equalWidth="0" w:num="1">
            <w:col w:w="11420"/>
          </w:cols>
          <w:pgMar w:left="240" w:top="274"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AMD 5AAL_A320Family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SPH-2122766-6 / CT1001520</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[*CTR] = [CONFIDENTIAL PORTION OMITTED AND FILED SEPARATELY WITH THE COMMISSION</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PURSUANT TO A REQUEST FOR CONFIDENTIAL TREATMENT]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Page 3</w:t>
      </w:r>
    </w:p>
    <w:p>
      <w:pPr>
        <w:sectPr>
          <w:pgSz w:w="11900" w:h="16838" w:orient="portrait"/>
          <w:cols w:equalWidth="0" w:num="2">
            <w:col w:w="10220" w:space="720"/>
            <w:col w:w="480"/>
          </w:cols>
          <w:pgMar w:left="240" w:top="274" w:right="239" w:bottom="1440" w:gutter="0" w:footer="0" w:header="0"/>
          <w:type w:val="continuous"/>
        </w:sectPr>
      </w:pPr>
    </w:p>
    <w:bookmarkStart w:id="117" w:name="page118"/>
    <w:bookmarkEnd w:id="117"/>
    <w:p>
      <w:pPr>
        <w:ind w:left="17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dollars – [*CTR]) and</w:t>
      </w:r>
    </w:p>
    <w:p>
      <w:pPr>
        <w:spacing w:after="0" w:line="131" w:lineRule="exact"/>
        <w:rPr>
          <w:sz w:val="20"/>
          <w:szCs w:val="20"/>
          <w:color w:val="auto"/>
        </w:rPr>
      </w:pPr>
    </w:p>
    <w:p>
      <w:pPr>
        <w:ind w:left="1700" w:hanging="558"/>
        <w:spacing w:after="0"/>
        <w:tabs>
          <w:tab w:leader="none" w:pos="17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sum of the Irrevocable SCNs set forth in Exhibit A-7 is the sum of:</w:t>
      </w:r>
    </w:p>
    <w:p>
      <w:pPr>
        <w:spacing w:after="0" w:line="131" w:lineRule="exact"/>
        <w:rPr>
          <w:sz w:val="20"/>
          <w:szCs w:val="20"/>
          <w:color w:val="auto"/>
        </w:rPr>
      </w:pPr>
    </w:p>
    <w:p>
      <w:pPr>
        <w:ind w:left="2180" w:right="6120" w:hanging="470"/>
        <w:spacing w:after="0" w:line="375" w:lineRule="auto"/>
        <w:tabs>
          <w:tab w:leader="none" w:pos="2159"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base price of the New Engine Option is: US$ [*CTR]</w:t>
      </w:r>
    </w:p>
    <w:p>
      <w:pPr>
        <w:spacing w:after="0" w:line="1"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(US dollars – [*CTR]) and</w:t>
      </w:r>
    </w:p>
    <w:p>
      <w:pPr>
        <w:spacing w:after="0" w:line="130" w:lineRule="exact"/>
        <w:rPr>
          <w:rFonts w:ascii="Arial" w:cs="Arial" w:eastAsia="Arial" w:hAnsi="Arial"/>
          <w:sz w:val="18"/>
          <w:szCs w:val="18"/>
          <w:color w:val="auto"/>
        </w:rPr>
      </w:pPr>
    </w:p>
    <w:p>
      <w:pPr>
        <w:ind w:left="2160" w:hanging="450"/>
        <w:spacing w:after="0"/>
        <w:tabs>
          <w:tab w:leader="none" w:pos="2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base price of the Sharklets is:</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US$ [*CTR]</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(US dollars – [*CTR]) and</w:t>
      </w:r>
    </w:p>
    <w:p>
      <w:pPr>
        <w:spacing w:after="0" w:line="131" w:lineRule="exact"/>
        <w:rPr>
          <w:sz w:val="20"/>
          <w:szCs w:val="20"/>
          <w:color w:val="auto"/>
        </w:rPr>
      </w:pPr>
    </w:p>
    <w:p>
      <w:pPr>
        <w:ind w:left="1720" w:right="2820" w:hanging="578"/>
        <w:spacing w:after="0" w:line="375" w:lineRule="auto"/>
        <w:tabs>
          <w:tab w:leader="none" w:pos="171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base price of the Master Charge Engine at delivery conditions prevailing in January 2010 is: US$ [*CTR]</w:t>
      </w:r>
    </w:p>
    <w:p>
      <w:pPr>
        <w:spacing w:after="0" w:line="1"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(US dollars – [*CTR]) and</w:t>
      </w:r>
    </w:p>
    <w:p>
      <w:pPr>
        <w:spacing w:after="0" w:line="130" w:lineRule="exact"/>
        <w:rPr>
          <w:rFonts w:ascii="Arial" w:cs="Arial" w:eastAsia="Arial" w:hAnsi="Arial"/>
          <w:sz w:val="18"/>
          <w:szCs w:val="18"/>
          <w:color w:val="auto"/>
        </w:rPr>
      </w:pPr>
    </w:p>
    <w:p>
      <w:pPr>
        <w:ind w:left="1700" w:hanging="558"/>
        <w:spacing w:after="0" w:line="277" w:lineRule="auto"/>
        <w:tabs>
          <w:tab w:leader="none" w:pos="1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event the Buyer selects the LEAP-1A33B2 as the A321 Propulsion System pursuant to Clause 2.4 hereof, the base price of the airframe SCN related thereto is:</w:t>
      </w:r>
    </w:p>
    <w:p>
      <w:pPr>
        <w:spacing w:after="0" w:line="6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US$ [*CTR]</w:t>
      </w:r>
    </w:p>
    <w:p>
      <w:pPr>
        <w:spacing w:after="0" w:line="11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(US dollars – [*CTR]).</w:t>
      </w:r>
    </w:p>
    <w:p>
      <w:pPr>
        <w:spacing w:after="0" w:line="117" w:lineRule="exact"/>
        <w:rPr>
          <w:sz w:val="20"/>
          <w:szCs w:val="20"/>
          <w:color w:val="auto"/>
        </w:rPr>
      </w:pPr>
    </w:p>
    <w:p>
      <w:pPr>
        <w:ind w:left="1140" w:right="20"/>
        <w:spacing w:after="0" w:line="277" w:lineRule="auto"/>
        <w:rPr>
          <w:sz w:val="20"/>
          <w:szCs w:val="20"/>
          <w:color w:val="auto"/>
        </w:rPr>
      </w:pPr>
      <w:r>
        <w:rPr>
          <w:rFonts w:ascii="Arial" w:cs="Arial" w:eastAsia="Arial" w:hAnsi="Arial"/>
          <w:sz w:val="18"/>
          <w:szCs w:val="18"/>
          <w:color w:val="auto"/>
        </w:rPr>
        <w:t>The Base Price of the A321 NEO Group 1 Airframe has been established in accordance with the average economic conditions prevailing in the A320 Family NEO Base Period.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UNQUOTE</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Clause 3.1.1.9 of the Agreement is hereby deleted in its entirety and replaced with the following quoted text: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QUOTE</w:t>
      </w:r>
    </w:p>
    <w:p>
      <w:pPr>
        <w:spacing w:after="0" w:line="131"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3.1.1.9</w:t>
      </w:r>
      <w:r>
        <w:rPr>
          <w:sz w:val="20"/>
          <w:szCs w:val="20"/>
          <w:color w:val="auto"/>
        </w:rPr>
        <w:tab/>
      </w:r>
      <w:r>
        <w:rPr>
          <w:rFonts w:ascii="Arial" w:cs="Arial" w:eastAsia="Arial" w:hAnsi="Arial"/>
          <w:sz w:val="16"/>
          <w:szCs w:val="16"/>
          <w:color w:val="auto"/>
        </w:rPr>
        <w:t>Base Price of the A321 NEO Group 2 Airframe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SPH-2122766-9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[*CTR] = [CONFIDENTIAL PORTION OMITTED AND FILED SEPARATELY WITH THE COMMISSION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A REQUEST FOR CONFIDENTIAL TREATMENT]</w:t>
      </w:r>
    </w:p>
    <w:p>
      <w:pPr>
        <w:sectPr>
          <w:pgSz w:w="11900" w:h="16838" w:orient="portrait"/>
          <w:cols w:equalWidth="0" w:num="1">
            <w:col w:w="11420"/>
          </w:cols>
          <w:pgMar w:left="240" w:top="274" w:right="239" w:bottom="1440" w:gutter="0" w:footer="0" w:header="0"/>
        </w:sectPr>
      </w:pPr>
    </w:p>
    <w:bookmarkStart w:id="118" w:name="page119"/>
    <w:bookmarkEnd w:id="118"/>
    <w:p>
      <w:pPr>
        <w:ind w:left="1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w:t>
      </w:r>
      <w:r>
        <w:rPr>
          <w:rFonts w:ascii="Arial" w:cs="Arial" w:eastAsia="Arial" w:hAnsi="Arial"/>
          <w:sz w:val="18"/>
          <w:szCs w:val="18"/>
          <w:b w:val="1"/>
          <w:bCs w:val="1"/>
          <w:color w:val="auto"/>
        </w:rPr>
        <w:t>Base Price of the A321 NEO Group 2 Airframe</w:t>
      </w:r>
      <w:r>
        <w:rPr>
          <w:rFonts w:ascii="Arial" w:cs="Arial" w:eastAsia="Arial" w:hAnsi="Arial"/>
          <w:sz w:val="18"/>
          <w:szCs w:val="18"/>
          <w:color w:val="auto"/>
        </w:rPr>
        <w:t>” is the sum of the following base prices:</w:t>
      </w:r>
    </w:p>
    <w:p>
      <w:pPr>
        <w:spacing w:after="0" w:line="135" w:lineRule="exact"/>
        <w:rPr>
          <w:sz w:val="20"/>
          <w:szCs w:val="20"/>
          <w:color w:val="auto"/>
        </w:rPr>
      </w:pPr>
    </w:p>
    <w:p>
      <w:pPr>
        <w:ind w:left="1700" w:hanging="558"/>
        <w:spacing w:after="0" w:line="277" w:lineRule="auto"/>
        <w:tabs>
          <w:tab w:leader="none" w:pos="1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base price of the A321 NEO Airframe as defined in the A321 Standard Specification (excluding Buyer Furnished Equipment), including nacelles and thrust reversers, is:</w:t>
      </w:r>
    </w:p>
    <w:p>
      <w:pPr>
        <w:spacing w:after="0" w:line="62"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US$ [*CTR]</w:t>
      </w:r>
    </w:p>
    <w:p>
      <w:pPr>
        <w:spacing w:after="0" w:line="117"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(US dollars – [*CTR]) and</w:t>
      </w:r>
    </w:p>
    <w:p>
      <w:pPr>
        <w:spacing w:after="0" w:line="130" w:lineRule="exact"/>
        <w:rPr>
          <w:rFonts w:ascii="Arial" w:cs="Arial" w:eastAsia="Arial" w:hAnsi="Arial"/>
          <w:sz w:val="18"/>
          <w:szCs w:val="18"/>
          <w:color w:val="auto"/>
        </w:rPr>
      </w:pPr>
    </w:p>
    <w:p>
      <w:pPr>
        <w:ind w:left="1700" w:hanging="558"/>
        <w:spacing w:after="0" w:line="277" w:lineRule="auto"/>
        <w:tabs>
          <w:tab w:leader="none" w:pos="1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sum of the base prices of any and all SCNs (other than Irrevocable SCNs the extent included in clause (iii) below) set forth in Exhibit A-7 is:</w:t>
      </w:r>
    </w:p>
    <w:p>
      <w:pPr>
        <w:spacing w:after="0" w:line="62"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US$ [*CTR]</w:t>
      </w:r>
    </w:p>
    <w:p>
      <w:pPr>
        <w:spacing w:after="0" w:line="117"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(US dollars – [*CTR]) and</w:t>
      </w:r>
    </w:p>
    <w:p>
      <w:pPr>
        <w:spacing w:after="0" w:line="130" w:lineRule="exact"/>
        <w:rPr>
          <w:rFonts w:ascii="Arial" w:cs="Arial" w:eastAsia="Arial" w:hAnsi="Arial"/>
          <w:sz w:val="18"/>
          <w:szCs w:val="18"/>
          <w:color w:val="auto"/>
        </w:rPr>
      </w:pPr>
    </w:p>
    <w:p>
      <w:pPr>
        <w:ind w:left="1700" w:hanging="558"/>
        <w:spacing w:after="0"/>
        <w:tabs>
          <w:tab w:leader="none" w:pos="17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sum of the Irrevocable SCNs set forth in Exhibit A-7 is the sum of:</w:t>
      </w:r>
    </w:p>
    <w:p>
      <w:pPr>
        <w:spacing w:after="0" w:line="131" w:lineRule="exact"/>
        <w:rPr>
          <w:sz w:val="20"/>
          <w:szCs w:val="20"/>
          <w:color w:val="auto"/>
        </w:rPr>
      </w:pPr>
    </w:p>
    <w:p>
      <w:pPr>
        <w:ind w:left="2180" w:right="6120" w:hanging="470"/>
        <w:spacing w:after="0" w:line="375" w:lineRule="auto"/>
        <w:tabs>
          <w:tab w:leader="none" w:pos="2159"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base price of the New Engine Option is: US$ [*CTR]</w:t>
      </w:r>
    </w:p>
    <w:p>
      <w:pPr>
        <w:spacing w:after="0" w:line="1"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(US dollars – [*CTR]) and</w:t>
      </w:r>
    </w:p>
    <w:p>
      <w:pPr>
        <w:spacing w:after="0" w:line="130" w:lineRule="exact"/>
        <w:rPr>
          <w:rFonts w:ascii="Arial" w:cs="Arial" w:eastAsia="Arial" w:hAnsi="Arial"/>
          <w:sz w:val="18"/>
          <w:szCs w:val="18"/>
          <w:color w:val="auto"/>
        </w:rPr>
      </w:pPr>
    </w:p>
    <w:p>
      <w:pPr>
        <w:ind w:left="2160" w:hanging="450"/>
        <w:spacing w:after="0"/>
        <w:tabs>
          <w:tab w:leader="none" w:pos="2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base price of the Sharklets is:</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US$ [*CTR]</w:t>
      </w:r>
    </w:p>
    <w:p>
      <w:pPr>
        <w:spacing w:after="0" w:line="117"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(US dollars – [*CTR]) and</w:t>
      </w:r>
    </w:p>
    <w:p>
      <w:pPr>
        <w:spacing w:after="0" w:line="131" w:lineRule="exact"/>
        <w:rPr>
          <w:sz w:val="20"/>
          <w:szCs w:val="20"/>
          <w:color w:val="auto"/>
        </w:rPr>
      </w:pPr>
    </w:p>
    <w:p>
      <w:pPr>
        <w:ind w:left="1700" w:hanging="558"/>
        <w:spacing w:after="0" w:line="277" w:lineRule="auto"/>
        <w:tabs>
          <w:tab w:leader="none" w:pos="1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the event the Buyer selects the PW1133G1-JM as the A321 Propulsion System pursuant to Clause 2.4 hereof, the base price of the airframe SCN related thereto is:</w:t>
      </w:r>
    </w:p>
    <w:p>
      <w:pPr>
        <w:spacing w:after="0" w:line="6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US$ [*CTR]</w:t>
      </w:r>
    </w:p>
    <w:p>
      <w:pPr>
        <w:spacing w:after="0" w:line="11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(US dollars – [*CTR]).</w:t>
      </w:r>
    </w:p>
    <w:p>
      <w:pPr>
        <w:spacing w:after="0" w:line="117" w:lineRule="exact"/>
        <w:rPr>
          <w:sz w:val="20"/>
          <w:szCs w:val="20"/>
          <w:color w:val="auto"/>
        </w:rPr>
      </w:pPr>
    </w:p>
    <w:p>
      <w:pPr>
        <w:ind w:left="1140" w:right="20"/>
        <w:spacing w:after="0" w:line="277" w:lineRule="auto"/>
        <w:rPr>
          <w:sz w:val="20"/>
          <w:szCs w:val="20"/>
          <w:color w:val="auto"/>
        </w:rPr>
      </w:pPr>
      <w:r>
        <w:rPr>
          <w:rFonts w:ascii="Arial" w:cs="Arial" w:eastAsia="Arial" w:hAnsi="Arial"/>
          <w:sz w:val="18"/>
          <w:szCs w:val="18"/>
          <w:color w:val="auto"/>
        </w:rPr>
        <w:t>The Base Price of the A321 NEO Group 2 Airframe has been established in accordance with the average economic conditions prevailing in the A320 Family NEO Base Period.</w:t>
      </w:r>
    </w:p>
    <w:p>
      <w:pPr>
        <w:sectPr>
          <w:pgSz w:w="11900" w:h="16838" w:orient="portrait"/>
          <w:cols w:equalWidth="0" w:num="1">
            <w:col w:w="11420"/>
          </w:cols>
          <w:pgMar w:left="240" w:top="270" w:right="239" w:bottom="1440" w:gutter="0" w:footer="0" w:header="0"/>
        </w:sectPr>
      </w:pP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AMD 5AAL_A320Family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SPH-2122766-6 / CT1001520</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[*CTR] = [CONFIDENTIAL PORTION OMITTED AND FILED SEPARATELY WITH THE COMMISSION</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PURSUANT TO A REQUEST FOR CONFIDENTIAL TREATMENT]</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Page 5</w:t>
      </w:r>
    </w:p>
    <w:p>
      <w:pPr>
        <w:sectPr>
          <w:pgSz w:w="11900" w:h="16838" w:orient="portrait"/>
          <w:cols w:equalWidth="0" w:num="2">
            <w:col w:w="10220" w:space="720"/>
            <w:col w:w="480"/>
          </w:cols>
          <w:pgMar w:left="240" w:top="270" w:right="239" w:bottom="1440" w:gutter="0" w:footer="0" w:header="0"/>
          <w:type w:val="continuous"/>
        </w:sectPr>
      </w:pPr>
    </w:p>
    <w:bookmarkStart w:id="119" w:name="page120"/>
    <w:bookmarkEnd w:id="119"/>
    <w:p>
      <w:pPr>
        <w:spacing w:after="0" w:line="196" w:lineRule="auto"/>
        <w:framePr w:w="8120" w:h="160" w:wrap="auto" w:vAnchor="page" w:hAnchor="page" w:x="1900" w:y="6746"/>
        <w:rPr>
          <w:rFonts w:ascii="Arial" w:cs="Arial" w:eastAsia="Arial" w:hAnsi="Arial"/>
          <w:sz w:val="17"/>
          <w:szCs w:val="17"/>
          <w:color w:val="auto"/>
        </w:rPr>
      </w:pPr>
      <w:r>
        <w:rPr>
          <w:rFonts w:ascii="Arial" w:cs="Arial" w:eastAsia="Arial" w:hAnsi="Arial"/>
          <w:sz w:val="17"/>
          <w:szCs w:val="17"/>
          <w:color w:val="auto"/>
        </w:rPr>
        <w:t>[*CTR] = [CONFIDENTIAL PORTION OMITTED AND FILED SEPARATELY WITH THE COMMISSION</w:t>
      </w:r>
    </w:p>
    <w:p>
      <w:pPr>
        <w:spacing w:after="0" w:line="196" w:lineRule="auto"/>
        <w:framePr w:w="5280" w:h="160" w:wrap="auto" w:vAnchor="page" w:hAnchor="page" w:x="3320" w:y="6962"/>
        <w:rPr>
          <w:rFonts w:ascii="Arial" w:cs="Arial" w:eastAsia="Arial" w:hAnsi="Arial"/>
          <w:sz w:val="17"/>
          <w:szCs w:val="17"/>
          <w:color w:val="auto"/>
        </w:rPr>
      </w:pPr>
      <w:r>
        <w:rPr>
          <w:rFonts w:ascii="Arial" w:cs="Arial" w:eastAsia="Arial" w:hAnsi="Arial"/>
          <w:sz w:val="17"/>
          <w:szCs w:val="17"/>
          <w:color w:val="auto"/>
        </w:rPr>
        <w:t>PURSUANT TO A REQUEST FOR CONFIDENTIAL TREATMENT]</w:t>
      </w:r>
    </w:p>
    <w:p>
      <w:pPr>
        <w:spacing w:after="0" w:line="280" w:lineRule="auto"/>
        <w:framePr w:w="8060" w:h="485" w:wrap="auto" w:vAnchor="page" w:hAnchor="page" w:x="1560" w:y="5719"/>
        <w:rPr>
          <w:rFonts w:ascii="Arial" w:cs="Arial" w:eastAsia="Arial" w:hAnsi="Arial"/>
          <w:sz w:val="18"/>
          <w:szCs w:val="18"/>
          <w:color w:val="auto"/>
        </w:rPr>
      </w:pPr>
      <w:r>
        <w:rPr>
          <w:rFonts w:ascii="Arial" w:cs="Arial" w:eastAsia="Arial" w:hAnsi="Arial"/>
          <w:sz w:val="18"/>
          <w:szCs w:val="18"/>
          <w:color w:val="auto"/>
        </w:rPr>
        <w:t>The base price (the “</w:t>
      </w:r>
      <w:r>
        <w:rPr>
          <w:rFonts w:ascii="Arial" w:cs="Arial" w:eastAsia="Arial" w:hAnsi="Arial"/>
          <w:sz w:val="18"/>
          <w:szCs w:val="18"/>
          <w:b w:val="1"/>
          <w:bCs w:val="1"/>
          <w:color w:val="auto"/>
        </w:rPr>
        <w:t>Engine N Base Price</w:t>
      </w:r>
      <w:r>
        <w:rPr>
          <w:rFonts w:ascii="Arial" w:cs="Arial" w:eastAsia="Arial" w:hAnsi="Arial"/>
          <w:sz w:val="18"/>
          <w:szCs w:val="18"/>
          <w:color w:val="auto"/>
        </w:rPr>
        <w:t>”) of a set of two (2) CFM International LEAP –1A33B2 engines is: US$ [*CTR] (US dollars [*CTR])</w:t>
      </w:r>
    </w:p>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UNQUOTE</w:t>
      </w:r>
    </w:p>
    <w:p>
      <w:pPr>
        <w:spacing w:after="0" w:line="131" w:lineRule="exact"/>
        <w:rPr>
          <w:rFonts w:ascii="Arial" w:cs="Arial" w:eastAsia="Arial" w:hAnsi="Arial"/>
          <w:sz w:val="18"/>
          <w:szCs w:val="18"/>
          <w:color w:val="auto"/>
        </w:rPr>
      </w:pPr>
    </w:p>
    <w:p>
      <w:pPr>
        <w:spacing w:after="0"/>
        <w:tabs>
          <w:tab w:leader="none" w:pos="4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Clause 3.1.2.7 of the Agreement is amended by replacing “LEAP-X1A24” with “LEAP-1A24”.</w:t>
      </w:r>
    </w:p>
    <w:p>
      <w:pPr>
        <w:spacing w:after="0" w:line="131" w:lineRule="exact"/>
        <w:rPr>
          <w:rFonts w:ascii="Arial" w:cs="Arial" w:eastAsia="Arial" w:hAnsi="Arial"/>
          <w:sz w:val="18"/>
          <w:szCs w:val="18"/>
          <w:color w:val="auto"/>
        </w:rPr>
      </w:pPr>
    </w:p>
    <w:p>
      <w:pPr>
        <w:spacing w:after="0"/>
        <w:tabs>
          <w:tab w:leader="none" w:pos="4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Clause 3.1.2.8 of the Agreement is amended by replacing “LEAP-X1A26” with “LEAP-1A26”.</w:t>
      </w:r>
    </w:p>
    <w:p>
      <w:pPr>
        <w:spacing w:after="0" w:line="13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1.10  Clause 3.1.2.9 of the Agreement is amended by replacing “LEAP-X1A32” with “LEAP-1A32”.</w:t>
      </w:r>
    </w:p>
    <w:p>
      <w:pPr>
        <w:spacing w:after="0" w:line="131" w:lineRule="exact"/>
        <w:rPr>
          <w:rFonts w:ascii="Arial" w:cs="Arial" w:eastAsia="Arial" w:hAnsi="Arial"/>
          <w:sz w:val="18"/>
          <w:szCs w:val="18"/>
          <w:color w:val="auto"/>
        </w:rPr>
      </w:pPr>
    </w:p>
    <w:p>
      <w:pPr>
        <w:spacing w:after="0"/>
        <w:tabs>
          <w:tab w:leader="none" w:pos="4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Clause 3.1.2.10 of the Agreement is amended by replacing “PW1124G” with “PW1124G-JM”.</w:t>
      </w:r>
    </w:p>
    <w:p>
      <w:pPr>
        <w:spacing w:after="0" w:line="13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1.12  Clause 3.1.2.11 of the Agreement is amended by replacing “PW1127G” with “PW1127G-JM”.</w:t>
      </w:r>
    </w:p>
    <w:p>
      <w:pPr>
        <w:spacing w:after="0" w:line="13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1.13  Clause 3.1.2.12 of the Agreement is amended by replacing “PW1133G” with “PW1133G-JM”.</w:t>
      </w:r>
    </w:p>
    <w:p>
      <w:pPr>
        <w:spacing w:after="0" w:line="13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1.14  A new Clause 3.1.2.13 is added to the Agreement with the following quoted text:</w:t>
      </w:r>
    </w:p>
    <w:p>
      <w:pPr>
        <w:spacing w:after="0" w:line="117" w:lineRule="exact"/>
        <w:rPr>
          <w:rFonts w:ascii="Arial" w:cs="Arial" w:eastAsia="Arial" w:hAnsi="Arial"/>
          <w:sz w:val="18"/>
          <w:szCs w:val="18"/>
          <w:color w:val="auto"/>
        </w:rPr>
      </w:pPr>
    </w:p>
    <w:p>
      <w:pPr>
        <w:ind w:left="460"/>
        <w:spacing w:after="0"/>
        <w:rPr>
          <w:sz w:val="20"/>
          <w:szCs w:val="20"/>
          <w:color w:val="auto"/>
        </w:rPr>
      </w:pPr>
      <w:r>
        <w:rPr>
          <w:rFonts w:ascii="Arial" w:cs="Arial" w:eastAsia="Arial" w:hAnsi="Arial"/>
          <w:sz w:val="18"/>
          <w:szCs w:val="18"/>
          <w:color w:val="auto"/>
        </w:rPr>
        <w:t>QUOTE</w:t>
      </w:r>
    </w:p>
    <w:p>
      <w:pPr>
        <w:spacing w:after="0" w:line="127" w:lineRule="exact"/>
        <w:rPr>
          <w:rFonts w:ascii="Arial" w:cs="Arial" w:eastAsia="Arial" w:hAnsi="Arial"/>
          <w:sz w:val="18"/>
          <w:szCs w:val="18"/>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3.1.2.13</w:t>
      </w:r>
      <w:r>
        <w:rPr>
          <w:sz w:val="20"/>
          <w:szCs w:val="20"/>
          <w:color w:val="auto"/>
        </w:rPr>
        <w:tab/>
      </w:r>
      <w:r>
        <w:rPr>
          <w:rFonts w:ascii="Arial" w:cs="Arial" w:eastAsia="Arial" w:hAnsi="Arial"/>
          <w:sz w:val="16"/>
          <w:szCs w:val="16"/>
          <w:color w:val="auto"/>
        </w:rPr>
        <w:t>The base price (the “</w:t>
      </w:r>
      <w:r>
        <w:rPr>
          <w:rFonts w:ascii="Arial" w:cs="Arial" w:eastAsia="Arial" w:hAnsi="Arial"/>
          <w:sz w:val="16"/>
          <w:szCs w:val="16"/>
          <w:b w:val="1"/>
          <w:bCs w:val="1"/>
          <w:color w:val="auto"/>
        </w:rPr>
        <w:t>Engine M Base Price</w:t>
      </w:r>
      <w:r>
        <w:rPr>
          <w:rFonts w:ascii="Arial" w:cs="Arial" w:eastAsia="Arial" w:hAnsi="Arial"/>
          <w:sz w:val="16"/>
          <w:szCs w:val="16"/>
          <w:color w:val="auto"/>
        </w:rPr>
        <w:t>”) of a set of two (2) CFM International LEAP –1A33 engines is:</w:t>
      </w:r>
    </w:p>
    <w:p>
      <w:pPr>
        <w:spacing w:after="0" w:line="121" w:lineRule="exact"/>
        <w:rPr>
          <w:rFonts w:ascii="Arial" w:cs="Arial" w:eastAsia="Arial" w:hAnsi="Arial"/>
          <w:sz w:val="18"/>
          <w:szCs w:val="18"/>
          <w:color w:val="auto"/>
        </w:rPr>
      </w:pPr>
    </w:p>
    <w:p>
      <w:pPr>
        <w:ind w:left="1380"/>
        <w:spacing w:after="0"/>
        <w:rPr>
          <w:sz w:val="20"/>
          <w:szCs w:val="20"/>
          <w:color w:val="auto"/>
        </w:rPr>
      </w:pPr>
      <w:r>
        <w:rPr>
          <w:rFonts w:ascii="Arial" w:cs="Arial" w:eastAsia="Arial" w:hAnsi="Arial"/>
          <w:sz w:val="18"/>
          <w:szCs w:val="18"/>
          <w:color w:val="auto"/>
        </w:rPr>
        <w:t>US$ [*CTR] (US dollars [*CTR])</w:t>
      </w:r>
    </w:p>
    <w:p>
      <w:pPr>
        <w:spacing w:after="0" w:line="117" w:lineRule="exact"/>
        <w:rPr>
          <w:rFonts w:ascii="Arial" w:cs="Arial" w:eastAsia="Arial" w:hAnsi="Arial"/>
          <w:sz w:val="18"/>
          <w:szCs w:val="18"/>
          <w:color w:val="auto"/>
        </w:rPr>
      </w:pPr>
    </w:p>
    <w:p>
      <w:pPr>
        <w:jc w:val="both"/>
        <w:ind w:left="1380"/>
        <w:spacing w:after="0" w:line="264" w:lineRule="auto"/>
        <w:rPr>
          <w:sz w:val="20"/>
          <w:szCs w:val="20"/>
          <w:color w:val="auto"/>
        </w:rPr>
      </w:pPr>
      <w:r>
        <w:rPr>
          <w:rFonts w:ascii="Arial" w:cs="Arial" w:eastAsia="Arial" w:hAnsi="Arial"/>
          <w:sz w:val="18"/>
          <w:szCs w:val="18"/>
          <w:color w:val="auto"/>
        </w:rPr>
        <w:t>Said base price has been established in accordance with the delivery conditions prevailing in January 2010 and has been calculated from the reference price (the “</w:t>
      </w:r>
      <w:r>
        <w:rPr>
          <w:rFonts w:ascii="Arial" w:cs="Arial" w:eastAsia="Arial" w:hAnsi="Arial"/>
          <w:sz w:val="18"/>
          <w:szCs w:val="18"/>
          <w:b w:val="1"/>
          <w:bCs w:val="1"/>
          <w:color w:val="auto"/>
        </w:rPr>
        <w:t>Engine M Reference Price</w:t>
      </w:r>
      <w:r>
        <w:rPr>
          <w:rFonts w:ascii="Arial" w:cs="Arial" w:eastAsia="Arial" w:hAnsi="Arial"/>
          <w:sz w:val="18"/>
          <w:szCs w:val="18"/>
          <w:color w:val="auto"/>
        </w:rPr>
        <w:t>”) indicated by the Propulsion System Manufacturer of US$ [*CTR] (US dollars [*CTR]).</w:t>
      </w:r>
    </w:p>
    <w:p>
      <w:pPr>
        <w:spacing w:after="0" w:line="73" w:lineRule="exact"/>
        <w:rPr>
          <w:rFonts w:ascii="Arial" w:cs="Arial" w:eastAsia="Arial" w:hAnsi="Arial"/>
          <w:sz w:val="18"/>
          <w:szCs w:val="18"/>
          <w:color w:val="auto"/>
        </w:rPr>
      </w:pPr>
    </w:p>
    <w:p>
      <w:pPr>
        <w:ind w:left="460"/>
        <w:spacing w:after="0"/>
        <w:rPr>
          <w:sz w:val="20"/>
          <w:szCs w:val="20"/>
          <w:color w:val="auto"/>
        </w:rPr>
      </w:pPr>
      <w:r>
        <w:rPr>
          <w:rFonts w:ascii="Arial" w:cs="Arial" w:eastAsia="Arial" w:hAnsi="Arial"/>
          <w:sz w:val="18"/>
          <w:szCs w:val="18"/>
          <w:color w:val="auto"/>
        </w:rPr>
        <w:t>UNQUOTE</w:t>
      </w:r>
    </w:p>
    <w:p>
      <w:pPr>
        <w:spacing w:after="0" w:line="13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1.15  A new Clause 3.1.2.14 is added to the Agreement with the following quoted text:</w:t>
      </w:r>
    </w:p>
    <w:p>
      <w:pPr>
        <w:spacing w:after="0" w:line="117" w:lineRule="exact"/>
        <w:rPr>
          <w:rFonts w:ascii="Arial" w:cs="Arial" w:eastAsia="Arial" w:hAnsi="Arial"/>
          <w:sz w:val="18"/>
          <w:szCs w:val="18"/>
          <w:color w:val="auto"/>
        </w:rPr>
      </w:pPr>
    </w:p>
    <w:p>
      <w:pPr>
        <w:ind w:left="460" w:right="10340" w:firstLine="11"/>
        <w:spacing w:after="0" w:line="457" w:lineRule="auto"/>
        <w:rPr>
          <w:sz w:val="20"/>
          <w:szCs w:val="20"/>
          <w:color w:val="auto"/>
        </w:rPr>
      </w:pPr>
      <w:r>
        <w:rPr>
          <w:rFonts w:ascii="Arial" w:cs="Arial" w:eastAsia="Arial" w:hAnsi="Arial"/>
          <w:sz w:val="17"/>
          <w:szCs w:val="17"/>
          <w:color w:val="auto"/>
        </w:rPr>
        <w:t>QUOTE 3.1.2.14</w:t>
      </w:r>
    </w:p>
    <w:p>
      <w:pPr>
        <w:spacing w:after="0" w:line="31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SPH-2122766-9</w:t>
      </w:r>
    </w:p>
    <w:p>
      <w:pPr>
        <w:sectPr>
          <w:pgSz w:w="11900" w:h="16838" w:orient="portrait"/>
          <w:cols w:equalWidth="0" w:num="1">
            <w:col w:w="11420"/>
          </w:cols>
          <w:pgMar w:left="240" w:top="274" w:right="239" w:bottom="1440" w:gutter="0" w:footer="0" w:header="0"/>
        </w:sectPr>
      </w:pPr>
    </w:p>
    <w:bookmarkStart w:id="120" w:name="page121"/>
    <w:bookmarkEnd w:id="120"/>
    <w:p>
      <w:pPr>
        <w:ind w:left="11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Said base price has been established in accordance with the delivery conditions prevailing in January 2010 and has been calculated from the reference price (the “</w:t>
      </w:r>
      <w:r>
        <w:rPr>
          <w:rFonts w:ascii="Arial" w:cs="Arial" w:eastAsia="Arial" w:hAnsi="Arial"/>
          <w:sz w:val="16"/>
          <w:szCs w:val="16"/>
          <w:b w:val="1"/>
          <w:bCs w:val="1"/>
          <w:color w:val="auto"/>
        </w:rPr>
        <w:t>Engine N Reference Price</w:t>
      </w:r>
      <w:r>
        <w:rPr>
          <w:rFonts w:ascii="Arial" w:cs="Arial" w:eastAsia="Arial" w:hAnsi="Arial"/>
          <w:sz w:val="16"/>
          <w:szCs w:val="16"/>
          <w:color w:val="auto"/>
        </w:rPr>
        <w:t>”) indicated by the Propulsion System Manufacturer of US$ [*CTR] (US dollars [*CTR]).</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UNQUOTE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1.16  A new Clause 3.1.2.15 is added to the Agreement with the following quoted text: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QUOTE</w:t>
      </w:r>
    </w:p>
    <w:p>
      <w:pPr>
        <w:spacing w:after="0" w:line="127"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3.1.2.15</w:t>
      </w:r>
      <w:r>
        <w:rPr>
          <w:sz w:val="20"/>
          <w:szCs w:val="20"/>
          <w:color w:val="auto"/>
        </w:rPr>
        <w:tab/>
      </w:r>
      <w:r>
        <w:rPr>
          <w:rFonts w:ascii="Arial" w:cs="Arial" w:eastAsia="Arial" w:hAnsi="Arial"/>
          <w:sz w:val="16"/>
          <w:szCs w:val="16"/>
          <w:color w:val="auto"/>
        </w:rPr>
        <w:t>The base price (the “</w:t>
      </w:r>
      <w:r>
        <w:rPr>
          <w:rFonts w:ascii="Arial" w:cs="Arial" w:eastAsia="Arial" w:hAnsi="Arial"/>
          <w:sz w:val="16"/>
          <w:szCs w:val="16"/>
          <w:b w:val="1"/>
          <w:bCs w:val="1"/>
          <w:color w:val="auto"/>
        </w:rPr>
        <w:t>Engine O Base Price</w:t>
      </w:r>
      <w:r>
        <w:rPr>
          <w:rFonts w:ascii="Arial" w:cs="Arial" w:eastAsia="Arial" w:hAnsi="Arial"/>
          <w:sz w:val="16"/>
          <w:szCs w:val="16"/>
          <w:color w:val="auto"/>
        </w:rPr>
        <w:t>”) of a set of two (2) Pratt &amp; Whitney PW1127G1-JM engines is:</w:t>
      </w:r>
    </w:p>
    <w:p>
      <w:pPr>
        <w:spacing w:after="0" w:line="12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US$ [*CTR] (US dollars [*CTR])</w:t>
      </w:r>
    </w:p>
    <w:p>
      <w:pPr>
        <w:spacing w:after="0" w:line="117" w:lineRule="exact"/>
        <w:rPr>
          <w:sz w:val="20"/>
          <w:szCs w:val="20"/>
          <w:color w:val="auto"/>
        </w:rPr>
      </w:pPr>
    </w:p>
    <w:p>
      <w:pPr>
        <w:jc w:val="both"/>
        <w:ind w:left="1380"/>
        <w:spacing w:after="0" w:line="264" w:lineRule="auto"/>
        <w:rPr>
          <w:sz w:val="20"/>
          <w:szCs w:val="20"/>
          <w:color w:val="auto"/>
        </w:rPr>
      </w:pPr>
      <w:r>
        <w:rPr>
          <w:rFonts w:ascii="Arial" w:cs="Arial" w:eastAsia="Arial" w:hAnsi="Arial"/>
          <w:sz w:val="18"/>
          <w:szCs w:val="18"/>
          <w:color w:val="auto"/>
        </w:rPr>
        <w:t>Said base price has been established in accordance with the delivery conditions prevailing in January 2010 and has been calculated from the reference price (the “</w:t>
      </w:r>
      <w:r>
        <w:rPr>
          <w:rFonts w:ascii="Arial" w:cs="Arial" w:eastAsia="Arial" w:hAnsi="Arial"/>
          <w:sz w:val="18"/>
          <w:szCs w:val="18"/>
          <w:b w:val="1"/>
          <w:bCs w:val="1"/>
          <w:color w:val="auto"/>
        </w:rPr>
        <w:t>Engine O Reference Price</w:t>
      </w:r>
      <w:r>
        <w:rPr>
          <w:rFonts w:ascii="Arial" w:cs="Arial" w:eastAsia="Arial" w:hAnsi="Arial"/>
          <w:sz w:val="18"/>
          <w:szCs w:val="18"/>
          <w:color w:val="auto"/>
        </w:rPr>
        <w:t>”) indicated by the Propulsion System Manufacturer of US$ [*CTR] (US dollars [*CTR]).</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UNQUOTE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1.17  A new Clause 3.1.2.16 is added to the Agreement with the following quoted text: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QUOTE</w:t>
      </w:r>
    </w:p>
    <w:p>
      <w:pPr>
        <w:spacing w:after="0" w:line="127"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3.1.2.16</w:t>
      </w:r>
      <w:r>
        <w:rPr>
          <w:sz w:val="20"/>
          <w:szCs w:val="20"/>
          <w:color w:val="auto"/>
        </w:rPr>
        <w:tab/>
      </w:r>
      <w:r>
        <w:rPr>
          <w:rFonts w:ascii="Arial" w:cs="Arial" w:eastAsia="Arial" w:hAnsi="Arial"/>
          <w:sz w:val="16"/>
          <w:szCs w:val="16"/>
          <w:color w:val="auto"/>
        </w:rPr>
        <w:t>The base price (the “</w:t>
      </w:r>
      <w:r>
        <w:rPr>
          <w:rFonts w:ascii="Arial" w:cs="Arial" w:eastAsia="Arial" w:hAnsi="Arial"/>
          <w:sz w:val="16"/>
          <w:szCs w:val="16"/>
          <w:b w:val="1"/>
          <w:bCs w:val="1"/>
          <w:color w:val="auto"/>
        </w:rPr>
        <w:t>Engine P Base Price</w:t>
      </w:r>
      <w:r>
        <w:rPr>
          <w:rFonts w:ascii="Arial" w:cs="Arial" w:eastAsia="Arial" w:hAnsi="Arial"/>
          <w:sz w:val="16"/>
          <w:szCs w:val="16"/>
          <w:color w:val="auto"/>
        </w:rPr>
        <w:t>”) of a set of two (2) Pratt &amp; Whitney PW1133G1-JM engines is:</w:t>
      </w:r>
    </w:p>
    <w:p>
      <w:pPr>
        <w:spacing w:after="0" w:line="12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US$ [*CTR] (US dollars [*CTR])</w:t>
      </w:r>
    </w:p>
    <w:p>
      <w:pPr>
        <w:spacing w:after="0" w:line="117" w:lineRule="exact"/>
        <w:rPr>
          <w:sz w:val="20"/>
          <w:szCs w:val="20"/>
          <w:color w:val="auto"/>
        </w:rPr>
      </w:pPr>
    </w:p>
    <w:p>
      <w:pPr>
        <w:jc w:val="both"/>
        <w:ind w:left="1380"/>
        <w:spacing w:after="0" w:line="264" w:lineRule="auto"/>
        <w:rPr>
          <w:sz w:val="20"/>
          <w:szCs w:val="20"/>
          <w:color w:val="auto"/>
        </w:rPr>
      </w:pPr>
      <w:r>
        <w:rPr>
          <w:rFonts w:ascii="Arial" w:cs="Arial" w:eastAsia="Arial" w:hAnsi="Arial"/>
          <w:sz w:val="18"/>
          <w:szCs w:val="18"/>
          <w:color w:val="auto"/>
        </w:rPr>
        <w:t>Said base price has been established in accordance with the delivery conditions prevailing in January 2010 and has been calculated from the reference price (the “</w:t>
      </w:r>
      <w:r>
        <w:rPr>
          <w:rFonts w:ascii="Arial" w:cs="Arial" w:eastAsia="Arial" w:hAnsi="Arial"/>
          <w:sz w:val="18"/>
          <w:szCs w:val="18"/>
          <w:b w:val="1"/>
          <w:bCs w:val="1"/>
          <w:color w:val="auto"/>
        </w:rPr>
        <w:t>Engine P Reference Price</w:t>
      </w:r>
      <w:r>
        <w:rPr>
          <w:rFonts w:ascii="Arial" w:cs="Arial" w:eastAsia="Arial" w:hAnsi="Arial"/>
          <w:sz w:val="18"/>
          <w:szCs w:val="18"/>
          <w:color w:val="auto"/>
        </w:rPr>
        <w:t>”) indicated by the Propulsion System Manufacturer of US$ [*CTR] (US dollars [*CTR]).</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UNQUOTE</w:t>
      </w:r>
    </w:p>
    <w:p>
      <w:pPr>
        <w:spacing w:after="0" w:line="131" w:lineRule="exact"/>
        <w:rPr>
          <w:sz w:val="20"/>
          <w:szCs w:val="20"/>
          <w:color w:val="auto"/>
        </w:rPr>
      </w:pPr>
    </w:p>
    <w:p>
      <w:pPr>
        <w:ind w:left="460" w:right="20" w:hanging="445"/>
        <w:spacing w:after="0" w:line="277" w:lineRule="auto"/>
        <w:rPr>
          <w:sz w:val="20"/>
          <w:szCs w:val="20"/>
          <w:color w:val="auto"/>
        </w:rPr>
      </w:pPr>
      <w:r>
        <w:rPr>
          <w:rFonts w:ascii="Arial" w:cs="Arial" w:eastAsia="Arial" w:hAnsi="Arial"/>
          <w:sz w:val="18"/>
          <w:szCs w:val="18"/>
          <w:color w:val="auto"/>
        </w:rPr>
        <w:t>1.18 Exhibit A-5 of the Agreement is amended by replacing references to “[*CTR]” with “[*CTR]”, replacing references to “[*CTR]” with “[*CTR]” and replacing the words “As per Price table” with “as specified in Clause 3.1”.</w:t>
      </w:r>
    </w:p>
    <w:p>
      <w:pPr>
        <w:sectPr>
          <w:pgSz w:w="11900" w:h="16838" w:orient="portrait"/>
          <w:cols w:equalWidth="0" w:num="1">
            <w:col w:w="11420"/>
          </w:cols>
          <w:pgMar w:left="240" w:top="274" w:right="239" w:bottom="1440" w:gutter="0" w:footer="0" w:header="0"/>
        </w:sectPr>
      </w:pP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AMD 5AAL_A320Family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SPH-2122766-6 / CT1001520</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[*CTR] = [CONFIDENTIAL PORTION OMITTED AND FILED SEPARATELY WITH THE COMMISSION</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PURSUANT TO A REQUEST FOR CONFIDENTIAL TREATMENT]</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Page 7</w:t>
      </w:r>
    </w:p>
    <w:p>
      <w:pPr>
        <w:sectPr>
          <w:pgSz w:w="11900" w:h="16838" w:orient="portrait"/>
          <w:cols w:equalWidth="0" w:num="2">
            <w:col w:w="10220" w:space="720"/>
            <w:col w:w="480"/>
          </w:cols>
          <w:pgMar w:left="240" w:top="274" w:right="239" w:bottom="1440" w:gutter="0" w:footer="0" w:header="0"/>
          <w:type w:val="continuous"/>
        </w:sectPr>
      </w:pPr>
    </w:p>
    <w:bookmarkStart w:id="121" w:name="page122"/>
    <w:bookmarkEnd w:id="121"/>
    <w:p>
      <w:pPr>
        <w:ind w:left="460" w:hanging="445"/>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1.19 Exhibit A-6 of the Agreement is amended by replacing references to “[*CTR]” with “[*CTR]”, replacing references to “[*CTR]” and replacing the words “As per Price table” with “as specified in Clause 3.1”.</w:t>
      </w:r>
    </w:p>
    <w:p>
      <w:pPr>
        <w:spacing w:after="0" w:line="76" w:lineRule="exact"/>
        <w:rPr>
          <w:sz w:val="20"/>
          <w:szCs w:val="20"/>
          <w:color w:val="auto"/>
        </w:rPr>
      </w:pPr>
    </w:p>
    <w:p>
      <w:pPr>
        <w:ind w:left="460" w:right="20" w:hanging="445"/>
        <w:spacing w:after="0" w:line="277" w:lineRule="auto"/>
        <w:rPr>
          <w:sz w:val="20"/>
          <w:szCs w:val="20"/>
          <w:color w:val="auto"/>
        </w:rPr>
      </w:pPr>
      <w:r>
        <w:rPr>
          <w:rFonts w:ascii="Arial" w:cs="Arial" w:eastAsia="Arial" w:hAnsi="Arial"/>
          <w:sz w:val="18"/>
          <w:szCs w:val="18"/>
          <w:color w:val="auto"/>
        </w:rPr>
        <w:t>1.20 Exhibit A-7 of the Agreement is amended by replacing references to “[*CTR]” with “[*CTR]” and replacing references to “[*CTR]” with “ [*CTR]” and replacing the words “As per Price table” with “as specified in Clause 3.1”.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1.21  Clause 1.1 of Exhibit C-3 is hereby deleted in its entirety and replaced with the following quoted text: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QUOTE</w:t>
      </w:r>
    </w:p>
    <w:p>
      <w:pPr>
        <w:spacing w:after="0" w:line="13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Reference Price of the Propulsion System</w:t>
      </w:r>
    </w:p>
    <w:p>
      <w:pPr>
        <w:spacing w:after="0" w:line="117" w:lineRule="exact"/>
        <w:rPr>
          <w:sz w:val="20"/>
          <w:szCs w:val="20"/>
          <w:color w:val="auto"/>
        </w:rPr>
      </w:pPr>
    </w:p>
    <w:p>
      <w:pPr>
        <w:jc w:val="both"/>
        <w:ind w:left="460" w:right="20"/>
        <w:spacing w:after="0" w:line="277" w:lineRule="auto"/>
        <w:rPr>
          <w:sz w:val="20"/>
          <w:szCs w:val="20"/>
          <w:color w:val="auto"/>
        </w:rPr>
      </w:pPr>
      <w:r>
        <w:rPr>
          <w:rFonts w:ascii="Arial" w:cs="Arial" w:eastAsia="Arial" w:hAnsi="Arial"/>
          <w:sz w:val="18"/>
          <w:szCs w:val="18"/>
          <w:color w:val="auto"/>
        </w:rPr>
        <w:t>The Engine A Reference Price for a set of two (2) CFM International CFM56-5B6/3 series Propulsion System is as quoted in Clause 3.1.2.1 of the Agreement.</w:t>
      </w:r>
    </w:p>
    <w:p>
      <w:pPr>
        <w:spacing w:after="0" w:line="62"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The Engine B Reference Price for a set of two (2) CFM International CFM56-5B4/3 series Propulsion System is as quoted in Clause 3.1.2.2 of the Agreement.</w:t>
      </w:r>
    </w:p>
    <w:p>
      <w:pPr>
        <w:spacing w:after="0" w:line="62"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The Engine C Reference Price for a set of two (2) CFM International CFM56-5B3/3 series Propulsion System is as quoted in Clause 3.1.2.3 of the Agreement.</w:t>
      </w:r>
    </w:p>
    <w:p>
      <w:pPr>
        <w:spacing w:after="0" w:line="62" w:lineRule="exact"/>
        <w:rPr>
          <w:sz w:val="20"/>
          <w:szCs w:val="20"/>
          <w:color w:val="auto"/>
        </w:rPr>
      </w:pPr>
    </w:p>
    <w:p>
      <w:pPr>
        <w:jc w:val="both"/>
        <w:ind w:left="460" w:right="20"/>
        <w:spacing w:after="0" w:line="277" w:lineRule="auto"/>
        <w:rPr>
          <w:sz w:val="20"/>
          <w:szCs w:val="20"/>
          <w:color w:val="auto"/>
        </w:rPr>
      </w:pPr>
      <w:r>
        <w:rPr>
          <w:rFonts w:ascii="Arial" w:cs="Arial" w:eastAsia="Arial" w:hAnsi="Arial"/>
          <w:sz w:val="18"/>
          <w:szCs w:val="18"/>
          <w:color w:val="auto"/>
        </w:rPr>
        <w:t>The Engine G Reference Price for a set of two (2) CFM International LEAP-1A24 series Propulsion System is as quoted in Clause 3.1.2.7 of the Agreement.</w:t>
      </w:r>
    </w:p>
    <w:p>
      <w:pPr>
        <w:spacing w:after="0" w:line="62" w:lineRule="exact"/>
        <w:rPr>
          <w:sz w:val="20"/>
          <w:szCs w:val="20"/>
          <w:color w:val="auto"/>
        </w:rPr>
      </w:pPr>
    </w:p>
    <w:p>
      <w:pPr>
        <w:jc w:val="both"/>
        <w:ind w:left="460" w:right="20"/>
        <w:spacing w:after="0" w:line="277" w:lineRule="auto"/>
        <w:rPr>
          <w:sz w:val="20"/>
          <w:szCs w:val="20"/>
          <w:color w:val="auto"/>
        </w:rPr>
      </w:pPr>
      <w:r>
        <w:rPr>
          <w:rFonts w:ascii="Arial" w:cs="Arial" w:eastAsia="Arial" w:hAnsi="Arial"/>
          <w:sz w:val="18"/>
          <w:szCs w:val="18"/>
          <w:color w:val="auto"/>
        </w:rPr>
        <w:t>The Engine H Reference Price for a set of two (2) CFM International LEAP-1A26 series Propulsion System is as quoted in Clause 3.1.2.8 of the Agreement.</w:t>
      </w:r>
    </w:p>
    <w:p>
      <w:pPr>
        <w:spacing w:after="0" w:line="62"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The Engine I Reference Price for a set of two (2) CFM International LEAP-1A32 series Propulsion System is as quoted in Clause 3.1.2.9 of the Agreement.</w:t>
      </w:r>
    </w:p>
    <w:p>
      <w:pPr>
        <w:spacing w:after="0" w:line="62"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The Engine M Reference Price for a set of two (2) CFM International LEAP-1A33 series Propulsion System is as quoted in Clause 3.1.2.13 of the Agreement.</w:t>
      </w:r>
    </w:p>
    <w:p>
      <w:pPr>
        <w:spacing w:after="0" w:line="62"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The Engine N Reference Price for a set of two (2) CFM International LEAP-1A33B2 series Propulsion System is as quoted in Clause 3.1.2.14 of the Agreement.</w:t>
      </w:r>
    </w:p>
    <w:p>
      <w:pPr>
        <w:spacing w:after="0" w:line="62" w:lineRule="exact"/>
        <w:rPr>
          <w:sz w:val="20"/>
          <w:szCs w:val="20"/>
          <w:color w:val="auto"/>
        </w:rPr>
      </w:pPr>
    </w:p>
    <w:p>
      <w:pPr>
        <w:jc w:val="both"/>
        <w:ind w:left="460"/>
        <w:spacing w:after="0" w:line="312" w:lineRule="auto"/>
        <w:rPr>
          <w:sz w:val="20"/>
          <w:szCs w:val="20"/>
          <w:color w:val="auto"/>
        </w:rPr>
      </w:pPr>
      <w:r>
        <w:rPr>
          <w:rFonts w:ascii="Arial" w:cs="Arial" w:eastAsia="Arial" w:hAnsi="Arial"/>
          <w:sz w:val="16"/>
          <w:szCs w:val="16"/>
          <w:color w:val="auto"/>
        </w:rPr>
        <w:t>The Engine A Reference Price, Engine B Reference Price, Engine C Reference Price, Engine G Reference Price, Engine H Reference Price, Engine I Reference Price, Engine M Reference Price and Engine N Reference Price are subject to adjustment for changes in economic conditions as measured by data obtained from the US Department of Labor, Bureau of Labor Statistics and in accordance with the provisions of Paragraphs 1.4. and 1.5. hereof.</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SPH-2122766-9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[*CTR] = [CONFIDENTIAL PORTION OMITTED AND FILED SEPARATELY WITH THE COMMISSION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A REQUEST FOR CONFIDENTIAL TREATMENT]</w:t>
      </w:r>
    </w:p>
    <w:p>
      <w:pPr>
        <w:sectPr>
          <w:pgSz w:w="11900" w:h="16838" w:orient="portrait"/>
          <w:cols w:equalWidth="0" w:num="1">
            <w:col w:w="11420"/>
          </w:cols>
          <w:pgMar w:left="240" w:top="274" w:right="239" w:bottom="1440" w:gutter="0" w:footer="0" w:header="0"/>
        </w:sectPr>
      </w:pPr>
    </w:p>
    <w:bookmarkStart w:id="122" w:name="page123"/>
    <w:bookmarkEnd w:id="12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UNQUOTE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1.22  Exhibit C-3 of the Agreement is hereby amended by replacing references to “LEAP-X” with “LEAP”.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1.23  Clause 1.1 of Exhibit C-4 is hereby deleted in its entirety and replaced with the following quoted text: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QUOTE</w:t>
      </w:r>
    </w:p>
    <w:p>
      <w:pPr>
        <w:spacing w:after="0" w:line="11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Engine D Reference Price for a set of two (2) International Aero Engines V2524-A5 series Propulsion System is as quoted in Clause 3.1.2.4 of the Agreement.</w:t>
      </w:r>
    </w:p>
    <w:p>
      <w:pPr>
        <w:spacing w:after="0" w:line="6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Engine E Reference Price for a set of two (2) International Aero Engines V2527-A5 series Propulsion System is as quoted in Clause 3.1.2.5 of the Agreement.</w:t>
      </w:r>
    </w:p>
    <w:p>
      <w:pPr>
        <w:spacing w:after="0" w:line="6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Engine F Reference Price for a set of two (2) International Aero Engines V2533-A5 series Propulsion System is as quoted in Clause 3.1.2.6 of the Agreement.</w:t>
      </w:r>
    </w:p>
    <w:p>
      <w:pPr>
        <w:spacing w:after="0" w:line="62" w:lineRule="exact"/>
        <w:rPr>
          <w:sz w:val="20"/>
          <w:szCs w:val="20"/>
          <w:color w:val="auto"/>
        </w:rPr>
      </w:pPr>
    </w:p>
    <w:p>
      <w:pPr>
        <w:ind w:left="460" w:right="20"/>
        <w:spacing w:after="0" w:line="342" w:lineRule="auto"/>
        <w:rPr>
          <w:sz w:val="20"/>
          <w:szCs w:val="20"/>
          <w:color w:val="auto"/>
        </w:rPr>
      </w:pPr>
      <w:r>
        <w:rPr>
          <w:rFonts w:ascii="Arial" w:cs="Arial" w:eastAsia="Arial" w:hAnsi="Arial"/>
          <w:sz w:val="16"/>
          <w:szCs w:val="16"/>
          <w:color w:val="auto"/>
        </w:rPr>
        <w:t>The Engine D Reference Price, Engine E Reference Price and Engine F Reference Price are subject to adjustment for changes in economic conditions as measured by data obtained from the US Department of Labor, Bureau of Labor Statistics, and in accordance with the provisions hereof.</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1.24  Clause 1.1 of Exhibit C-5 is hereby deleted in its entirety and replaced with the following quoted text: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QUOTE</w:t>
      </w:r>
    </w:p>
    <w:p>
      <w:pPr>
        <w:spacing w:after="0" w:line="13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Reference Price of the Propulsion System</w:t>
      </w:r>
    </w:p>
    <w:p>
      <w:pPr>
        <w:spacing w:after="0" w:line="11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Engine J Reference Price for a set of two (2) Pratt and Whitney PW1124G-JM series Propulsion System is as quoted in Clause 3.1.2.10 of the Agreement.</w:t>
      </w:r>
    </w:p>
    <w:p>
      <w:pPr>
        <w:spacing w:after="0" w:line="6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Engine O Reference Price for a set of two (2) Pratt and Whitney PW1127G1-JM series Propulsion System is as quoted in Clause 3.1.2.15 of the Agreement.</w:t>
      </w:r>
    </w:p>
    <w:p>
      <w:pPr>
        <w:spacing w:after="0" w:line="6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Engine K Reference Price for a set of two (2) Pratt and Whitney PW1127G-JM series Propulsion System is as quoted in Clause 3.1.2.11 of the Agreement.</w:t>
      </w:r>
    </w:p>
    <w:p>
      <w:pPr>
        <w:spacing w:after="0" w:line="6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Engine L Reference Price for a set of two (2) Pratt and Whitney PW1133G-JM series Propulsion System is as quoted in Clause 3.1.2.12 of the Agreement.</w:t>
      </w:r>
    </w:p>
    <w:p>
      <w:pPr>
        <w:spacing w:after="0" w:line="6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Engine P Reference Price for a set of two (2) Pratt and Whitney PW1133G1-JM series Propulsion System is as quoted in Clause 3.1.2.16 of the Agreement.</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SPH-2122766-6 / CT1001520</w:t>
      </w:r>
    </w:p>
    <w:p>
      <w:pPr>
        <w:sectPr>
          <w:pgSz w:w="11900" w:h="16838" w:orient="portrait"/>
          <w:cols w:equalWidth="0" w:num="1">
            <w:col w:w="11420"/>
          </w:cols>
          <w:pgMar w:left="240" w:top="274" w:right="239" w:bottom="1440" w:gutter="0" w:footer="0" w:header="0"/>
        </w:sectPr>
      </w:pPr>
    </w:p>
    <w:bookmarkStart w:id="123" w:name="page124"/>
    <w:bookmarkEnd w:id="123"/>
    <w:p>
      <w:pPr>
        <w:jc w:val="both"/>
        <w:ind w:left="460"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Engine J Reference Price, Engine O Reference Price, Engine K Reference Price, Engine L Reference Price and Engine P Reference Price are subject to adjustment for changes in economic conditions as measured by data obtained from the US Department of Labor, Bureau of Labor Statistics, and in accordance with the provisions hereof.</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UNQUOTE</w:t>
      </w:r>
    </w:p>
    <w:p>
      <w:pPr>
        <w:spacing w:after="0" w:line="370"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This Amendment and the rights and obligations of the parties will be subject to the provisions of Clause 21 of the Agreement.</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21" w:lineRule="exact"/>
        <w:rPr>
          <w:rFonts w:ascii="Arial" w:cs="Arial" w:eastAsia="Arial" w:hAnsi="Arial"/>
          <w:sz w:val="18"/>
          <w:szCs w:val="18"/>
          <w:b w:val="1"/>
          <w:bCs w:val="1"/>
          <w:color w:val="auto"/>
        </w:rPr>
      </w:pPr>
    </w:p>
    <w:p>
      <w:pPr>
        <w:jc w:val="both"/>
        <w:ind w:left="4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Each of the Seller and the Buyer agree not to disclose the terms and conditions of this Amendment to any person without the prior written consent of the other party. Notwithstanding the foregoing, each of the Seller and the Buyer agrees that such terms and conditions may be disclosed without such prior written consent to (i) as required by law or as necessary in connection with the enforcement of such party’s rights hereunder, and (ii) to the board of directors, managers, employees, auditors, and legal, financial and technical advisors of each party.</w:t>
      </w:r>
    </w:p>
    <w:p>
      <w:pPr>
        <w:spacing w:after="0" w:line="316" w:lineRule="exact"/>
        <w:rPr>
          <w:rFonts w:ascii="Arial" w:cs="Arial" w:eastAsia="Arial" w:hAnsi="Arial"/>
          <w:sz w:val="18"/>
          <w:szCs w:val="18"/>
          <w:b w:val="1"/>
          <w:bCs w:val="1"/>
          <w:color w:val="auto"/>
        </w:rPr>
      </w:pPr>
    </w:p>
    <w:p>
      <w:pPr>
        <w:ind w:left="460" w:hanging="452"/>
        <w:spacing w:after="0"/>
        <w:tabs>
          <w:tab w:leader="none" w:pos="4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21"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Amendment may be executed by the parties hereto in separate counterparts, each of which when so executed and delivered will be an original, but all such counterparts will together constitute but one and the same instrument.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SPH-2122766-9</w:t>
      </w:r>
    </w:p>
    <w:p>
      <w:pPr>
        <w:sectPr>
          <w:pgSz w:w="11900" w:h="16838" w:orient="portrait"/>
          <w:cols w:equalWidth="0" w:num="1">
            <w:col w:w="11420"/>
          </w:cols>
          <w:pgMar w:left="240" w:top="274" w:right="239" w:bottom="1440" w:gutter="0" w:footer="0" w:header="0"/>
        </w:sectPr>
      </w:pPr>
    </w:p>
    <w:bookmarkStart w:id="124" w:name="page125"/>
    <w:bookmarkEnd w:id="12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correctly sets forth your understanding, please execute the original and one (1) copy hereof in the space provided below and return a copy to the Seller.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AIRBUS S.A.S.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AIRBUS 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Senior Vice President Contracts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 – Fleet Planning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AMD 5AAL_A320Family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SPH-2122766-6 / CT1001520</w:t>
      </w:r>
    </w:p>
    <w:p>
      <w:pPr>
        <w:sectPr>
          <w:pgSz w:w="11900" w:h="16838" w:orient="portrait"/>
          <w:cols w:equalWidth="0" w:num="1">
            <w:col w:w="11420"/>
          </w:cols>
          <w:pgMar w:left="240" w:top="274"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A320 Family Aircraft Purchase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made July 20, 2011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AIRBUS S.A.S.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Amendment No. 6 to the A320 Family Purchase Agreement made July 20, 2011 (as amended, supplemented or otherwise modified, hereinafter referred to as the “</w:t>
      </w:r>
      <w:r>
        <w:rPr>
          <w:rFonts w:ascii="Arial" w:cs="Arial" w:eastAsia="Arial" w:hAnsi="Arial"/>
          <w:sz w:val="17"/>
          <w:szCs w:val="17"/>
          <w:b w:val="1"/>
          <w:bCs w:val="1"/>
          <w:color w:val="auto"/>
        </w:rPr>
        <w:t>Amendment</w:t>
      </w:r>
      <w:r>
        <w:rPr>
          <w:rFonts w:ascii="Arial" w:cs="Arial" w:eastAsia="Arial" w:hAnsi="Arial"/>
          <w:sz w:val="17"/>
          <w:szCs w:val="17"/>
          <w:color w:val="auto"/>
        </w:rPr>
        <w:t xml:space="preserve">”), entered into as of July 1, 2014, by and between </w:t>
      </w:r>
      <w:r>
        <w:rPr>
          <w:rFonts w:ascii="Arial" w:cs="Arial" w:eastAsia="Arial" w:hAnsi="Arial"/>
          <w:sz w:val="17"/>
          <w:szCs w:val="17"/>
          <w:b w:val="1"/>
          <w:bCs w:val="1"/>
          <w:color w:val="auto"/>
        </w:rPr>
        <w:t>AIRBUS S.A.S</w:t>
      </w:r>
      <w:r>
        <w:rPr>
          <w:rFonts w:ascii="Arial" w:cs="Arial" w:eastAsia="Arial" w:hAnsi="Arial"/>
          <w:sz w:val="17"/>
          <w:szCs w:val="17"/>
          <w:color w:val="auto"/>
        </w:rPr>
        <w:t xml:space="preserve">., a </w:t>
      </w:r>
      <w:r>
        <w:rPr>
          <w:rFonts w:ascii="Arial" w:cs="Arial" w:eastAsia="Arial" w:hAnsi="Arial"/>
          <w:sz w:val="17"/>
          <w:szCs w:val="17"/>
          <w:i w:val="1"/>
          <w:iCs w:val="1"/>
          <w:color w:val="auto"/>
        </w:rPr>
        <w:t>société par actions simplifiée</w:t>
      </w:r>
      <w:r>
        <w:rPr>
          <w:rFonts w:ascii="Arial" w:cs="Arial" w:eastAsia="Arial" w:hAnsi="Arial"/>
          <w:sz w:val="17"/>
          <w:szCs w:val="17"/>
          <w:color w:val="auto"/>
        </w:rPr>
        <w:t xml:space="preserve">, created and existing under French law having its registered office at 1 Rond-Point Maurice Bellonte, 31707 Blagnac-Cedex, France and registered with the Toulouse </w:t>
      </w:r>
      <w:r>
        <w:rPr>
          <w:rFonts w:ascii="Arial" w:cs="Arial" w:eastAsia="Arial" w:hAnsi="Arial"/>
          <w:sz w:val="17"/>
          <w:szCs w:val="17"/>
          <w:i w:val="1"/>
          <w:iCs w:val="1"/>
          <w:color w:val="auto"/>
        </w:rPr>
        <w:t>Registre du Commerce</w:t>
      </w:r>
      <w:r>
        <w:rPr>
          <w:rFonts w:ascii="Arial" w:cs="Arial" w:eastAsia="Arial" w:hAnsi="Arial"/>
          <w:sz w:val="17"/>
          <w:szCs w:val="17"/>
          <w:color w:val="auto"/>
        </w:rPr>
        <w:t xml:space="preserve"> under number RCS Toulouse 383 474 814 (the “</w:t>
      </w:r>
      <w:r>
        <w:rPr>
          <w:rFonts w:ascii="Arial" w:cs="Arial" w:eastAsia="Arial" w:hAnsi="Arial"/>
          <w:sz w:val="17"/>
          <w:szCs w:val="17"/>
          <w:b w:val="1"/>
          <w:bCs w:val="1"/>
          <w:color w:val="auto"/>
        </w:rPr>
        <w:t>Seller</w:t>
      </w:r>
      <w:r>
        <w:rPr>
          <w:rFonts w:ascii="Arial" w:cs="Arial" w:eastAsia="Arial" w:hAnsi="Arial"/>
          <w:sz w:val="17"/>
          <w:szCs w:val="17"/>
          <w:color w:val="auto"/>
        </w:rPr>
        <w:t xml:space="preserve">”), and </w:t>
      </w:r>
      <w:r>
        <w:rPr>
          <w:rFonts w:ascii="Arial" w:cs="Arial" w:eastAsia="Arial" w:hAnsi="Arial"/>
          <w:sz w:val="17"/>
          <w:szCs w:val="17"/>
          <w:b w:val="1"/>
          <w:bCs w:val="1"/>
          <w:color w:val="auto"/>
        </w:rPr>
        <w:t>AMERICAN AIRLINES, INC</w:t>
      </w:r>
      <w:r>
        <w:rPr>
          <w:rFonts w:ascii="Arial" w:cs="Arial" w:eastAsia="Arial" w:hAnsi="Arial"/>
          <w:sz w:val="17"/>
          <w:szCs w:val="17"/>
          <w:color w:val="auto"/>
        </w:rPr>
        <w:t>., a Delaware corporation having its principal office at 4333 Amon Carter Boulevard, Fort Worth, Texas 76155, United States of America (the “</w:t>
      </w:r>
      <w:r>
        <w:rPr>
          <w:rFonts w:ascii="Arial" w:cs="Arial" w:eastAsia="Arial" w:hAnsi="Arial"/>
          <w:sz w:val="17"/>
          <w:szCs w:val="17"/>
          <w:b w:val="1"/>
          <w:bCs w:val="1"/>
          <w:color w:val="auto"/>
        </w:rPr>
        <w:t>Buyer</w:t>
      </w:r>
      <w:r>
        <w:rPr>
          <w:rFonts w:ascii="Arial" w:cs="Arial" w:eastAsia="Arial" w:hAnsi="Arial"/>
          <w:sz w:val="17"/>
          <w:szCs w:val="17"/>
          <w:color w:val="auto"/>
        </w:rPr>
        <w: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WHEREAS, the Buyer and the Seller entered into an Airbus A320 Family Aircraft Purchase Agreement, made July 20, 2011, which, together with all Exhibits, Appendices and Letter Agreements attached thereto and as amended, modified or supplemented from time to time is hereinafter called the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WHEREAS, the Buyer and the Seller have agreed that the Seller will deliver certain A319 Aircraft to the Buyer under the Agreement equipped with a set of two CFM56-5B7/3 engines under the terms and conditions specified herein;</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WHEREAS, the Buyer has reached a separate agreement with CFM (the “</w:t>
      </w:r>
      <w:r>
        <w:rPr>
          <w:rFonts w:ascii="Arial" w:cs="Arial" w:eastAsia="Arial" w:hAnsi="Arial"/>
          <w:sz w:val="18"/>
          <w:szCs w:val="18"/>
          <w:b w:val="1"/>
          <w:bCs w:val="1"/>
          <w:color w:val="auto"/>
        </w:rPr>
        <w:t>Buyer’s CFM Agreement</w:t>
      </w:r>
      <w:r>
        <w:rPr>
          <w:rFonts w:ascii="Arial" w:cs="Arial" w:eastAsia="Arial" w:hAnsi="Arial"/>
          <w:sz w:val="18"/>
          <w:szCs w:val="18"/>
          <w:color w:val="auto"/>
        </w:rPr>
        <w:t>”) pursuant to which CFM has agreed to deliver CFM56-5B7/3 engines to the Seller for delivery on A319 Aircraft under the Agreement [*CTR];</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the Seller has reached a separate agreement with CFM pursuant to which CFM has agreed to deliver CFM56-5B7/3 engines to the Seller for delivery on A319 Aircraft under the Agreement [*CTR];</w:t>
      </w:r>
    </w:p>
    <w:p>
      <w:pPr>
        <w:sectPr>
          <w:pgSz w:w="11900" w:h="16838" w:orient="portrait"/>
          <w:cols w:equalWidth="0" w:num="1">
            <w:col w:w="11420"/>
          </w:cols>
          <w:pgMar w:left="240" w:top="121" w:right="239" w:bottom="1440" w:gutter="0" w:footer="0" w:header="0"/>
        </w:sectPr>
      </w:pP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AMD 6 AAL_A320Family_CT1001520</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[*CTR] = [CONFIDENTIAL PORTION OMITTED AND FILED SEPARATELY WITH THE COMMISSION</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PURSUANT TO A REQUEST FOR CONFIDENTIAL TREATMENT]</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Page 1</w:t>
      </w:r>
    </w:p>
    <w:p>
      <w:pPr>
        <w:sectPr>
          <w:pgSz w:w="11900" w:h="16838" w:orient="portrait"/>
          <w:cols w:equalWidth="0" w:num="2">
            <w:col w:w="10220" w:space="720"/>
            <w:col w:w="480"/>
          </w:cols>
          <w:pgMar w:left="240" w:top="121" w:right="239" w:bottom="1440" w:gutter="0" w:footer="0" w:header="0"/>
          <w:type w:val="continuous"/>
        </w:sectPr>
      </w:pPr>
    </w:p>
    <w:bookmarkStart w:id="126" w:name="page127"/>
    <w:bookmarkEnd w:id="1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WHEREAS, the Buyer and the Seller have agreed to modify certain terms relating to Leasing Documentation;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WHEREAS, the Buyer and the Seller have agreed to modify certain terms relating to certain A321 Aircraft.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IT IS AGREED AS FOLLOWS: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capitalized terms used herein and not otherwise defined in this Amendment will have the meanings assigned to them in the Agreement. The terms “herein,” “hereof,” and “hereunder” and words of similar import refer to this Amendment.</w:t>
      </w:r>
    </w:p>
    <w:p>
      <w:pPr>
        <w:spacing w:after="0" w:line="315"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PROPULSION SYSTEM</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Clause 2.4.1 of the Agreement is hereby deleted in its entirety and replaced with the following quoted text: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QUOTE</w:t>
      </w:r>
    </w:p>
    <w:p>
      <w:pPr>
        <w:spacing w:after="0" w:line="117"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Each A319 Airframe with a Scheduled Delivery Month occurring before [*CTR] will be equipped with a set of two CFM International CFM 56-5B6/3 engines and each A319 Airframe with a Scheduled Delivery Month, or Scheduled Delivery Quarter, occurring after [*CTR] will be equipped with a set of two CFM56-5B7/3 engines (such set, an “</w:t>
      </w:r>
      <w:r>
        <w:rPr>
          <w:rFonts w:ascii="Arial" w:cs="Arial" w:eastAsia="Arial" w:hAnsi="Arial"/>
          <w:sz w:val="18"/>
          <w:szCs w:val="18"/>
          <w:b w:val="1"/>
          <w:bCs w:val="1"/>
          <w:color w:val="auto"/>
        </w:rPr>
        <w:t>A319 Propulsion System</w:t>
      </w:r>
      <w:r>
        <w:rPr>
          <w:rFonts w:ascii="Arial" w:cs="Arial" w:eastAsia="Arial" w:hAnsi="Arial"/>
          <w:sz w:val="18"/>
          <w:szCs w:val="18"/>
          <w:color w:val="auto"/>
        </w:rPr>
        <w:t>”).</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UNQUOTE</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Clause 3.1.2.1 of the Agreement is hereby deleted in its entirety and replaced with the following quoted text: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QUOTE</w:t>
      </w:r>
    </w:p>
    <w:p>
      <w:pPr>
        <w:spacing w:after="0" w:line="127"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color w:val="auto"/>
        </w:rPr>
        <w:t>3.1.2.1</w:t>
      </w:r>
      <w:r>
        <w:rPr>
          <w:sz w:val="20"/>
          <w:szCs w:val="20"/>
          <w:color w:val="auto"/>
        </w:rPr>
        <w:tab/>
      </w:r>
      <w:r>
        <w:rPr>
          <w:rFonts w:ascii="Arial" w:cs="Arial" w:eastAsia="Arial" w:hAnsi="Arial"/>
          <w:sz w:val="16"/>
          <w:szCs w:val="16"/>
          <w:color w:val="auto"/>
        </w:rPr>
        <w:t>The base price (the “</w:t>
      </w:r>
      <w:r>
        <w:rPr>
          <w:rFonts w:ascii="Arial" w:cs="Arial" w:eastAsia="Arial" w:hAnsi="Arial"/>
          <w:sz w:val="16"/>
          <w:szCs w:val="16"/>
          <w:b w:val="1"/>
          <w:bCs w:val="1"/>
          <w:color w:val="auto"/>
        </w:rPr>
        <w:t>Engine A Base Price</w:t>
      </w:r>
      <w:r>
        <w:rPr>
          <w:rFonts w:ascii="Arial" w:cs="Arial" w:eastAsia="Arial" w:hAnsi="Arial"/>
          <w:sz w:val="16"/>
          <w:szCs w:val="16"/>
          <w:color w:val="auto"/>
        </w:rPr>
        <w:t>”) of a set of two (2) CFM International CFM56-5B6/3 engines [*CTR] is: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US$ [*CTR] (US dollar [*CTR]).</w:t>
      </w:r>
    </w:p>
    <w:p>
      <w:pPr>
        <w:spacing w:after="0" w:line="117" w:lineRule="exact"/>
        <w:rPr>
          <w:sz w:val="20"/>
          <w:szCs w:val="20"/>
          <w:color w:val="auto"/>
        </w:rPr>
      </w:pPr>
    </w:p>
    <w:p>
      <w:pPr>
        <w:jc w:val="both"/>
        <w:ind w:left="1140"/>
        <w:spacing w:after="0" w:line="264" w:lineRule="auto"/>
        <w:rPr>
          <w:sz w:val="20"/>
          <w:szCs w:val="20"/>
          <w:color w:val="auto"/>
        </w:rPr>
      </w:pPr>
      <w:r>
        <w:rPr>
          <w:rFonts w:ascii="Arial" w:cs="Arial" w:eastAsia="Arial" w:hAnsi="Arial"/>
          <w:sz w:val="18"/>
          <w:szCs w:val="18"/>
          <w:color w:val="auto"/>
        </w:rPr>
        <w:t>Said base price has been established in accordance with the delivery conditions prevailing in January 2011 and has been calculated from the reference price (the “</w:t>
      </w:r>
      <w:r>
        <w:rPr>
          <w:rFonts w:ascii="Arial" w:cs="Arial" w:eastAsia="Arial" w:hAnsi="Arial"/>
          <w:sz w:val="18"/>
          <w:szCs w:val="18"/>
          <w:b w:val="1"/>
          <w:bCs w:val="1"/>
          <w:color w:val="auto"/>
        </w:rPr>
        <w:t>Engine A Reference Price</w:t>
      </w:r>
      <w:r>
        <w:rPr>
          <w:rFonts w:ascii="Arial" w:cs="Arial" w:eastAsia="Arial" w:hAnsi="Arial"/>
          <w:sz w:val="18"/>
          <w:szCs w:val="18"/>
          <w:color w:val="auto"/>
        </w:rPr>
        <w:t>”) for a set of two (2) CFM International CFM56-5B6/3 engines indicated by the Propulsion System Manufacturer of US$ [*CTR] (US dollars – [*CTR]).</w:t>
      </w:r>
    </w:p>
    <w:p>
      <w:pPr>
        <w:spacing w:after="0" w:line="7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UNQUOTE</w:t>
      </w:r>
    </w:p>
    <w:p>
      <w:pPr>
        <w:sectPr>
          <w:pgSz w:w="11900" w:h="16838" w:orient="portrait"/>
          <w:cols w:equalWidth="0" w:num="1">
            <w:col w:w="11420"/>
          </w:cols>
          <w:pgMar w:left="240" w:top="274"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AMD 6 AAL_A320Family_CT1001520</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[*CTR] = [CONFIDENTIAL PORTION OMITTED AND FILED SEPARATELY WITH THE COMMISSION</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PURSUANT TO A REQUEST FOR CONFIDENTIAL TREATMENT]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Page 2</w:t>
      </w:r>
    </w:p>
    <w:p>
      <w:pPr>
        <w:sectPr>
          <w:pgSz w:w="11900" w:h="16838" w:orient="portrait"/>
          <w:cols w:equalWidth="0" w:num="2">
            <w:col w:w="10220" w:space="720"/>
            <w:col w:w="480"/>
          </w:cols>
          <w:pgMar w:left="240" w:top="274" w:right="239" w:bottom="1440" w:gutter="0" w:footer="0" w:header="0"/>
          <w:type w:val="continuous"/>
        </w:sectPr>
      </w:pPr>
    </w:p>
    <w:bookmarkStart w:id="127" w:name="page128"/>
    <w:bookmarkEnd w:id="127"/>
    <w:p>
      <w:pPr>
        <w:spacing w:after="0"/>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w:t>
      </w:r>
      <w:r>
        <w:rPr>
          <w:sz w:val="20"/>
          <w:szCs w:val="20"/>
          <w:color w:val="auto"/>
        </w:rPr>
        <w:tab/>
      </w:r>
      <w:r>
        <w:rPr>
          <w:rFonts w:ascii="Arial" w:cs="Arial" w:eastAsia="Arial" w:hAnsi="Arial"/>
          <w:sz w:val="16"/>
          <w:szCs w:val="16"/>
          <w:color w:val="auto"/>
        </w:rPr>
        <w:t>Clause 1.1 of Exhibit C-3 to the Agreement is hereby deleted in its entirety and replaced with the following quoted text: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QUOTE</w:t>
      </w:r>
    </w:p>
    <w:p>
      <w:pPr>
        <w:spacing w:after="0" w:line="13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Reference Price of the Propulsion System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Engine A Reference Price for a set of two (2) CFM International CFM56-5B6/3 series Propulsion System [*CTR].</w:t>
      </w:r>
    </w:p>
    <w:p>
      <w:pPr>
        <w:spacing w:after="0" w:line="117"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The Engine B Reference Price for a set of two (2) CFM International CFM56-5B4/3 series Propulsion System is as quoted in Clause 3.1.2.2 of the Agreement.</w:t>
      </w:r>
    </w:p>
    <w:p>
      <w:pPr>
        <w:spacing w:after="0" w:line="62"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The Engine C Reference Price for a set of two (2) CFM International CFM56-5B3/3 series Propulsion System is as quoted in Clause 3.1.2.3 of the Agreement.</w:t>
      </w:r>
    </w:p>
    <w:p>
      <w:pPr>
        <w:spacing w:after="0" w:line="62" w:lineRule="exact"/>
        <w:rPr>
          <w:sz w:val="20"/>
          <w:szCs w:val="20"/>
          <w:color w:val="auto"/>
        </w:rPr>
      </w:pPr>
    </w:p>
    <w:p>
      <w:pPr>
        <w:jc w:val="both"/>
        <w:ind w:left="460" w:right="20"/>
        <w:spacing w:after="0" w:line="277" w:lineRule="auto"/>
        <w:rPr>
          <w:sz w:val="20"/>
          <w:szCs w:val="20"/>
          <w:color w:val="auto"/>
        </w:rPr>
      </w:pPr>
      <w:r>
        <w:rPr>
          <w:rFonts w:ascii="Arial" w:cs="Arial" w:eastAsia="Arial" w:hAnsi="Arial"/>
          <w:sz w:val="18"/>
          <w:szCs w:val="18"/>
          <w:color w:val="auto"/>
        </w:rPr>
        <w:t>The Engine G Reference Price for a set of two (2) CFM International LEAP-1A24 series Propulsion System is as quoted in Clause 3.1.2.7 of the Agreement.</w:t>
      </w:r>
    </w:p>
    <w:p>
      <w:pPr>
        <w:spacing w:after="0" w:line="62" w:lineRule="exact"/>
        <w:rPr>
          <w:sz w:val="20"/>
          <w:szCs w:val="20"/>
          <w:color w:val="auto"/>
        </w:rPr>
      </w:pPr>
    </w:p>
    <w:p>
      <w:pPr>
        <w:jc w:val="both"/>
        <w:ind w:left="460" w:right="20"/>
        <w:spacing w:after="0" w:line="277" w:lineRule="auto"/>
        <w:rPr>
          <w:sz w:val="20"/>
          <w:szCs w:val="20"/>
          <w:color w:val="auto"/>
        </w:rPr>
      </w:pPr>
      <w:r>
        <w:rPr>
          <w:rFonts w:ascii="Arial" w:cs="Arial" w:eastAsia="Arial" w:hAnsi="Arial"/>
          <w:sz w:val="18"/>
          <w:szCs w:val="18"/>
          <w:color w:val="auto"/>
        </w:rPr>
        <w:t>The Engine H Reference Price for a set of two (2) CFM International LEAP-1A26 series Propulsion System is as quoted in Clause 3.1.2.8 of the Agreement.</w:t>
      </w:r>
    </w:p>
    <w:p>
      <w:pPr>
        <w:spacing w:after="0" w:line="62"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The Engine I Reference Price for a set of two (2) CFM International LEAP-1A32 series Propulsion System is as quoted in Clause 3.1.2.9 of the Agreement.</w:t>
      </w:r>
    </w:p>
    <w:p>
      <w:pPr>
        <w:spacing w:after="0" w:line="62"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The Engine M Reference Price for a set of two (2) CFM International LEAP-1A33 series Propulsion System is as quoted in Clause 3.1.2.13 of the Agreement.</w:t>
      </w:r>
    </w:p>
    <w:p>
      <w:pPr>
        <w:spacing w:after="0" w:line="62"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The Engine N Reference Price for a set of two (2) CFM International LEAP-1A33B2 series Propulsion System is as quoted in Clause 3.1.2.14 of the Agreement.</w:t>
      </w:r>
    </w:p>
    <w:p>
      <w:pPr>
        <w:spacing w:after="0" w:line="62" w:lineRule="exact"/>
        <w:rPr>
          <w:sz w:val="20"/>
          <w:szCs w:val="20"/>
          <w:color w:val="auto"/>
        </w:rPr>
      </w:pPr>
    </w:p>
    <w:p>
      <w:pPr>
        <w:jc w:val="both"/>
        <w:ind w:left="460"/>
        <w:spacing w:after="0" w:line="312" w:lineRule="auto"/>
        <w:rPr>
          <w:sz w:val="20"/>
          <w:szCs w:val="20"/>
          <w:color w:val="auto"/>
        </w:rPr>
      </w:pPr>
      <w:r>
        <w:rPr>
          <w:rFonts w:ascii="Arial" w:cs="Arial" w:eastAsia="Arial" w:hAnsi="Arial"/>
          <w:sz w:val="16"/>
          <w:szCs w:val="16"/>
          <w:color w:val="auto"/>
        </w:rPr>
        <w:t>The Engine A Reference Price, Engine B Reference Price, Engine C Reference Price, Engine G Reference Price, Engine H Reference Price, Engine I Reference Price, Engine M Reference Price and Engine N Reference Price are subject to adjustment for changes in economic conditions as measured by data obtained from the US Department of Labor, Bureau of Labor Statistics and in accordance with the provisions of Paragraphs 1.4. and 1.5. hereof.</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UNQUOTE</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The Buyer agrees to promptly notify the Seller if the Buyer’s CFM Agreement is amended such that CFM will no longer deliver [*CTR].</w:t>
      </w:r>
    </w:p>
    <w:p>
      <w:pPr>
        <w:sectPr>
          <w:pgSz w:w="11900" w:h="16838" w:orient="portrait"/>
          <w:cols w:equalWidth="0" w:num="1">
            <w:col w:w="11420"/>
          </w:cols>
          <w:pgMar w:left="240" w:top="274"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AMD 6 AAL_A320Family_CT1001520</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[*CTR] = [CONFIDENTIAL PORTION OMITTED AND FILED SEPARATELY WITH THE COMMISSION</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PURSUANT TO A REQUEST FOR CONFIDENTIAL TREATMENT]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Page 3</w:t>
      </w:r>
    </w:p>
    <w:p>
      <w:pPr>
        <w:sectPr>
          <w:pgSz w:w="11900" w:h="16838" w:orient="portrait"/>
          <w:cols w:equalWidth="0" w:num="2">
            <w:col w:w="10220" w:space="720"/>
            <w:col w:w="480"/>
          </w:cols>
          <w:pgMar w:left="240" w:top="274" w:right="239" w:bottom="1440" w:gutter="0" w:footer="0" w:header="0"/>
          <w:type w:val="continuous"/>
        </w:sectPr>
      </w:pPr>
    </w:p>
    <w:bookmarkStart w:id="128" w:name="page129"/>
    <w:bookmarkEnd w:id="128"/>
    <w:p>
      <w:pPr>
        <w:ind w:left="460" w:hanging="452"/>
        <w:spacing w:after="0"/>
        <w:tabs>
          <w:tab w:leader="none" w:pos="4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DEFINITIONS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Clause 0 of the Agreement is amended to modify the following defined term as set forth between the words “QUOTE” and “UNQUOTE”:</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QUOTE</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New Engine Option</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NEO</w:t>
      </w:r>
      <w:r>
        <w:rPr>
          <w:rFonts w:ascii="Arial" w:cs="Arial" w:eastAsia="Arial" w:hAnsi="Arial"/>
          <w:sz w:val="18"/>
          <w:szCs w:val="18"/>
          <w:color w:val="auto"/>
        </w:rPr>
        <w:t xml:space="preserve"> – as defined in Clause 2.1.1.1.</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UNQUOTE</w:t>
      </w:r>
    </w:p>
    <w:p>
      <w:pPr>
        <w:spacing w:after="0" w:line="370"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LEASING DOCUMENTATION</w:t>
      </w:r>
    </w:p>
    <w:p>
      <w:pPr>
        <w:spacing w:after="0" w:line="121" w:lineRule="exact"/>
        <w:rPr>
          <w:rFonts w:ascii="Arial" w:cs="Arial" w:eastAsia="Arial" w:hAnsi="Arial"/>
          <w:sz w:val="18"/>
          <w:szCs w:val="18"/>
          <w:b w:val="1"/>
          <w:bCs w:val="1"/>
          <w:color w:val="auto"/>
        </w:rPr>
      </w:pPr>
    </w:p>
    <w:p>
      <w:pPr>
        <w:ind w:left="4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Annex B to the Form of Lease Agreement attached as Exhibit A to Letter Agreement No. 1 is hereby amended by deleting the final sentence of the first paragraph of Section B thereof in its entirety and replacing it with the following quoted text:</w:t>
      </w:r>
    </w:p>
    <w:p>
      <w:pPr>
        <w:spacing w:after="0" w:line="62" w:lineRule="exact"/>
        <w:rPr>
          <w:rFonts w:ascii="Arial" w:cs="Arial" w:eastAsia="Arial" w:hAnsi="Arial"/>
          <w:sz w:val="18"/>
          <w:szCs w:val="18"/>
          <w:b w:val="1"/>
          <w:bCs w:val="1"/>
          <w:color w:val="auto"/>
        </w:rPr>
      </w:pPr>
    </w:p>
    <w:p>
      <w:pPr>
        <w:jc w:val="both"/>
        <w:ind w:left="460" w:right="10340"/>
        <w:spacing w:after="0" w:line="397" w:lineRule="auto"/>
        <w:rPr>
          <w:rFonts w:ascii="Arial" w:cs="Arial" w:eastAsia="Arial" w:hAnsi="Arial"/>
          <w:sz w:val="18"/>
          <w:szCs w:val="18"/>
          <w:b w:val="1"/>
          <w:bCs w:val="1"/>
          <w:color w:val="auto"/>
        </w:rPr>
      </w:pPr>
      <w:r>
        <w:rPr>
          <w:rFonts w:ascii="Arial" w:cs="Arial" w:eastAsia="Arial" w:hAnsi="Arial"/>
          <w:sz w:val="17"/>
          <w:szCs w:val="17"/>
          <w:color w:val="auto"/>
        </w:rPr>
        <w:t>QUOTE [*CTR] [*CTR]</w:t>
      </w:r>
    </w:p>
    <w:p>
      <w:pPr>
        <w:spacing w:after="0" w:line="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UNQUOTE</w:t>
      </w:r>
    </w:p>
    <w:p>
      <w:pPr>
        <w:spacing w:after="0" w:line="3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8"/>
          <w:szCs w:val="18"/>
          <w:b w:val="1"/>
          <w:bCs w:val="1"/>
          <w:color w:val="auto"/>
        </w:rPr>
        <w:t>A321 DELIVERY MATTERS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Paragraphs 3.4, 3.5 and 3.6 are added to Letter Agreement No. 2 with the following quoted text: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QUOTE</w:t>
      </w:r>
    </w:p>
    <w:p>
      <w:pPr>
        <w:spacing w:after="0" w:line="13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In respect of each A321 Aircraft identified in Schedule I with CAC ID No. [*CTR].</w:t>
      </w:r>
    </w:p>
    <w:p>
      <w:pPr>
        <w:spacing w:after="0" w:line="13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3.5</w:t>
        <w:tab/>
        <w:t>[*CTR]</w:t>
      </w:r>
    </w:p>
    <w:p>
      <w:pPr>
        <w:spacing w:after="0" w:line="13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3.6</w:t>
        <w:tab/>
        <w:t>[*CTR]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UNQUOTE</w:t>
      </w:r>
    </w:p>
    <w:p>
      <w:pPr>
        <w:sectPr>
          <w:pgSz w:w="11900" w:h="16838" w:orient="portrait"/>
          <w:cols w:equalWidth="0" w:num="1">
            <w:col w:w="11420"/>
          </w:cols>
          <w:pgMar w:left="240" w:top="270"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AMD 6 AAL_A320Family_CT1001520</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[*CTR] = [CONFIDENTIAL PORTION OMITTED AND FILED SEPARATELY WITH THE COMMISSION</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PURSUANT TO A REQUEST FOR CONFIDENTIAL TREATMENT]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Page 4</w:t>
      </w:r>
    </w:p>
    <w:p>
      <w:pPr>
        <w:sectPr>
          <w:pgSz w:w="11900" w:h="16838" w:orient="portrait"/>
          <w:cols w:equalWidth="0" w:num="2">
            <w:col w:w="10220" w:space="720"/>
            <w:col w:w="480"/>
          </w:cols>
          <w:pgMar w:left="240" w:top="270" w:right="239" w:bottom="1440" w:gutter="0" w:footer="0" w:header="0"/>
          <w:type w:val="continuous"/>
        </w:sectPr>
      </w:pPr>
    </w:p>
    <w:bookmarkStart w:id="129" w:name="page130"/>
    <w:bookmarkEnd w:id="129"/>
    <w:p>
      <w:pPr>
        <w:ind w:left="460" w:hanging="452"/>
        <w:spacing w:after="0"/>
        <w:tabs>
          <w:tab w:leader="none" w:pos="4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REFERENCES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On and after the date of this Amendment:</w:t>
      </w:r>
    </w:p>
    <w:p>
      <w:pPr>
        <w:spacing w:after="0" w:line="130" w:lineRule="exact"/>
        <w:rPr>
          <w:rFonts w:ascii="Arial" w:cs="Arial" w:eastAsia="Arial" w:hAnsi="Arial"/>
          <w:sz w:val="18"/>
          <w:szCs w:val="18"/>
          <w:b w:val="1"/>
          <w:bCs w:val="1"/>
          <w:color w:val="auto"/>
        </w:rPr>
      </w:pPr>
    </w:p>
    <w:p>
      <w:pPr>
        <w:ind w:left="900" w:hanging="446"/>
        <w:spacing w:after="0" w:line="277" w:lineRule="auto"/>
        <w:tabs>
          <w:tab w:leader="none" w:pos="9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each reference in Letter Agreement No. 1 to “this Letter Agreement”, “hereunder”, “hereof” or words of like import referring to Letter Agreement No. 1 shall mean and be a reference to Letter Agreement No. 1 as amended by this Amendment, and</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each reference in the Agreement to “this Agreement”, “hereunder”, “hereof” or words of like import referring to the Agreement shall mean and be a reference to the Agreement as amended by this Amendment.</w:t>
      </w:r>
    </w:p>
    <w:p>
      <w:pPr>
        <w:spacing w:after="0" w:line="315"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121" w:lineRule="exact"/>
        <w:rPr>
          <w:rFonts w:ascii="Arial" w:cs="Arial" w:eastAsia="Arial" w:hAnsi="Arial"/>
          <w:sz w:val="18"/>
          <w:szCs w:val="18"/>
          <w:b w:val="1"/>
          <w:bCs w:val="1"/>
          <w:color w:val="auto"/>
        </w:rPr>
      </w:pPr>
    </w:p>
    <w:p>
      <w:pPr>
        <w:jc w:val="both"/>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This Amendment and the rights and obligations of the parties will be subject to the provisions of Clause 21 of the Agreement; provided, however, this Amendment may not be assigned by the Buyer under either Clause 21.5 or 21.6 of the Agreement without the express written consent of the Seller, which the Seller may withhold in its sole discretion.</w:t>
      </w:r>
    </w:p>
    <w:p>
      <w:pPr>
        <w:spacing w:after="0" w:line="326"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21" w:lineRule="exact"/>
        <w:rPr>
          <w:rFonts w:ascii="Arial" w:cs="Arial" w:eastAsia="Arial" w:hAnsi="Arial"/>
          <w:sz w:val="18"/>
          <w:szCs w:val="18"/>
          <w:b w:val="1"/>
          <w:bCs w:val="1"/>
          <w:color w:val="auto"/>
        </w:rPr>
      </w:pPr>
    </w:p>
    <w:p>
      <w:pPr>
        <w:jc w:val="both"/>
        <w:ind w:left="4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Each of the Seller and the Buyer agree not to disclose the terms and conditions of this Amendment to any person without the prior written consent of the other party. Notwithstanding the foregoing, each of the Seller and the Buyer agrees that such terms and conditions may be disclosed without such prior written consent (i) as required by law or as necessary in connection with the enforcement of such party’s rights hereunder, and (ii) to the board of directors, managers, employees, auditors, and legal, financial and technical advisors of each party.</w:t>
      </w:r>
    </w:p>
    <w:p>
      <w:pPr>
        <w:spacing w:after="0" w:line="316"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21" w:lineRule="exact"/>
        <w:rPr>
          <w:rFonts w:ascii="Arial" w:cs="Arial" w:eastAsia="Arial" w:hAnsi="Arial"/>
          <w:sz w:val="18"/>
          <w:szCs w:val="18"/>
          <w:b w:val="1"/>
          <w:bCs w:val="1"/>
          <w:color w:val="auto"/>
        </w:rPr>
      </w:pPr>
    </w:p>
    <w:p>
      <w:pPr>
        <w:ind w:lef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Amendment may be executed by the parties hereto in separate counterparts, each of which when so executed and delivered will be an original, but all such counterparts will together constitute but one and the same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spacing w:after="0"/>
        <w:tabs>
          <w:tab w:leader="none" w:pos="10920" w:val="left"/>
        </w:tabs>
        <w:rPr>
          <w:sz w:val="20"/>
          <w:szCs w:val="20"/>
          <w:color w:val="auto"/>
        </w:rPr>
      </w:pPr>
      <w:r>
        <w:rPr>
          <w:rFonts w:ascii="Arial" w:cs="Arial" w:eastAsia="Arial" w:hAnsi="Arial"/>
          <w:sz w:val="18"/>
          <w:szCs w:val="18"/>
          <w:color w:val="auto"/>
        </w:rPr>
        <w:t>AMD 6 AAL_A320Family_CT1001520</w:t>
      </w:r>
      <w:r>
        <w:rPr>
          <w:sz w:val="20"/>
          <w:szCs w:val="20"/>
          <w:color w:val="auto"/>
        </w:rPr>
        <w:tab/>
      </w:r>
      <w:r>
        <w:rPr>
          <w:rFonts w:ascii="Arial" w:cs="Arial" w:eastAsia="Arial" w:hAnsi="Arial"/>
          <w:sz w:val="15"/>
          <w:szCs w:val="15"/>
          <w:color w:val="auto"/>
        </w:rPr>
        <w:t>Page 5</w:t>
      </w:r>
    </w:p>
    <w:p>
      <w:pPr>
        <w:sectPr>
          <w:pgSz w:w="11900" w:h="16838" w:orient="portrait"/>
          <w:cols w:equalWidth="0" w:num="1">
            <w:col w:w="11420"/>
          </w:cols>
          <w:pgMar w:left="240" w:top="270" w:right="239" w:bottom="1440" w:gutter="0" w:footer="0" w:header="0"/>
        </w:sectPr>
      </w:pPr>
    </w:p>
    <w:bookmarkStart w:id="130" w:name="page131"/>
    <w:bookmarkEnd w:id="130"/>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correctly sets forth your understanding, please execute the original and one (1) copy hereof in the space provided below and return a copy to the Seller.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AIRBUS S.A.S.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AIRBUS 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Senior Vice President Contracts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Vice President, Fleet Planning</w:t>
      </w:r>
    </w:p>
    <w:p>
      <w:pPr>
        <w:spacing w:after="0" w:line="143" w:lineRule="exact"/>
        <w:rPr>
          <w:sz w:val="20"/>
          <w:szCs w:val="20"/>
          <w:color w:val="auto"/>
        </w:rPr>
      </w:pPr>
    </w:p>
    <w:p>
      <w:pPr>
        <w:spacing w:after="0"/>
        <w:tabs>
          <w:tab w:leader="none" w:pos="10920" w:val="left"/>
        </w:tabs>
        <w:rPr>
          <w:sz w:val="20"/>
          <w:szCs w:val="20"/>
          <w:color w:val="auto"/>
        </w:rPr>
      </w:pPr>
      <w:r>
        <w:rPr>
          <w:rFonts w:ascii="Arial" w:cs="Arial" w:eastAsia="Arial" w:hAnsi="Arial"/>
          <w:sz w:val="18"/>
          <w:szCs w:val="18"/>
          <w:color w:val="auto"/>
        </w:rPr>
        <w:t>AMD 6 AAL_A320Family_CT1001520</w:t>
      </w:r>
      <w:r>
        <w:rPr>
          <w:sz w:val="20"/>
          <w:szCs w:val="20"/>
          <w:color w:val="auto"/>
        </w:rPr>
        <w:tab/>
      </w:r>
      <w:r>
        <w:rPr>
          <w:rFonts w:ascii="Arial" w:cs="Arial" w:eastAsia="Arial" w:hAnsi="Arial"/>
          <w:sz w:val="15"/>
          <w:szCs w:val="15"/>
          <w:color w:val="auto"/>
        </w:rPr>
        <w:t>Page 6</w:t>
      </w:r>
    </w:p>
    <w:p>
      <w:pPr>
        <w:sectPr>
          <w:pgSz w:w="11900" w:h="16838" w:orient="portrait"/>
          <w:cols w:equalWidth="0" w:num="1">
            <w:col w:w="11420"/>
          </w:cols>
          <w:pgMar w:left="240" w:top="274"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10.4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Agreement No. 37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Agreement No. 1977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Boeing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American Airlines,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Relating to Boeing Model 737-800 Aircraft</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THIS SUPPLEMENTAL AGREEMENT, entered into as of April 25, 2014, (Supplemental Agreement Number 37) by and between THE BOEING COMPANY, a Delaware corporation with offices in Seattle, Washington, (Boeing) and AMERICAN AIRLINES, INC., a Delaware corporation with offices in Fort Worth, Texas, together with its successors and permitted assigns (Customer);</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WHEREAS, Boeing and Customer entered into Purchase Agreement No. 1977 dated October 31, 1997, relating to Boeing Model 737-823 aircraft, as amended and supplemented (the “Purchase Agreement”) and capitalized terms used herein without definitions shall have the meanings specified therefore in such Purchase Agreement;</w:t>
      </w:r>
    </w:p>
    <w:p>
      <w:pPr>
        <w:spacing w:after="0" w:line="18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WHEREAS, Boeing and Customer desire to revise the delivery of the 737-823 aircraft delivering in [*CTR] 2015 to [*CTR] 2015 agreeing to [*CTR] to [*CTR] 2015 and to [*CTR] to the existing [*CTR] 2015 [*CTR].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NOW THEREFORE, in consideration of the mutual covenants herein contained, the parties agree to amend the Purchase Agreement as follows:</w:t>
      </w:r>
    </w:p>
    <w:p>
      <w:pPr>
        <w:spacing w:after="0" w:line="129" w:lineRule="exact"/>
        <w:rPr>
          <w:sz w:val="20"/>
          <w:szCs w:val="20"/>
          <w:color w:val="auto"/>
        </w:rPr>
      </w:pPr>
    </w:p>
    <w:p>
      <w:pPr>
        <w:ind w:left="640" w:hanging="176"/>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Table of Contents</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auto"/>
        </w:rPr>
        <w:t>“Table of Contents</w:t>
      </w:r>
      <w:r>
        <w:rPr>
          <w:rFonts w:ascii="Arial" w:cs="Arial" w:eastAsia="Arial" w:hAnsi="Arial"/>
          <w:sz w:val="18"/>
          <w:szCs w:val="18"/>
          <w:color w:val="auto"/>
        </w:rPr>
        <w:t>” to the Purchase Agreement is deleted in its entirety and a revised “</w:t>
      </w:r>
      <w:r>
        <w:rPr>
          <w:rFonts w:ascii="Arial" w:cs="Arial" w:eastAsia="Arial" w:hAnsi="Arial"/>
          <w:sz w:val="18"/>
          <w:szCs w:val="18"/>
          <w:u w:val="single" w:color="auto"/>
          <w:color w:val="auto"/>
        </w:rPr>
        <w:t>Table of Contents,</w:t>
      </w:r>
      <w:r>
        <w:rPr>
          <w:rFonts w:ascii="Arial" w:cs="Arial" w:eastAsia="Arial" w:hAnsi="Arial"/>
          <w:sz w:val="18"/>
          <w:szCs w:val="18"/>
          <w:color w:val="auto"/>
        </w:rPr>
        <w:t>” attached hereto and identified with an “SA-37” legend is substituted in lieu thereof to reflect the changes made by this SA-37.</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P.A. No. 1977</w:t>
            </w:r>
          </w:p>
        </w:tc>
        <w:tc>
          <w:tcPr>
            <w:tcW w:w="5200" w:type="dxa"/>
            <w:vAlign w:val="bottom"/>
          </w:tcPr>
          <w:p>
            <w:pPr>
              <w:ind w:left="2260"/>
              <w:spacing w:after="0"/>
              <w:rPr>
                <w:sz w:val="20"/>
                <w:szCs w:val="20"/>
                <w:color w:val="auto"/>
              </w:rPr>
            </w:pPr>
            <w:r>
              <w:rPr>
                <w:rFonts w:ascii="Arial" w:cs="Arial" w:eastAsia="Arial" w:hAnsi="Arial"/>
                <w:sz w:val="18"/>
                <w:szCs w:val="18"/>
                <w:color w:val="auto"/>
              </w:rPr>
              <w:t>SA-37</w:t>
            </w:r>
          </w:p>
        </w:tc>
        <w:tc>
          <w:tcPr>
            <w:tcW w:w="2940" w:type="dxa"/>
            <w:vAlign w:val="bottom"/>
          </w:tcPr>
          <w:p>
            <w:pPr>
              <w:ind w:left="2460"/>
              <w:spacing w:after="0"/>
              <w:rPr>
                <w:sz w:val="20"/>
                <w:szCs w:val="20"/>
                <w:color w:val="auto"/>
              </w:rPr>
            </w:pPr>
            <w:r>
              <w:rPr>
                <w:rFonts w:ascii="Arial" w:cs="Arial" w:eastAsia="Arial" w:hAnsi="Arial"/>
                <w:sz w:val="18"/>
                <w:szCs w:val="18"/>
                <w:color w:val="auto"/>
                <w:w w:val="80"/>
              </w:rPr>
              <w:t>Page 1</w:t>
            </w: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AAL</w:t>
            </w:r>
          </w:p>
        </w:tc>
        <w:tc>
          <w:tcPr>
            <w:tcW w:w="5200" w:type="dxa"/>
            <w:vAlign w:val="bottom"/>
          </w:tcPr>
          <w:p>
            <w:pPr>
              <w:spacing w:after="0"/>
              <w:rPr>
                <w:sz w:val="20"/>
                <w:szCs w:val="20"/>
                <w:color w:val="auto"/>
              </w:rPr>
            </w:pPr>
          </w:p>
        </w:tc>
        <w:tc>
          <w:tcPr>
            <w:tcW w:w="2940" w:type="dxa"/>
            <w:vAlign w:val="bottom"/>
          </w:tcPr>
          <w:p>
            <w:pPr>
              <w:spacing w:after="0"/>
              <w:rPr>
                <w:sz w:val="20"/>
                <w:szCs w:val="20"/>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SPH-2042715-6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BOEING PROPRIETARY</w:t>
      </w:r>
    </w:p>
    <w:p>
      <w:pPr>
        <w:spacing w:after="0" w:line="9"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21" w:right="239" w:bottom="1440" w:gutter="0" w:footer="0" w:header="0"/>
        </w:sectPr>
      </w:pPr>
    </w:p>
    <w:bookmarkStart w:id="132" w:name="page133"/>
    <w:bookmarkEnd w:id="132"/>
    <w:p>
      <w:pPr>
        <w:ind w:left="640" w:hanging="176"/>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Revision of Table 1F</w:t>
      </w:r>
      <w:r>
        <w:rPr>
          <w:rFonts w:ascii="Arial" w:cs="Arial" w:eastAsia="Arial" w:hAnsi="Arial"/>
          <w:sz w:val="18"/>
          <w:szCs w:val="18"/>
          <w:color w:val="auto"/>
        </w:rPr>
        <w:t>:</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Table 1F entitled “</w:t>
      </w:r>
      <w:r>
        <w:rPr>
          <w:rFonts w:ascii="Arial" w:cs="Arial" w:eastAsia="Arial" w:hAnsi="Arial"/>
          <w:sz w:val="18"/>
          <w:szCs w:val="18"/>
          <w:u w:val="single" w:color="auto"/>
          <w:color w:val="auto"/>
        </w:rPr>
        <w:t>Aircraft Delivery, Description, Price and Advance Payments – Purchased Aircraft</w:t>
      </w:r>
      <w:r>
        <w:rPr>
          <w:rFonts w:ascii="Arial" w:cs="Arial" w:eastAsia="Arial" w:hAnsi="Arial"/>
          <w:sz w:val="18"/>
          <w:szCs w:val="18"/>
          <w:color w:val="auto"/>
        </w:rPr>
        <w:t>” is deleted in its entirety and a revised Table 1F to revise the [*CTR] 2014 delivery to [*CTR] 2015, attached hereto and identified with an “SA-37” legend is substituted in lieu thereof to reflect the changes made by this SA-37.</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w w:val="95"/>
              </w:rPr>
              <w:t>EXECUTED IN DUPLICATE as of the day and year first above written.</w:t>
            </w:r>
          </w:p>
        </w:tc>
        <w:tc>
          <w:tcPr>
            <w:tcW w:w="780" w:type="dxa"/>
            <w:vAlign w:val="bottom"/>
          </w:tcPr>
          <w:p>
            <w:pPr>
              <w:spacing w:after="0"/>
              <w:rPr>
                <w:sz w:val="20"/>
                <w:szCs w:val="20"/>
                <w:color w:val="auto"/>
              </w:rPr>
            </w:pPr>
          </w:p>
        </w:tc>
        <w:tc>
          <w:tcPr>
            <w:tcW w:w="5240" w:type="dxa"/>
            <w:vAlign w:val="bottom"/>
          </w:tcPr>
          <w:p>
            <w:pPr>
              <w:spacing w:after="0"/>
              <w:rPr>
                <w:sz w:val="20"/>
                <w:szCs w:val="20"/>
                <w:color w:val="auto"/>
              </w:rPr>
            </w:pPr>
          </w:p>
        </w:tc>
      </w:tr>
      <w:tr>
        <w:trPr>
          <w:trHeight w:val="459"/>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THE BOEING COMPANY</w:t>
            </w:r>
          </w:p>
        </w:tc>
        <w:tc>
          <w:tcPr>
            <w:tcW w:w="6020" w:type="dxa"/>
            <w:vAlign w:val="bottom"/>
            <w:gridSpan w:val="2"/>
          </w:tcPr>
          <w:p>
            <w:pPr>
              <w:ind w:left="500"/>
              <w:spacing w:after="0"/>
              <w:rPr>
                <w:sz w:val="20"/>
                <w:szCs w:val="20"/>
                <w:color w:val="auto"/>
              </w:rPr>
            </w:pPr>
            <w:r>
              <w:rPr>
                <w:rFonts w:ascii="Arial" w:cs="Arial" w:eastAsia="Arial" w:hAnsi="Arial"/>
                <w:sz w:val="18"/>
                <w:szCs w:val="18"/>
                <w:b w:val="1"/>
                <w:bCs w:val="1"/>
                <w:color w:val="auto"/>
              </w:rPr>
              <w:t>AMERICAN AIRLINES, INC.</w:t>
            </w: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color w:val="auto"/>
              </w:rPr>
              <w:t>By:  /s/ THE BOEING COMPANY</w:t>
            </w:r>
          </w:p>
        </w:tc>
        <w:tc>
          <w:tcPr>
            <w:tcW w:w="6020" w:type="dxa"/>
            <w:vAlign w:val="bottom"/>
            <w:gridSpan w:val="2"/>
          </w:tcPr>
          <w:p>
            <w:pPr>
              <w:ind w:left="500"/>
              <w:spacing w:after="0"/>
              <w:rPr>
                <w:sz w:val="20"/>
                <w:szCs w:val="20"/>
                <w:color w:val="auto"/>
              </w:rPr>
            </w:pPr>
            <w:r>
              <w:rPr>
                <w:rFonts w:ascii="Arial" w:cs="Arial" w:eastAsia="Arial" w:hAnsi="Arial"/>
                <w:sz w:val="18"/>
                <w:szCs w:val="18"/>
                <w:color w:val="auto"/>
              </w:rPr>
              <w:t>By:  /s/ AMERICAN AIRLINES, INC.</w:t>
            </w:r>
          </w:p>
        </w:tc>
      </w:tr>
      <w:tr>
        <w:trPr>
          <w:trHeight w:val="20"/>
        </w:trPr>
        <w:tc>
          <w:tcPr>
            <w:tcW w:w="28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40" w:type="dxa"/>
            <w:vAlign w:val="bottom"/>
            <w:shd w:val="clear" w:color="auto" w:fill="000000"/>
          </w:tcPr>
          <w:p>
            <w:pPr>
              <w:spacing w:after="0" w:line="20" w:lineRule="exact"/>
              <w:rPr>
                <w:sz w:val="1"/>
                <w:szCs w:val="1"/>
                <w:color w:val="auto"/>
              </w:rPr>
            </w:pPr>
          </w:p>
        </w:tc>
      </w:tr>
      <w:tr>
        <w:trPr>
          <w:trHeight w:val="304"/>
        </w:trPr>
        <w:tc>
          <w:tcPr>
            <w:tcW w:w="5400" w:type="dxa"/>
            <w:vAlign w:val="bottom"/>
            <w:gridSpan w:val="2"/>
          </w:tcPr>
          <w:p>
            <w:pPr>
              <w:spacing w:after="0"/>
              <w:rPr>
                <w:sz w:val="20"/>
                <w:szCs w:val="20"/>
                <w:color w:val="auto"/>
              </w:rPr>
            </w:pPr>
            <w:r>
              <w:rPr>
                <w:rFonts w:ascii="Arial" w:cs="Arial" w:eastAsia="Arial" w:hAnsi="Arial"/>
                <w:sz w:val="18"/>
                <w:szCs w:val="18"/>
                <w:color w:val="auto"/>
              </w:rPr>
              <w:t>Its:  Attorney-In-Fact</w:t>
            </w:r>
          </w:p>
        </w:tc>
        <w:tc>
          <w:tcPr>
            <w:tcW w:w="780" w:type="dxa"/>
            <w:vAlign w:val="bottom"/>
          </w:tcPr>
          <w:p>
            <w:pPr>
              <w:ind w:left="500"/>
              <w:spacing w:after="0"/>
              <w:rPr>
                <w:sz w:val="20"/>
                <w:szCs w:val="20"/>
                <w:color w:val="auto"/>
              </w:rPr>
            </w:pPr>
            <w:r>
              <w:rPr>
                <w:rFonts w:ascii="Arial" w:cs="Arial" w:eastAsia="Arial" w:hAnsi="Arial"/>
                <w:sz w:val="18"/>
                <w:szCs w:val="18"/>
                <w:color w:val="auto"/>
              </w:rPr>
              <w:t>Its:</w:t>
            </w:r>
          </w:p>
        </w:tc>
        <w:tc>
          <w:tcPr>
            <w:tcW w:w="5240" w:type="dxa"/>
            <w:vAlign w:val="bottom"/>
          </w:tcPr>
          <w:p>
            <w:pPr>
              <w:ind w:left="100"/>
              <w:spacing w:after="0"/>
              <w:rPr>
                <w:sz w:val="20"/>
                <w:szCs w:val="20"/>
                <w:color w:val="auto"/>
              </w:rPr>
            </w:pPr>
            <w:r>
              <w:rPr>
                <w:rFonts w:ascii="Arial" w:cs="Arial" w:eastAsia="Arial" w:hAnsi="Arial"/>
                <w:sz w:val="18"/>
                <w:szCs w:val="18"/>
                <w:color w:val="auto"/>
              </w:rPr>
              <w:t>Vice President – Fleet Planning</w:t>
            </w:r>
          </w:p>
        </w:tc>
      </w:tr>
      <w:tr>
        <w:trPr>
          <w:trHeight w:val="350"/>
        </w:trPr>
        <w:tc>
          <w:tcPr>
            <w:tcW w:w="5400" w:type="dxa"/>
            <w:vAlign w:val="bottom"/>
            <w:gridSpan w:val="2"/>
          </w:tcPr>
          <w:p>
            <w:pPr>
              <w:spacing w:after="0"/>
              <w:rPr>
                <w:sz w:val="20"/>
                <w:szCs w:val="20"/>
                <w:color w:val="auto"/>
              </w:rPr>
            </w:pPr>
            <w:r>
              <w:rPr>
                <w:rFonts w:ascii="Arial" w:cs="Arial" w:eastAsia="Arial" w:hAnsi="Arial"/>
                <w:sz w:val="18"/>
                <w:szCs w:val="18"/>
                <w:color w:val="auto"/>
              </w:rPr>
              <w:t>P.A. No. 1977</w:t>
            </w:r>
          </w:p>
        </w:tc>
        <w:tc>
          <w:tcPr>
            <w:tcW w:w="780" w:type="dxa"/>
            <w:vAlign w:val="bottom"/>
          </w:tcPr>
          <w:p>
            <w:pPr>
              <w:ind w:left="140"/>
              <w:spacing w:after="0"/>
              <w:rPr>
                <w:sz w:val="20"/>
                <w:szCs w:val="20"/>
                <w:color w:val="auto"/>
              </w:rPr>
            </w:pPr>
            <w:r>
              <w:rPr>
                <w:rFonts w:ascii="Arial" w:cs="Arial" w:eastAsia="Arial" w:hAnsi="Arial"/>
                <w:sz w:val="18"/>
                <w:szCs w:val="18"/>
                <w:color w:val="auto"/>
              </w:rPr>
              <w:t>SA-37</w:t>
            </w:r>
          </w:p>
        </w:tc>
        <w:tc>
          <w:tcPr>
            <w:tcW w:w="5240" w:type="dxa"/>
            <w:vAlign w:val="bottom"/>
          </w:tcPr>
          <w:p>
            <w:pPr>
              <w:ind w:left="4760"/>
              <w:spacing w:after="0"/>
              <w:rPr>
                <w:sz w:val="20"/>
                <w:szCs w:val="20"/>
                <w:color w:val="auto"/>
              </w:rPr>
            </w:pPr>
            <w:r>
              <w:rPr>
                <w:rFonts w:ascii="Arial" w:cs="Arial" w:eastAsia="Arial" w:hAnsi="Arial"/>
                <w:sz w:val="18"/>
                <w:szCs w:val="18"/>
                <w:color w:val="auto"/>
                <w:w w:val="80"/>
              </w:rPr>
              <w:t>Page 2</w:t>
            </w: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AAL</w:t>
            </w:r>
          </w:p>
        </w:tc>
        <w:tc>
          <w:tcPr>
            <w:tcW w:w="780" w:type="dxa"/>
            <w:vAlign w:val="bottom"/>
          </w:tcPr>
          <w:p>
            <w:pPr>
              <w:spacing w:after="0"/>
              <w:rPr>
                <w:sz w:val="20"/>
                <w:szCs w:val="20"/>
                <w:color w:val="auto"/>
              </w:rPr>
            </w:pPr>
          </w:p>
        </w:tc>
        <w:tc>
          <w:tcPr>
            <w:tcW w:w="5240" w:type="dxa"/>
            <w:vAlign w:val="bottom"/>
          </w:tcPr>
          <w:p>
            <w:pPr>
              <w:spacing w:after="0"/>
              <w:rPr>
                <w:sz w:val="20"/>
                <w:szCs w:val="20"/>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BOEING PROPRIETARY</w:t>
      </w:r>
    </w:p>
    <w:p>
      <w:pPr>
        <w:spacing w:after="0" w:line="23"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80"/>
        <w:spacing w:after="0"/>
        <w:rPr>
          <w:sz w:val="20"/>
          <w:szCs w:val="20"/>
          <w:color w:val="auto"/>
        </w:rPr>
      </w:pPr>
      <w:r>
        <w:rPr>
          <w:rFonts w:ascii="Arial" w:cs="Arial" w:eastAsia="Arial" w:hAnsi="Arial"/>
          <w:sz w:val="18"/>
          <w:szCs w:val="18"/>
          <w:u w:val="single" w:color="auto"/>
          <w:color w:val="auto"/>
        </w:rPr>
        <w:t>ARTICLES</w:t>
      </w:r>
    </w:p>
    <w:p>
      <w:pPr>
        <w:spacing w:after="0" w:line="225" w:lineRule="exact"/>
        <w:rPr>
          <w:sz w:val="20"/>
          <w:szCs w:val="20"/>
          <w:color w:val="auto"/>
        </w:rPr>
      </w:pPr>
    </w:p>
    <w:p>
      <w:pPr>
        <w:ind w:left="2500" w:hanging="1364"/>
        <w:spacing w:after="0"/>
        <w:tabs>
          <w:tab w:leader="none" w:pos="2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Quantity, Model and Description</w:t>
      </w:r>
    </w:p>
    <w:p>
      <w:pPr>
        <w:spacing w:after="0" w:line="23" w:lineRule="exact"/>
        <w:rPr>
          <w:rFonts w:ascii="Arial" w:cs="Arial" w:eastAsia="Arial" w:hAnsi="Arial"/>
          <w:sz w:val="18"/>
          <w:szCs w:val="18"/>
          <w:color w:val="auto"/>
        </w:rPr>
      </w:pPr>
    </w:p>
    <w:p>
      <w:pPr>
        <w:ind w:left="2500" w:hanging="1364"/>
        <w:spacing w:after="0"/>
        <w:tabs>
          <w:tab w:leader="none" w:pos="2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Delivery Schedule</w:t>
      </w:r>
    </w:p>
    <w:p>
      <w:pPr>
        <w:spacing w:after="0" w:line="9" w:lineRule="exact"/>
        <w:rPr>
          <w:rFonts w:ascii="Arial" w:cs="Arial" w:eastAsia="Arial" w:hAnsi="Arial"/>
          <w:sz w:val="18"/>
          <w:szCs w:val="18"/>
          <w:color w:val="auto"/>
        </w:rPr>
      </w:pPr>
    </w:p>
    <w:p>
      <w:pPr>
        <w:ind w:left="2500" w:hanging="1364"/>
        <w:spacing w:after="0"/>
        <w:tabs>
          <w:tab w:leader="none" w:pos="2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Price</w:t>
      </w:r>
    </w:p>
    <w:p>
      <w:pPr>
        <w:spacing w:after="0" w:line="9" w:lineRule="exact"/>
        <w:rPr>
          <w:rFonts w:ascii="Arial" w:cs="Arial" w:eastAsia="Arial" w:hAnsi="Arial"/>
          <w:sz w:val="18"/>
          <w:szCs w:val="18"/>
          <w:color w:val="auto"/>
        </w:rPr>
      </w:pPr>
    </w:p>
    <w:p>
      <w:pPr>
        <w:ind w:left="2500" w:hanging="1364"/>
        <w:spacing w:after="0"/>
        <w:tabs>
          <w:tab w:leader="none" w:pos="2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Payment</w:t>
      </w:r>
    </w:p>
    <w:p>
      <w:pPr>
        <w:spacing w:after="0" w:line="9" w:lineRule="exact"/>
        <w:rPr>
          <w:rFonts w:ascii="Arial" w:cs="Arial" w:eastAsia="Arial" w:hAnsi="Arial"/>
          <w:sz w:val="18"/>
          <w:szCs w:val="18"/>
          <w:color w:val="auto"/>
        </w:rPr>
      </w:pPr>
    </w:p>
    <w:p>
      <w:pPr>
        <w:ind w:left="2500" w:hanging="1364"/>
        <w:spacing w:after="0"/>
        <w:tabs>
          <w:tab w:leader="none" w:pos="2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86"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1080" w:type="dxa"/>
            <w:vAlign w:val="bottom"/>
            <w:gridSpan w:val="2"/>
          </w:tcPr>
          <w:p>
            <w:pPr>
              <w:spacing w:after="0"/>
              <w:rPr>
                <w:sz w:val="20"/>
                <w:szCs w:val="20"/>
                <w:color w:val="auto"/>
              </w:rPr>
            </w:pPr>
            <w:r>
              <w:rPr>
                <w:rFonts w:ascii="Arial" w:cs="Arial" w:eastAsia="Arial" w:hAnsi="Arial"/>
                <w:sz w:val="18"/>
                <w:szCs w:val="18"/>
                <w:color w:val="auto"/>
              </w:rPr>
              <w:t>TABLE</w:t>
            </w:r>
          </w:p>
        </w:tc>
        <w:tc>
          <w:tcPr>
            <w:tcW w:w="7080" w:type="dxa"/>
            <w:vAlign w:val="bottom"/>
          </w:tcPr>
          <w:p>
            <w:pPr>
              <w:spacing w:after="0"/>
              <w:rPr>
                <w:sz w:val="17"/>
                <w:szCs w:val="17"/>
                <w:color w:val="auto"/>
              </w:rPr>
            </w:pPr>
          </w:p>
        </w:tc>
      </w:tr>
      <w:tr>
        <w:trPr>
          <w:trHeight w:val="345"/>
        </w:trPr>
        <w:tc>
          <w:tcPr>
            <w:tcW w:w="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520" w:type="dxa"/>
            <w:vAlign w:val="bottom"/>
          </w:tcPr>
          <w:p>
            <w:pPr>
              <w:spacing w:after="0"/>
              <w:rPr>
                <w:sz w:val="24"/>
                <w:szCs w:val="24"/>
                <w:color w:val="auto"/>
              </w:rPr>
            </w:pPr>
          </w:p>
        </w:tc>
        <w:tc>
          <w:tcPr>
            <w:tcW w:w="7080" w:type="dxa"/>
            <w:vAlign w:val="bottom"/>
          </w:tcPr>
          <w:p>
            <w:pPr>
              <w:ind w:left="500"/>
              <w:spacing w:after="0"/>
              <w:rPr>
                <w:sz w:val="20"/>
                <w:szCs w:val="20"/>
                <w:color w:val="auto"/>
              </w:rPr>
            </w:pPr>
            <w:r>
              <w:rPr>
                <w:rFonts w:ascii="Arial" w:cs="Arial" w:eastAsia="Arial" w:hAnsi="Arial"/>
                <w:sz w:val="18"/>
                <w:szCs w:val="18"/>
                <w:color w:val="auto"/>
              </w:rPr>
              <w:t>Aircraft Delivery, Description, Price and Advance Payments</w:t>
            </w:r>
          </w:p>
        </w:tc>
      </w:tr>
      <w:tr>
        <w:trPr>
          <w:trHeight w:val="324"/>
        </w:trPr>
        <w:tc>
          <w:tcPr>
            <w:tcW w:w="108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1A</w:t>
            </w:r>
          </w:p>
        </w:tc>
        <w:tc>
          <w:tcPr>
            <w:tcW w:w="7080" w:type="dxa"/>
            <w:vAlign w:val="bottom"/>
          </w:tcPr>
          <w:p>
            <w:pPr>
              <w:ind w:left="500"/>
              <w:spacing w:after="0"/>
              <w:rPr>
                <w:sz w:val="20"/>
                <w:szCs w:val="20"/>
                <w:color w:val="auto"/>
              </w:rPr>
            </w:pPr>
            <w:r>
              <w:rPr>
                <w:rFonts w:ascii="Arial" w:cs="Arial" w:eastAsia="Arial" w:hAnsi="Arial"/>
                <w:sz w:val="18"/>
                <w:szCs w:val="18"/>
                <w:color w:val="auto"/>
              </w:rPr>
              <w:t>Aircraft Delivery, Description, Price and Advance Payments – [*CTR]</w:t>
            </w:r>
          </w:p>
        </w:tc>
      </w:tr>
      <w:tr>
        <w:trPr>
          <w:trHeight w:val="324"/>
        </w:trPr>
        <w:tc>
          <w:tcPr>
            <w:tcW w:w="1080" w:type="dxa"/>
            <w:vAlign w:val="bottom"/>
            <w:gridSpan w:val="2"/>
          </w:tcPr>
          <w:p>
            <w:pPr>
              <w:jc w:val="center"/>
              <w:ind w:right="520"/>
              <w:spacing w:after="0"/>
              <w:rPr>
                <w:sz w:val="20"/>
                <w:szCs w:val="20"/>
                <w:color w:val="auto"/>
              </w:rPr>
            </w:pPr>
            <w:r>
              <w:rPr>
                <w:rFonts w:ascii="Arial" w:cs="Arial" w:eastAsia="Arial" w:hAnsi="Arial"/>
                <w:sz w:val="18"/>
                <w:szCs w:val="18"/>
                <w:color w:val="auto"/>
                <w:w w:val="90"/>
              </w:rPr>
              <w:t>1B</w:t>
            </w:r>
          </w:p>
        </w:tc>
        <w:tc>
          <w:tcPr>
            <w:tcW w:w="7080" w:type="dxa"/>
            <w:vAlign w:val="bottom"/>
          </w:tcPr>
          <w:p>
            <w:pPr>
              <w:ind w:left="500"/>
              <w:spacing w:after="0"/>
              <w:rPr>
                <w:sz w:val="20"/>
                <w:szCs w:val="20"/>
                <w:color w:val="auto"/>
              </w:rPr>
            </w:pPr>
            <w:r>
              <w:rPr>
                <w:rFonts w:ascii="Arial" w:cs="Arial" w:eastAsia="Arial" w:hAnsi="Arial"/>
                <w:sz w:val="18"/>
                <w:szCs w:val="18"/>
                <w:color w:val="auto"/>
                <w:w w:val="94"/>
              </w:rPr>
              <w:t>Aircraft Delivery, Description, Price and Advance Payments – Exercised MADP Aircraft</w:t>
            </w:r>
          </w:p>
        </w:tc>
      </w:tr>
      <w:tr>
        <w:trPr>
          <w:trHeight w:val="324"/>
        </w:trPr>
        <w:tc>
          <w:tcPr>
            <w:tcW w:w="1080" w:type="dxa"/>
            <w:vAlign w:val="bottom"/>
            <w:gridSpan w:val="2"/>
          </w:tcPr>
          <w:p>
            <w:pPr>
              <w:jc w:val="center"/>
              <w:ind w:right="520"/>
              <w:spacing w:after="0"/>
              <w:rPr>
                <w:sz w:val="20"/>
                <w:szCs w:val="20"/>
                <w:color w:val="auto"/>
              </w:rPr>
            </w:pPr>
            <w:r>
              <w:rPr>
                <w:rFonts w:ascii="Arial" w:cs="Arial" w:eastAsia="Arial" w:hAnsi="Arial"/>
                <w:sz w:val="18"/>
                <w:szCs w:val="18"/>
                <w:color w:val="auto"/>
                <w:w w:val="86"/>
              </w:rPr>
              <w:t>1C</w:t>
            </w:r>
          </w:p>
        </w:tc>
        <w:tc>
          <w:tcPr>
            <w:tcW w:w="7080" w:type="dxa"/>
            <w:vAlign w:val="bottom"/>
          </w:tcPr>
          <w:p>
            <w:pPr>
              <w:ind w:left="500"/>
              <w:spacing w:after="0"/>
              <w:rPr>
                <w:sz w:val="20"/>
                <w:szCs w:val="20"/>
                <w:color w:val="auto"/>
              </w:rPr>
            </w:pPr>
            <w:r>
              <w:rPr>
                <w:rFonts w:ascii="Arial" w:cs="Arial" w:eastAsia="Arial" w:hAnsi="Arial"/>
                <w:sz w:val="18"/>
                <w:szCs w:val="18"/>
                <w:color w:val="auto"/>
              </w:rPr>
              <w:t>Aircraft Delivery, Description, Price and Advance Payments – [*CTR]</w:t>
            </w:r>
          </w:p>
        </w:tc>
      </w:tr>
      <w:tr>
        <w:trPr>
          <w:trHeight w:val="324"/>
        </w:trPr>
        <w:tc>
          <w:tcPr>
            <w:tcW w:w="1080" w:type="dxa"/>
            <w:vAlign w:val="bottom"/>
            <w:gridSpan w:val="2"/>
          </w:tcPr>
          <w:p>
            <w:pPr>
              <w:jc w:val="center"/>
              <w:ind w:right="500"/>
              <w:spacing w:after="0"/>
              <w:rPr>
                <w:sz w:val="20"/>
                <w:szCs w:val="20"/>
                <w:color w:val="auto"/>
              </w:rPr>
            </w:pPr>
            <w:r>
              <w:rPr>
                <w:rFonts w:ascii="Arial" w:cs="Arial" w:eastAsia="Arial" w:hAnsi="Arial"/>
                <w:sz w:val="18"/>
                <w:szCs w:val="18"/>
                <w:color w:val="auto"/>
                <w:w w:val="95"/>
              </w:rPr>
              <w:t>1D</w:t>
            </w:r>
          </w:p>
        </w:tc>
        <w:tc>
          <w:tcPr>
            <w:tcW w:w="7080" w:type="dxa"/>
            <w:vAlign w:val="bottom"/>
          </w:tcPr>
          <w:p>
            <w:pPr>
              <w:ind w:left="500"/>
              <w:spacing w:after="0"/>
              <w:rPr>
                <w:sz w:val="20"/>
                <w:szCs w:val="20"/>
                <w:color w:val="auto"/>
              </w:rPr>
            </w:pPr>
            <w:r>
              <w:rPr>
                <w:rFonts w:ascii="Arial" w:cs="Arial" w:eastAsia="Arial" w:hAnsi="Arial"/>
                <w:sz w:val="18"/>
                <w:szCs w:val="18"/>
                <w:color w:val="auto"/>
                <w:w w:val="92"/>
              </w:rPr>
              <w:t>Aircraft Delivery, Description, Price and Advance Payments – Boeing Sky Interior Aircraft</w:t>
            </w:r>
          </w:p>
        </w:tc>
      </w:tr>
      <w:tr>
        <w:trPr>
          <w:trHeight w:val="324"/>
        </w:trPr>
        <w:tc>
          <w:tcPr>
            <w:tcW w:w="1080" w:type="dxa"/>
            <w:vAlign w:val="bottom"/>
            <w:gridSpan w:val="2"/>
          </w:tcPr>
          <w:p>
            <w:pPr>
              <w:jc w:val="center"/>
              <w:ind w:right="520"/>
              <w:spacing w:after="0"/>
              <w:rPr>
                <w:sz w:val="20"/>
                <w:szCs w:val="20"/>
                <w:color w:val="auto"/>
              </w:rPr>
            </w:pPr>
            <w:r>
              <w:rPr>
                <w:rFonts w:ascii="Arial" w:cs="Arial" w:eastAsia="Arial" w:hAnsi="Arial"/>
                <w:sz w:val="18"/>
                <w:szCs w:val="18"/>
                <w:color w:val="auto"/>
                <w:w w:val="90"/>
              </w:rPr>
              <w:t>1E</w:t>
            </w:r>
          </w:p>
        </w:tc>
        <w:tc>
          <w:tcPr>
            <w:tcW w:w="7080" w:type="dxa"/>
            <w:vAlign w:val="bottom"/>
          </w:tcPr>
          <w:p>
            <w:pPr>
              <w:ind w:left="500"/>
              <w:spacing w:after="0"/>
              <w:rPr>
                <w:sz w:val="20"/>
                <w:szCs w:val="20"/>
                <w:color w:val="auto"/>
              </w:rPr>
            </w:pPr>
            <w:r>
              <w:rPr>
                <w:rFonts w:ascii="Arial" w:cs="Arial" w:eastAsia="Arial" w:hAnsi="Arial"/>
                <w:sz w:val="18"/>
                <w:szCs w:val="18"/>
                <w:color w:val="auto"/>
                <w:w w:val="95"/>
              </w:rPr>
              <w:t>Aircraft Delivery, Description, Price and Advance Payments – SA-34 Exercised Aircraft</w:t>
            </w:r>
          </w:p>
        </w:tc>
      </w:tr>
      <w:tr>
        <w:trPr>
          <w:trHeight w:val="324"/>
        </w:trPr>
        <w:tc>
          <w:tcPr>
            <w:tcW w:w="108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4"/>
              </w:rPr>
              <w:t>1F</w:t>
            </w:r>
          </w:p>
        </w:tc>
        <w:tc>
          <w:tcPr>
            <w:tcW w:w="7080" w:type="dxa"/>
            <w:vAlign w:val="bottom"/>
          </w:tcPr>
          <w:p>
            <w:pPr>
              <w:ind w:left="500"/>
              <w:spacing w:after="0"/>
              <w:rPr>
                <w:sz w:val="20"/>
                <w:szCs w:val="20"/>
                <w:color w:val="auto"/>
              </w:rPr>
            </w:pPr>
            <w:r>
              <w:rPr>
                <w:rFonts w:ascii="Arial" w:cs="Arial" w:eastAsia="Arial" w:hAnsi="Arial"/>
                <w:sz w:val="18"/>
                <w:szCs w:val="18"/>
                <w:b w:val="1"/>
                <w:bCs w:val="1"/>
                <w:color w:val="auto"/>
                <w:w w:val="95"/>
              </w:rPr>
              <w:t>Aircraft Delivery, Description, Price and Advance Payments – Purchased Aircraft</w:t>
            </w:r>
          </w:p>
        </w:tc>
      </w:tr>
    </w:tbl>
    <w:p>
      <w:pPr>
        <w:spacing w:after="0" w:line="94"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EXHIBITS</w:t>
      </w:r>
    </w:p>
    <w:p>
      <w:pPr>
        <w:spacing w:after="0" w:line="117" w:lineRule="exact"/>
        <w:rPr>
          <w:sz w:val="20"/>
          <w:szCs w:val="20"/>
          <w:color w:val="auto"/>
        </w:rPr>
      </w:pPr>
    </w:p>
    <w:p>
      <w:pPr>
        <w:ind w:left="2500" w:hanging="1362"/>
        <w:spacing w:after="0"/>
        <w:tabs>
          <w:tab w:leader="none" w:pos="2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Aircraft Configuration</w:t>
      </w:r>
    </w:p>
    <w:p>
      <w:pPr>
        <w:spacing w:after="0" w:line="18" w:lineRule="exact"/>
        <w:rPr>
          <w:sz w:val="20"/>
          <w:szCs w:val="20"/>
          <w:color w:val="auto"/>
        </w:rPr>
      </w:pPr>
    </w:p>
    <w:tbl>
      <w:tblPr>
        <w:tblLayout w:type="fixed"/>
        <w:tblInd w:w="110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Arial" w:cs="Arial" w:eastAsia="Arial" w:hAnsi="Arial"/>
                <w:sz w:val="18"/>
                <w:szCs w:val="18"/>
                <w:color w:val="auto"/>
              </w:rPr>
              <w:t>A1</w:t>
            </w:r>
          </w:p>
        </w:tc>
        <w:tc>
          <w:tcPr>
            <w:tcW w:w="2220" w:type="dxa"/>
            <w:vAlign w:val="bottom"/>
          </w:tcPr>
          <w:p>
            <w:pPr>
              <w:ind w:left="580"/>
              <w:spacing w:after="0"/>
              <w:rPr>
                <w:sz w:val="20"/>
                <w:szCs w:val="20"/>
                <w:color w:val="auto"/>
              </w:rPr>
            </w:pPr>
            <w:r>
              <w:rPr>
                <w:rFonts w:ascii="Arial" w:cs="Arial" w:eastAsia="Arial" w:hAnsi="Arial"/>
                <w:sz w:val="18"/>
                <w:szCs w:val="18"/>
                <w:color w:val="auto"/>
                <w:w w:val="95"/>
              </w:rPr>
              <w:t>Aircraft Configuration</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A2</w:t>
            </w:r>
          </w:p>
        </w:tc>
        <w:tc>
          <w:tcPr>
            <w:tcW w:w="2220" w:type="dxa"/>
            <w:vAlign w:val="bottom"/>
          </w:tcPr>
          <w:p>
            <w:pPr>
              <w:ind w:left="580"/>
              <w:spacing w:after="0"/>
              <w:rPr>
                <w:sz w:val="20"/>
                <w:szCs w:val="20"/>
                <w:color w:val="auto"/>
              </w:rPr>
            </w:pPr>
            <w:r>
              <w:rPr>
                <w:rFonts w:ascii="Arial" w:cs="Arial" w:eastAsia="Arial" w:hAnsi="Arial"/>
                <w:sz w:val="18"/>
                <w:szCs w:val="18"/>
                <w:color w:val="auto"/>
                <w:w w:val="95"/>
              </w:rPr>
              <w:t>Aircraft Configuration</w:t>
            </w:r>
          </w:p>
        </w:tc>
      </w:tr>
    </w:tbl>
    <w:p>
      <w:pPr>
        <w:ind w:left="2500" w:hanging="1357"/>
        <w:spacing w:after="0"/>
        <w:tabs>
          <w:tab w:leader="none" w:pos="25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Aircraft Delivery Requirements and Responsibilities</w:t>
      </w:r>
    </w:p>
    <w:p>
      <w:pPr>
        <w:spacing w:after="0" w:line="9" w:lineRule="exact"/>
        <w:rPr>
          <w:sz w:val="20"/>
          <w:szCs w:val="20"/>
          <w:color w:val="auto"/>
        </w:rPr>
      </w:pPr>
    </w:p>
    <w:p>
      <w:pPr>
        <w:ind w:left="2500" w:hanging="1357"/>
        <w:spacing w:after="0"/>
        <w:tabs>
          <w:tab w:leader="none" w:pos="25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Defined Terms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SUPPLEMENTAL EXHIBITS</w:t>
            </w:r>
          </w:p>
        </w:tc>
        <w:tc>
          <w:tcPr>
            <w:tcW w:w="4400" w:type="dxa"/>
            <w:vAlign w:val="bottom"/>
          </w:tcPr>
          <w:p>
            <w:pPr>
              <w:spacing w:after="0"/>
              <w:rPr>
                <w:sz w:val="18"/>
                <w:szCs w:val="18"/>
                <w:color w:val="auto"/>
              </w:rPr>
            </w:pPr>
          </w:p>
        </w:tc>
      </w:tr>
      <w:tr>
        <w:trPr>
          <w:trHeight w:val="222"/>
        </w:trPr>
        <w:tc>
          <w:tcPr>
            <w:tcW w:w="8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AE1</w:t>
            </w:r>
          </w:p>
        </w:tc>
        <w:tc>
          <w:tcPr>
            <w:tcW w:w="100" w:type="dxa"/>
            <w:vAlign w:val="bottom"/>
          </w:tcPr>
          <w:p>
            <w:pPr>
              <w:spacing w:after="0"/>
              <w:rPr>
                <w:sz w:val="19"/>
                <w:szCs w:val="19"/>
                <w:color w:val="auto"/>
              </w:rPr>
            </w:pPr>
          </w:p>
        </w:tc>
        <w:tc>
          <w:tcPr>
            <w:tcW w:w="4400" w:type="dxa"/>
            <w:vAlign w:val="bottom"/>
          </w:tcPr>
          <w:p>
            <w:pPr>
              <w:ind w:left="80"/>
              <w:spacing w:after="0"/>
              <w:rPr>
                <w:sz w:val="20"/>
                <w:szCs w:val="20"/>
                <w:color w:val="auto"/>
              </w:rPr>
            </w:pPr>
            <w:r>
              <w:rPr>
                <w:rFonts w:ascii="Arial" w:cs="Arial" w:eastAsia="Arial" w:hAnsi="Arial"/>
                <w:sz w:val="18"/>
                <w:szCs w:val="18"/>
                <w:color w:val="auto"/>
                <w:w w:val="99"/>
              </w:rPr>
              <w:t>Escalation Adjustment Airframe and Optional Features</w:t>
            </w:r>
          </w:p>
        </w:tc>
      </w:tr>
      <w:tr>
        <w:trPr>
          <w:trHeight w:val="216"/>
        </w:trPr>
        <w:tc>
          <w:tcPr>
            <w:tcW w:w="80" w:type="dxa"/>
            <w:vAlign w:val="bottom"/>
          </w:tcPr>
          <w:p>
            <w:pPr>
              <w:spacing w:after="0"/>
              <w:rPr>
                <w:sz w:val="18"/>
                <w:szCs w:val="18"/>
                <w:color w:val="auto"/>
              </w:rPr>
            </w:pPr>
          </w:p>
        </w:tc>
        <w:tc>
          <w:tcPr>
            <w:tcW w:w="23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BFE1</w:t>
            </w:r>
          </w:p>
        </w:tc>
        <w:tc>
          <w:tcPr>
            <w:tcW w:w="4400" w:type="dxa"/>
            <w:vAlign w:val="bottom"/>
          </w:tcPr>
          <w:p>
            <w:pPr>
              <w:ind w:left="80"/>
              <w:spacing w:after="0"/>
              <w:rPr>
                <w:sz w:val="20"/>
                <w:szCs w:val="20"/>
                <w:color w:val="auto"/>
              </w:rPr>
            </w:pPr>
            <w:r>
              <w:rPr>
                <w:rFonts w:ascii="Arial" w:cs="Arial" w:eastAsia="Arial" w:hAnsi="Arial"/>
                <w:sz w:val="18"/>
                <w:szCs w:val="18"/>
                <w:color w:val="auto"/>
              </w:rPr>
              <w:t>BFE Variables</w:t>
            </w:r>
          </w:p>
        </w:tc>
      </w:tr>
      <w:tr>
        <w:trPr>
          <w:trHeight w:val="216"/>
        </w:trPr>
        <w:tc>
          <w:tcPr>
            <w:tcW w:w="80" w:type="dxa"/>
            <w:vAlign w:val="bottom"/>
          </w:tcPr>
          <w:p>
            <w:pPr>
              <w:spacing w:after="0"/>
              <w:rPr>
                <w:sz w:val="18"/>
                <w:szCs w:val="18"/>
                <w:color w:val="auto"/>
              </w:rPr>
            </w:pP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CS1</w:t>
            </w:r>
          </w:p>
        </w:tc>
        <w:tc>
          <w:tcPr>
            <w:tcW w:w="4400" w:type="dxa"/>
            <w:vAlign w:val="bottom"/>
          </w:tcPr>
          <w:p>
            <w:pPr>
              <w:ind w:left="80"/>
              <w:spacing w:after="0"/>
              <w:rPr>
                <w:sz w:val="20"/>
                <w:szCs w:val="20"/>
                <w:color w:val="auto"/>
              </w:rPr>
            </w:pPr>
            <w:r>
              <w:rPr>
                <w:rFonts w:ascii="Arial" w:cs="Arial" w:eastAsia="Arial" w:hAnsi="Arial"/>
                <w:sz w:val="18"/>
                <w:szCs w:val="18"/>
                <w:color w:val="auto"/>
              </w:rPr>
              <w:t>Customer Support Variables</w:t>
            </w:r>
          </w:p>
        </w:tc>
      </w:tr>
      <w:tr>
        <w:trPr>
          <w:trHeight w:val="216"/>
        </w:trPr>
        <w:tc>
          <w:tcPr>
            <w:tcW w:w="80" w:type="dxa"/>
            <w:vAlign w:val="bottom"/>
          </w:tcPr>
          <w:p>
            <w:pPr>
              <w:spacing w:after="0"/>
              <w:rPr>
                <w:sz w:val="18"/>
                <w:szCs w:val="18"/>
                <w:color w:val="auto"/>
              </w:rPr>
            </w:pP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SLP1</w:t>
            </w:r>
          </w:p>
        </w:tc>
        <w:tc>
          <w:tcPr>
            <w:tcW w:w="4400" w:type="dxa"/>
            <w:vAlign w:val="bottom"/>
          </w:tcPr>
          <w:p>
            <w:pPr>
              <w:ind w:left="80"/>
              <w:spacing w:after="0"/>
              <w:rPr>
                <w:sz w:val="20"/>
                <w:szCs w:val="20"/>
                <w:color w:val="auto"/>
              </w:rPr>
            </w:pPr>
            <w:r>
              <w:rPr>
                <w:rFonts w:ascii="Arial" w:cs="Arial" w:eastAsia="Arial" w:hAnsi="Arial"/>
                <w:sz w:val="18"/>
                <w:szCs w:val="18"/>
                <w:color w:val="auto"/>
              </w:rPr>
              <w:t>Service Life Policy Components</w:t>
            </w:r>
          </w:p>
        </w:tc>
      </w:tr>
      <w:tr>
        <w:trPr>
          <w:trHeight w:val="230"/>
        </w:trPr>
        <w:tc>
          <w:tcPr>
            <w:tcW w:w="80" w:type="dxa"/>
            <w:vAlign w:val="bottom"/>
          </w:tcPr>
          <w:p>
            <w:pPr>
              <w:spacing w:after="0"/>
              <w:rPr>
                <w:sz w:val="20"/>
                <w:szCs w:val="20"/>
                <w:color w:val="auto"/>
              </w:rPr>
            </w:pP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EE1</w:t>
            </w:r>
          </w:p>
        </w:tc>
        <w:tc>
          <w:tcPr>
            <w:tcW w:w="4400" w:type="dxa"/>
            <w:vAlign w:val="bottom"/>
          </w:tcPr>
          <w:p>
            <w:pPr>
              <w:ind w:left="80"/>
              <w:spacing w:after="0"/>
              <w:rPr>
                <w:sz w:val="20"/>
                <w:szCs w:val="20"/>
                <w:color w:val="auto"/>
              </w:rPr>
            </w:pPr>
            <w:r>
              <w:rPr>
                <w:rFonts w:ascii="Arial" w:cs="Arial" w:eastAsia="Arial" w:hAnsi="Arial"/>
                <w:sz w:val="18"/>
                <w:szCs w:val="18"/>
                <w:color w:val="auto"/>
                <w:w w:val="92"/>
              </w:rPr>
              <w:t>Engine Escalation, Engine Warranty and Patent Indemnity</w:t>
            </w:r>
          </w:p>
        </w:tc>
      </w:tr>
      <w:tr>
        <w:trPr>
          <w:trHeight w:val="350"/>
        </w:trPr>
        <w:tc>
          <w:tcPr>
            <w:tcW w:w="2420" w:type="dxa"/>
            <w:vAlign w:val="bottom"/>
            <w:gridSpan w:val="3"/>
          </w:tcPr>
          <w:p>
            <w:pPr>
              <w:spacing w:after="0"/>
              <w:rPr>
                <w:sz w:val="20"/>
                <w:szCs w:val="20"/>
                <w:color w:val="auto"/>
              </w:rPr>
            </w:pPr>
            <w:r>
              <w:rPr>
                <w:rFonts w:ascii="Arial" w:cs="Arial" w:eastAsia="Arial" w:hAnsi="Arial"/>
                <w:sz w:val="18"/>
                <w:szCs w:val="18"/>
                <w:color w:val="auto"/>
              </w:rPr>
              <w:t>P.A. No. 1977</w:t>
            </w:r>
          </w:p>
        </w:tc>
        <w:tc>
          <w:tcPr>
            <w:tcW w:w="4400" w:type="dxa"/>
            <w:vAlign w:val="bottom"/>
          </w:tcPr>
          <w:p>
            <w:pPr>
              <w:spacing w:after="0"/>
              <w:rPr>
                <w:sz w:val="24"/>
                <w:szCs w:val="24"/>
                <w:color w:val="auto"/>
              </w:rPr>
            </w:pPr>
          </w:p>
        </w:tc>
      </w:tr>
      <w:tr>
        <w:trPr>
          <w:trHeight w:val="244"/>
        </w:trPr>
        <w:tc>
          <w:tcPr>
            <w:tcW w:w="2420" w:type="dxa"/>
            <w:vAlign w:val="bottom"/>
            <w:gridSpan w:val="3"/>
          </w:tcPr>
          <w:p>
            <w:pPr>
              <w:spacing w:after="0"/>
              <w:rPr>
                <w:sz w:val="20"/>
                <w:szCs w:val="20"/>
                <w:color w:val="auto"/>
              </w:rPr>
            </w:pPr>
            <w:r>
              <w:rPr>
                <w:rFonts w:ascii="Arial" w:cs="Arial" w:eastAsia="Arial" w:hAnsi="Arial"/>
                <w:sz w:val="18"/>
                <w:szCs w:val="18"/>
                <w:color w:val="auto"/>
              </w:rPr>
              <w:t>Table of Contents</w:t>
            </w:r>
          </w:p>
        </w:tc>
        <w:tc>
          <w:tcPr>
            <w:tcW w:w="4400" w:type="dxa"/>
            <w:vAlign w:val="bottom"/>
          </w:tcPr>
          <w:p>
            <w:pPr>
              <w:ind w:left="2320"/>
              <w:spacing w:after="0"/>
              <w:rPr>
                <w:sz w:val="20"/>
                <w:szCs w:val="20"/>
                <w:color w:val="auto"/>
              </w:rPr>
            </w:pPr>
            <w:r>
              <w:rPr>
                <w:rFonts w:ascii="Arial" w:cs="Arial" w:eastAsia="Arial" w:hAnsi="Arial"/>
                <w:sz w:val="18"/>
                <w:szCs w:val="18"/>
                <w:b w:val="1"/>
                <w:bCs w:val="1"/>
                <w:color w:val="auto"/>
                <w:w w:val="99"/>
              </w:rPr>
              <w:t>BOEING PROPRIETARY</w:t>
            </w:r>
          </w:p>
        </w:tc>
      </w:tr>
    </w:tbl>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center"/>
        <w:ind w:right="160"/>
        <w:spacing w:after="0"/>
        <w:rPr>
          <w:sz w:val="20"/>
          <w:szCs w:val="20"/>
          <w:color w:val="auto"/>
        </w:rPr>
      </w:pPr>
      <w:r>
        <w:rPr>
          <w:rFonts w:ascii="Arial" w:cs="Arial" w:eastAsia="Arial" w:hAnsi="Arial"/>
          <w:sz w:val="14"/>
          <w:szCs w:val="14"/>
          <w:color w:val="auto"/>
        </w:rPr>
        <w:t>SA</w:t>
      </w:r>
    </w:p>
    <w:p>
      <w:pPr>
        <w:jc w:val="center"/>
        <w:ind w:right="160"/>
        <w:spacing w:after="0"/>
        <w:rPr>
          <w:sz w:val="20"/>
          <w:szCs w:val="20"/>
          <w:color w:val="auto"/>
        </w:rPr>
      </w:pPr>
      <w:r>
        <w:rPr>
          <w:rFonts w:ascii="Arial" w:cs="Arial" w:eastAsia="Arial" w:hAnsi="Arial"/>
          <w:sz w:val="14"/>
          <w:szCs w:val="14"/>
          <w:u w:val="single" w:color="auto"/>
          <w:color w:val="auto"/>
        </w:rPr>
        <w:t>NUMBER</w:t>
      </w:r>
    </w:p>
    <w:p>
      <w:pPr>
        <w:spacing w:after="0" w:line="3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SA-21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SA-29</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SA-33</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SA-33</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SA-33</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SA-33</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SA-34</w:t>
      </w:r>
    </w:p>
    <w:p>
      <w:pPr>
        <w:spacing w:after="0" w:line="11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SA-37</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SA-33</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SA-33</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SA-20</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SA-35</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SA-37</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w:t>
      </w:r>
    </w:p>
    <w:p>
      <w:pPr>
        <w:spacing w:after="0" w:line="222" w:lineRule="exact"/>
        <w:rPr>
          <w:sz w:val="20"/>
          <w:szCs w:val="20"/>
          <w:color w:val="auto"/>
        </w:rPr>
      </w:pPr>
    </w:p>
    <w:p>
      <w:pPr>
        <w:sectPr>
          <w:pgSz w:w="11900" w:h="16838" w:orient="portrait"/>
          <w:cols w:equalWidth="0" w:num="2">
            <w:col w:w="9920" w:space="720"/>
            <w:col w:w="780"/>
          </w:cols>
          <w:pgMar w:left="240" w:top="274" w:right="239" w:bottom="1440" w:gutter="0" w:footer="0" w:header="0"/>
          <w:type w:val="continuous"/>
        </w:sectPr>
      </w:pP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134" w:name="page135"/>
    <w:bookmarkEnd w:id="134"/>
    <w:tbl>
      <w:tblPr>
        <w:tblLayout w:type="fixed"/>
        <w:tblInd w:w="0" w:type="dxa"/>
        <w:tblCellMar>
          <w:top w:w="0" w:type="dxa"/>
          <w:left w:w="0" w:type="dxa"/>
          <w:bottom w:w="0" w:type="dxa"/>
          <w:right w:w="0" w:type="dxa"/>
        </w:tblCellMar>
      </w:tblPr>
      <w:tr>
        <w:trPr>
          <w:trHeight w:val="230"/>
        </w:trPr>
        <w:tc>
          <w:tcPr>
            <w:tcW w:w="1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0" w:type="dxa"/>
            <w:vAlign w:val="bottom"/>
          </w:tcPr>
          <w:p>
            <w:pPr>
              <w:ind w:left="700"/>
              <w:spacing w:after="0"/>
              <w:rPr>
                <w:sz w:val="20"/>
                <w:szCs w:val="20"/>
                <w:color w:val="auto"/>
              </w:rPr>
            </w:pPr>
            <w:r>
              <w:rPr>
                <w:rFonts w:ascii="Arial" w:cs="Arial" w:eastAsia="Arial" w:hAnsi="Arial"/>
                <w:sz w:val="18"/>
                <w:szCs w:val="18"/>
                <w:color w:val="auto"/>
              </w:rPr>
              <w:t>TABLE OF CONTENTS, continued</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1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SA</w:t>
            </w:r>
          </w:p>
        </w:tc>
        <w:tc>
          <w:tcPr>
            <w:tcW w:w="0" w:type="dxa"/>
            <w:vAlign w:val="bottom"/>
          </w:tcPr>
          <w:p>
            <w:pPr>
              <w:spacing w:after="0"/>
              <w:rPr>
                <w:sz w:val="1"/>
                <w:szCs w:val="1"/>
                <w:color w:val="auto"/>
              </w:rPr>
            </w:pPr>
          </w:p>
        </w:tc>
      </w:tr>
      <w:tr>
        <w:trPr>
          <w:trHeight w:val="167"/>
        </w:trPr>
        <w:tc>
          <w:tcPr>
            <w:tcW w:w="2580" w:type="dxa"/>
            <w:vAlign w:val="bottom"/>
            <w:gridSpan w:val="2"/>
            <w:vMerge w:val="restart"/>
          </w:tcPr>
          <w:p>
            <w:pPr>
              <w:spacing w:after="0"/>
              <w:rPr>
                <w:sz w:val="20"/>
                <w:szCs w:val="20"/>
                <w:color w:val="auto"/>
              </w:rPr>
            </w:pPr>
            <w:r>
              <w:rPr>
                <w:rFonts w:ascii="Arial" w:cs="Arial" w:eastAsia="Arial" w:hAnsi="Arial"/>
                <w:sz w:val="18"/>
                <w:szCs w:val="18"/>
                <w:color w:val="auto"/>
              </w:rPr>
              <w:t>LETTER AGREEMENTS</w:t>
            </w:r>
          </w:p>
        </w:tc>
        <w:tc>
          <w:tcPr>
            <w:tcW w:w="11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w w:val="98"/>
              </w:rPr>
              <w:t>NUMBER</w:t>
            </w:r>
          </w:p>
        </w:tc>
        <w:tc>
          <w:tcPr>
            <w:tcW w:w="0" w:type="dxa"/>
            <w:vAlign w:val="bottom"/>
          </w:tcPr>
          <w:p>
            <w:pPr>
              <w:spacing w:after="0"/>
              <w:rPr>
                <w:sz w:val="1"/>
                <w:szCs w:val="1"/>
                <w:color w:val="auto"/>
              </w:rPr>
            </w:pPr>
          </w:p>
        </w:tc>
      </w:tr>
      <w:tr>
        <w:trPr>
          <w:trHeight w:val="156"/>
        </w:trPr>
        <w:tc>
          <w:tcPr>
            <w:tcW w:w="2580" w:type="dxa"/>
            <w:vAlign w:val="bottom"/>
            <w:gridSpan w:val="2"/>
            <w:vMerge w:val="continue"/>
          </w:tcPr>
          <w:p>
            <w:pPr>
              <w:spacing w:after="0"/>
              <w:rPr>
                <w:sz w:val="13"/>
                <w:szCs w:val="13"/>
                <w:color w:val="auto"/>
              </w:rPr>
            </w:pPr>
          </w:p>
        </w:tc>
        <w:tc>
          <w:tcPr>
            <w:tcW w:w="112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6-1162-AKP-070</w:t>
            </w:r>
          </w:p>
        </w:tc>
        <w:tc>
          <w:tcPr>
            <w:tcW w:w="660" w:type="dxa"/>
            <w:vAlign w:val="bottom"/>
          </w:tcPr>
          <w:p>
            <w:pPr>
              <w:spacing w:after="0"/>
              <w:rPr>
                <w:sz w:val="21"/>
                <w:szCs w:val="21"/>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Miscellaneous Commitments for Model 737, 757,767</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1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and 777 Aircraft</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920" w:type="dxa"/>
            <w:vAlign w:val="bottom"/>
          </w:tcPr>
          <w:p>
            <w:pPr>
              <w:spacing w:after="0"/>
              <w:rPr>
                <w:sz w:val="20"/>
                <w:szCs w:val="20"/>
                <w:color w:val="auto"/>
              </w:rPr>
            </w:pPr>
            <w:r>
              <w:rPr>
                <w:rFonts w:ascii="Arial" w:cs="Arial" w:eastAsia="Arial" w:hAnsi="Arial"/>
                <w:sz w:val="18"/>
                <w:szCs w:val="18"/>
                <w:color w:val="auto"/>
                <w:strike w:val="1"/>
              </w:rPr>
              <w:t>6-1162-AKP-072R1</w:t>
            </w:r>
          </w:p>
        </w:tc>
        <w:tc>
          <w:tcPr>
            <w:tcW w:w="660" w:type="dxa"/>
            <w:vAlign w:val="bottom"/>
          </w:tcPr>
          <w:p>
            <w:pPr>
              <w:spacing w:after="0"/>
              <w:rPr>
                <w:sz w:val="24"/>
                <w:szCs w:val="24"/>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Terminated Per AAL-PA-1977-LA-1105595</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580" w:type="dxa"/>
            <w:vAlign w:val="bottom"/>
            <w:gridSpan w:val="2"/>
          </w:tcPr>
          <w:p>
            <w:pPr>
              <w:spacing w:after="0"/>
              <w:rPr>
                <w:sz w:val="20"/>
                <w:szCs w:val="20"/>
                <w:color w:val="auto"/>
              </w:rPr>
            </w:pPr>
            <w:r>
              <w:rPr>
                <w:rFonts w:ascii="Arial" w:cs="Arial" w:eastAsia="Arial" w:hAnsi="Arial"/>
                <w:sz w:val="18"/>
                <w:szCs w:val="18"/>
                <w:color w:val="auto"/>
              </w:rPr>
              <w:t>6-1162-AKP-073</w:t>
            </w:r>
          </w:p>
        </w:tc>
        <w:tc>
          <w:tcPr>
            <w:tcW w:w="8120" w:type="dxa"/>
            <w:vAlign w:val="bottom"/>
            <w:gridSpan w:val="2"/>
          </w:tcPr>
          <w:p>
            <w:pPr>
              <w:spacing w:after="0"/>
              <w:rPr>
                <w:sz w:val="20"/>
                <w:szCs w:val="20"/>
                <w:color w:val="auto"/>
              </w:rPr>
            </w:pPr>
            <w:r>
              <w:rPr>
                <w:rFonts w:ascii="Arial" w:cs="Arial" w:eastAsia="Arial" w:hAnsi="Arial"/>
                <w:sz w:val="18"/>
                <w:szCs w:val="18"/>
                <w:color w:val="auto"/>
              </w:rPr>
              <w:t>Accident Claims and Litigation</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580" w:type="dxa"/>
            <w:vAlign w:val="bottom"/>
            <w:gridSpan w:val="2"/>
          </w:tcPr>
          <w:p>
            <w:pPr>
              <w:spacing w:after="0"/>
              <w:rPr>
                <w:sz w:val="20"/>
                <w:szCs w:val="20"/>
                <w:color w:val="auto"/>
              </w:rPr>
            </w:pPr>
            <w:r>
              <w:rPr>
                <w:rFonts w:ascii="Arial" w:cs="Arial" w:eastAsia="Arial" w:hAnsi="Arial"/>
                <w:sz w:val="18"/>
                <w:szCs w:val="18"/>
                <w:color w:val="auto"/>
              </w:rPr>
              <w:t>6-1162-AKP-074R2</w:t>
            </w:r>
          </w:p>
        </w:tc>
        <w:tc>
          <w:tcPr>
            <w:tcW w:w="8120" w:type="dxa"/>
            <w:vAlign w:val="bottom"/>
            <w:gridSpan w:val="2"/>
          </w:tcPr>
          <w:p>
            <w:pPr>
              <w:spacing w:after="0"/>
              <w:rPr>
                <w:sz w:val="20"/>
                <w:szCs w:val="20"/>
                <w:color w:val="auto"/>
              </w:rPr>
            </w:pPr>
            <w:r>
              <w:rPr>
                <w:rFonts w:ascii="Arial" w:cs="Arial" w:eastAsia="Arial" w:hAnsi="Arial"/>
                <w:sz w:val="18"/>
                <w:szCs w:val="18"/>
                <w:color w:val="auto"/>
              </w:rPr>
              <w:t>Business Considerations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580" w:type="dxa"/>
            <w:vAlign w:val="bottom"/>
            <w:gridSpan w:val="2"/>
          </w:tcPr>
          <w:p>
            <w:pPr>
              <w:spacing w:after="0"/>
              <w:rPr>
                <w:sz w:val="20"/>
                <w:szCs w:val="20"/>
                <w:color w:val="auto"/>
              </w:rPr>
            </w:pPr>
            <w:r>
              <w:rPr>
                <w:rFonts w:ascii="Arial" w:cs="Arial" w:eastAsia="Arial" w:hAnsi="Arial"/>
                <w:sz w:val="18"/>
                <w:szCs w:val="18"/>
                <w:color w:val="auto"/>
              </w:rPr>
              <w:t>6-1162-AKP-075R1</w:t>
            </w:r>
          </w:p>
        </w:tc>
        <w:tc>
          <w:tcPr>
            <w:tcW w:w="8120" w:type="dxa"/>
            <w:vAlign w:val="bottom"/>
            <w:gridSpan w:val="2"/>
          </w:tcPr>
          <w:p>
            <w:pPr>
              <w:spacing w:after="0"/>
              <w:rPr>
                <w:sz w:val="20"/>
                <w:szCs w:val="20"/>
                <w:color w:val="auto"/>
              </w:rPr>
            </w:pPr>
            <w:r>
              <w:rPr>
                <w:rFonts w:ascii="Arial" w:cs="Arial" w:eastAsia="Arial" w:hAnsi="Arial"/>
                <w:sz w:val="18"/>
                <w:szCs w:val="18"/>
                <w:color w:val="auto"/>
              </w:rPr>
              <w:t>Aircraft Purchase Rights and Substitution Rights</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SA-35</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 Attachment A</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SA-35</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 Attachment B</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SA-35</w:t>
            </w:r>
          </w:p>
        </w:tc>
        <w:tc>
          <w:tcPr>
            <w:tcW w:w="0" w:type="dxa"/>
            <w:vAlign w:val="bottom"/>
          </w:tcPr>
          <w:p>
            <w:pPr>
              <w:spacing w:after="0"/>
              <w:rPr>
                <w:sz w:val="1"/>
                <w:szCs w:val="1"/>
                <w:color w:val="auto"/>
              </w:rPr>
            </w:pPr>
          </w:p>
        </w:tc>
      </w:tr>
      <w:tr>
        <w:trPr>
          <w:trHeight w:val="244"/>
        </w:trPr>
        <w:tc>
          <w:tcPr>
            <w:tcW w:w="1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auto"/>
                <w:strike w:val="1"/>
                <w:w w:val="91"/>
              </w:rPr>
              <w:t>- Attachment C</w:t>
            </w:r>
          </w:p>
        </w:tc>
        <w:tc>
          <w:tcPr>
            <w:tcW w:w="700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SA-35</w:t>
            </w:r>
          </w:p>
        </w:tc>
        <w:tc>
          <w:tcPr>
            <w:tcW w:w="0" w:type="dxa"/>
            <w:vAlign w:val="bottom"/>
          </w:tcPr>
          <w:p>
            <w:pPr>
              <w:spacing w:after="0"/>
              <w:rPr>
                <w:sz w:val="1"/>
                <w:szCs w:val="1"/>
                <w:color w:val="auto"/>
              </w:rPr>
            </w:pPr>
          </w:p>
        </w:tc>
      </w:tr>
      <w:tr>
        <w:trPr>
          <w:trHeight w:val="324"/>
        </w:trPr>
        <w:tc>
          <w:tcPr>
            <w:tcW w:w="2580" w:type="dxa"/>
            <w:vAlign w:val="bottom"/>
            <w:gridSpan w:val="2"/>
          </w:tcPr>
          <w:p>
            <w:pPr>
              <w:spacing w:after="0"/>
              <w:rPr>
                <w:sz w:val="20"/>
                <w:szCs w:val="20"/>
                <w:color w:val="auto"/>
              </w:rPr>
            </w:pPr>
            <w:r>
              <w:rPr>
                <w:rFonts w:ascii="Arial" w:cs="Arial" w:eastAsia="Arial" w:hAnsi="Arial"/>
                <w:sz w:val="18"/>
                <w:szCs w:val="18"/>
                <w:color w:val="auto"/>
              </w:rPr>
              <w:t>6-1162-AKP-076</w:t>
            </w:r>
          </w:p>
        </w:tc>
        <w:tc>
          <w:tcPr>
            <w:tcW w:w="8120" w:type="dxa"/>
            <w:vAlign w:val="bottom"/>
            <w:gridSpan w:val="2"/>
          </w:tcPr>
          <w:p>
            <w:pPr>
              <w:spacing w:after="0"/>
              <w:rPr>
                <w:sz w:val="20"/>
                <w:szCs w:val="20"/>
                <w:color w:val="auto"/>
              </w:rPr>
            </w:pPr>
            <w:r>
              <w:rPr>
                <w:rFonts w:ascii="Arial" w:cs="Arial" w:eastAsia="Arial" w:hAnsi="Arial"/>
                <w:sz w:val="18"/>
                <w:szCs w:val="18"/>
                <w:color w:val="auto"/>
              </w:rPr>
              <w:t>Aircraft Performance Guarantees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580" w:type="dxa"/>
            <w:vAlign w:val="bottom"/>
            <w:gridSpan w:val="2"/>
          </w:tcPr>
          <w:p>
            <w:pPr>
              <w:spacing w:after="0"/>
              <w:rPr>
                <w:sz w:val="20"/>
                <w:szCs w:val="20"/>
                <w:color w:val="auto"/>
              </w:rPr>
            </w:pPr>
            <w:r>
              <w:rPr>
                <w:rFonts w:ascii="Arial" w:cs="Arial" w:eastAsia="Arial" w:hAnsi="Arial"/>
                <w:sz w:val="18"/>
                <w:szCs w:val="18"/>
                <w:color w:val="auto"/>
              </w:rPr>
              <w:t>6-1162-AKP-077</w:t>
            </w:r>
          </w:p>
        </w:tc>
        <w:tc>
          <w:tcPr>
            <w:tcW w:w="8120" w:type="dxa"/>
            <w:vAlign w:val="bottom"/>
            <w:gridSpan w:val="2"/>
          </w:tcPr>
          <w:p>
            <w:pPr>
              <w:spacing w:after="0"/>
              <w:rPr>
                <w:sz w:val="20"/>
                <w:szCs w:val="20"/>
                <w:color w:val="auto"/>
              </w:rPr>
            </w:pPr>
            <w:r>
              <w:rPr>
                <w:rFonts w:ascii="Arial" w:cs="Arial" w:eastAsia="Arial" w:hAnsi="Arial"/>
                <w:sz w:val="18"/>
                <w:szCs w:val="18"/>
                <w:color w:val="auto"/>
              </w:rPr>
              <w:t>Spares Matters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580" w:type="dxa"/>
            <w:vAlign w:val="bottom"/>
            <w:gridSpan w:val="2"/>
          </w:tcPr>
          <w:p>
            <w:pPr>
              <w:spacing w:after="0"/>
              <w:rPr>
                <w:sz w:val="20"/>
                <w:szCs w:val="20"/>
                <w:color w:val="auto"/>
              </w:rPr>
            </w:pPr>
            <w:r>
              <w:rPr>
                <w:rFonts w:ascii="Arial" w:cs="Arial" w:eastAsia="Arial" w:hAnsi="Arial"/>
                <w:sz w:val="18"/>
                <w:szCs w:val="18"/>
                <w:color w:val="auto"/>
              </w:rPr>
              <w:t>6-1162-AKP-078</w:t>
            </w:r>
          </w:p>
        </w:tc>
        <w:tc>
          <w:tcPr>
            <w:tcW w:w="8120" w:type="dxa"/>
            <w:vAlign w:val="bottom"/>
            <w:gridSpan w:val="2"/>
          </w:tcPr>
          <w:p>
            <w:pPr>
              <w:spacing w:after="0"/>
              <w:rPr>
                <w:sz w:val="20"/>
                <w:szCs w:val="20"/>
                <w:color w:val="auto"/>
              </w:rPr>
            </w:pPr>
            <w:r>
              <w:rPr>
                <w:rFonts w:ascii="Arial" w:cs="Arial" w:eastAsia="Arial" w:hAnsi="Arial"/>
                <w:sz w:val="18"/>
                <w:szCs w:val="18"/>
                <w:color w:val="auto"/>
              </w:rPr>
              <w:t>Model 737 Miscellaneous Commitments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580" w:type="dxa"/>
            <w:vAlign w:val="bottom"/>
            <w:gridSpan w:val="2"/>
          </w:tcPr>
          <w:p>
            <w:pPr>
              <w:spacing w:after="0"/>
              <w:rPr>
                <w:sz w:val="20"/>
                <w:szCs w:val="20"/>
                <w:color w:val="auto"/>
              </w:rPr>
            </w:pPr>
            <w:r>
              <w:rPr>
                <w:rFonts w:ascii="Arial" w:cs="Arial" w:eastAsia="Arial" w:hAnsi="Arial"/>
                <w:sz w:val="18"/>
                <w:szCs w:val="18"/>
                <w:color w:val="auto"/>
              </w:rPr>
              <w:t>6-1162-AKP-079</w:t>
            </w:r>
          </w:p>
        </w:tc>
        <w:tc>
          <w:tcPr>
            <w:tcW w:w="8120" w:type="dxa"/>
            <w:vAlign w:val="bottom"/>
            <w:gridSpan w:val="2"/>
          </w:tcPr>
          <w:p>
            <w:pPr>
              <w:spacing w:after="0"/>
              <w:rPr>
                <w:sz w:val="20"/>
                <w:szCs w:val="20"/>
                <w:color w:val="auto"/>
              </w:rPr>
            </w:pPr>
            <w:r>
              <w:rPr>
                <w:rFonts w:ascii="Arial" w:cs="Arial" w:eastAsia="Arial" w:hAnsi="Arial"/>
                <w:sz w:val="18"/>
                <w:szCs w:val="18"/>
                <w:color w:val="auto"/>
              </w:rPr>
              <w:t>[*CTR] Sharing</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580" w:type="dxa"/>
            <w:vAlign w:val="bottom"/>
            <w:gridSpan w:val="2"/>
          </w:tcPr>
          <w:p>
            <w:pPr>
              <w:spacing w:after="0"/>
              <w:rPr>
                <w:sz w:val="20"/>
                <w:szCs w:val="20"/>
                <w:color w:val="auto"/>
              </w:rPr>
            </w:pPr>
            <w:r>
              <w:rPr>
                <w:rFonts w:ascii="Arial" w:cs="Arial" w:eastAsia="Arial" w:hAnsi="Arial"/>
                <w:sz w:val="18"/>
                <w:szCs w:val="18"/>
                <w:color w:val="auto"/>
              </w:rPr>
              <w:t>6-1162-AKP-080</w:t>
            </w:r>
          </w:p>
        </w:tc>
        <w:tc>
          <w:tcPr>
            <w:tcW w:w="8120" w:type="dxa"/>
            <w:vAlign w:val="bottom"/>
            <w:gridSpan w:val="2"/>
          </w:tcPr>
          <w:p>
            <w:pPr>
              <w:spacing w:after="0"/>
              <w:rPr>
                <w:sz w:val="20"/>
                <w:szCs w:val="20"/>
                <w:color w:val="auto"/>
              </w:rPr>
            </w:pPr>
            <w:r>
              <w:rPr>
                <w:rFonts w:ascii="Arial" w:cs="Arial" w:eastAsia="Arial" w:hAnsi="Arial"/>
                <w:sz w:val="18"/>
                <w:szCs w:val="18"/>
                <w:color w:val="auto"/>
              </w:rPr>
              <w:t>Installation of Cabin Systems Equipment</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580" w:type="dxa"/>
            <w:vAlign w:val="bottom"/>
            <w:gridSpan w:val="2"/>
          </w:tcPr>
          <w:p>
            <w:pPr>
              <w:spacing w:after="0"/>
              <w:rPr>
                <w:sz w:val="20"/>
                <w:szCs w:val="20"/>
                <w:color w:val="auto"/>
              </w:rPr>
            </w:pPr>
            <w:r>
              <w:rPr>
                <w:rFonts w:ascii="Arial" w:cs="Arial" w:eastAsia="Arial" w:hAnsi="Arial"/>
                <w:sz w:val="18"/>
                <w:szCs w:val="18"/>
                <w:color w:val="auto"/>
              </w:rPr>
              <w:t>6-1162-AKP-081</w:t>
            </w:r>
          </w:p>
        </w:tc>
        <w:tc>
          <w:tcPr>
            <w:tcW w:w="8120" w:type="dxa"/>
            <w:vAlign w:val="bottom"/>
            <w:gridSpan w:val="2"/>
          </w:tcPr>
          <w:p>
            <w:pPr>
              <w:spacing w:after="0"/>
              <w:rPr>
                <w:sz w:val="20"/>
                <w:szCs w:val="20"/>
                <w:color w:val="auto"/>
              </w:rPr>
            </w:pPr>
            <w:r>
              <w:rPr>
                <w:rFonts w:ascii="Arial" w:cs="Arial" w:eastAsia="Arial" w:hAnsi="Arial"/>
                <w:sz w:val="18"/>
                <w:szCs w:val="18"/>
                <w:color w:val="auto"/>
              </w:rPr>
              <w:t>Model 737 Maintenance Cost Commitment</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580" w:type="dxa"/>
            <w:vAlign w:val="bottom"/>
            <w:gridSpan w:val="2"/>
          </w:tcPr>
          <w:p>
            <w:pPr>
              <w:spacing w:after="0"/>
              <w:rPr>
                <w:sz w:val="20"/>
                <w:szCs w:val="20"/>
                <w:color w:val="auto"/>
              </w:rPr>
            </w:pPr>
            <w:r>
              <w:rPr>
                <w:rFonts w:ascii="Arial" w:cs="Arial" w:eastAsia="Arial" w:hAnsi="Arial"/>
                <w:sz w:val="18"/>
                <w:szCs w:val="18"/>
                <w:color w:val="auto"/>
              </w:rPr>
              <w:t>6-1162-AKP-082</w:t>
            </w:r>
          </w:p>
        </w:tc>
        <w:tc>
          <w:tcPr>
            <w:tcW w:w="8120" w:type="dxa"/>
            <w:vAlign w:val="bottom"/>
            <w:gridSpan w:val="2"/>
          </w:tcPr>
          <w:p>
            <w:pPr>
              <w:spacing w:after="0"/>
              <w:rPr>
                <w:sz w:val="20"/>
                <w:szCs w:val="20"/>
                <w:color w:val="auto"/>
              </w:rPr>
            </w:pPr>
            <w:r>
              <w:rPr>
                <w:rFonts w:ascii="Arial" w:cs="Arial" w:eastAsia="Arial" w:hAnsi="Arial"/>
                <w:sz w:val="18"/>
                <w:szCs w:val="18"/>
                <w:color w:val="auto"/>
              </w:rPr>
              <w:t>Confidentiality</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580" w:type="dxa"/>
            <w:vAlign w:val="bottom"/>
            <w:gridSpan w:val="2"/>
          </w:tcPr>
          <w:p>
            <w:pPr>
              <w:spacing w:after="0"/>
              <w:rPr>
                <w:sz w:val="20"/>
                <w:szCs w:val="20"/>
                <w:color w:val="auto"/>
              </w:rPr>
            </w:pPr>
            <w:r>
              <w:rPr>
                <w:rFonts w:ascii="Arial" w:cs="Arial" w:eastAsia="Arial" w:hAnsi="Arial"/>
                <w:sz w:val="18"/>
                <w:szCs w:val="18"/>
                <w:color w:val="auto"/>
              </w:rPr>
              <w:t>6-1162-AKP-083</w:t>
            </w:r>
          </w:p>
        </w:tc>
        <w:tc>
          <w:tcPr>
            <w:tcW w:w="8120" w:type="dxa"/>
            <w:vAlign w:val="bottom"/>
            <w:gridSpan w:val="2"/>
          </w:tcPr>
          <w:p>
            <w:pPr>
              <w:spacing w:after="0"/>
              <w:rPr>
                <w:sz w:val="20"/>
                <w:szCs w:val="20"/>
                <w:color w:val="auto"/>
              </w:rPr>
            </w:pPr>
            <w:r>
              <w:rPr>
                <w:rFonts w:ascii="Arial" w:cs="Arial" w:eastAsia="Arial" w:hAnsi="Arial"/>
                <w:sz w:val="18"/>
                <w:szCs w:val="18"/>
                <w:color w:val="auto"/>
              </w:rPr>
              <w:t>Model 737 Introduction Cost Commitment</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580" w:type="dxa"/>
            <w:vAlign w:val="bottom"/>
            <w:gridSpan w:val="2"/>
          </w:tcPr>
          <w:p>
            <w:pPr>
              <w:spacing w:after="0"/>
              <w:rPr>
                <w:sz w:val="20"/>
                <w:szCs w:val="20"/>
                <w:color w:val="auto"/>
              </w:rPr>
            </w:pPr>
            <w:r>
              <w:rPr>
                <w:rFonts w:ascii="Arial" w:cs="Arial" w:eastAsia="Arial" w:hAnsi="Arial"/>
                <w:sz w:val="18"/>
                <w:szCs w:val="18"/>
                <w:color w:val="auto"/>
              </w:rPr>
              <w:t>6-1162-AKP-084</w:t>
            </w:r>
          </w:p>
        </w:tc>
        <w:tc>
          <w:tcPr>
            <w:tcW w:w="8120" w:type="dxa"/>
            <w:vAlign w:val="bottom"/>
            <w:gridSpan w:val="2"/>
          </w:tcPr>
          <w:p>
            <w:pPr>
              <w:spacing w:after="0"/>
              <w:rPr>
                <w:sz w:val="20"/>
                <w:szCs w:val="20"/>
                <w:color w:val="auto"/>
              </w:rPr>
            </w:pPr>
            <w:r>
              <w:rPr>
                <w:rFonts w:ascii="Arial" w:cs="Arial" w:eastAsia="Arial" w:hAnsi="Arial"/>
                <w:sz w:val="18"/>
                <w:szCs w:val="18"/>
                <w:color w:val="auto"/>
              </w:rPr>
              <w:t>Performance Retention Commitment</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580" w:type="dxa"/>
            <w:vAlign w:val="bottom"/>
            <w:gridSpan w:val="2"/>
          </w:tcPr>
          <w:p>
            <w:pPr>
              <w:spacing w:after="0"/>
              <w:rPr>
                <w:sz w:val="20"/>
                <w:szCs w:val="20"/>
                <w:color w:val="auto"/>
              </w:rPr>
            </w:pPr>
            <w:r>
              <w:rPr>
                <w:rFonts w:ascii="Arial" w:cs="Arial" w:eastAsia="Arial" w:hAnsi="Arial"/>
                <w:sz w:val="18"/>
                <w:szCs w:val="18"/>
                <w:color w:val="auto"/>
              </w:rPr>
              <w:t>6-1162-AKP-085</w:t>
            </w:r>
          </w:p>
        </w:tc>
        <w:tc>
          <w:tcPr>
            <w:tcW w:w="8120" w:type="dxa"/>
            <w:vAlign w:val="bottom"/>
            <w:gridSpan w:val="2"/>
          </w:tcPr>
          <w:p>
            <w:pPr>
              <w:spacing w:after="0"/>
              <w:rPr>
                <w:sz w:val="20"/>
                <w:szCs w:val="20"/>
                <w:color w:val="auto"/>
              </w:rPr>
            </w:pPr>
            <w:r>
              <w:rPr>
                <w:rFonts w:ascii="Arial" w:cs="Arial" w:eastAsia="Arial" w:hAnsi="Arial"/>
                <w:sz w:val="18"/>
                <w:szCs w:val="18"/>
                <w:color w:val="auto"/>
              </w:rPr>
              <w:t>Component Reliability Commitments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580" w:type="dxa"/>
            <w:vAlign w:val="bottom"/>
            <w:gridSpan w:val="2"/>
          </w:tcPr>
          <w:p>
            <w:pPr>
              <w:spacing w:after="0"/>
              <w:rPr>
                <w:sz w:val="20"/>
                <w:szCs w:val="20"/>
                <w:color w:val="auto"/>
              </w:rPr>
            </w:pPr>
            <w:r>
              <w:rPr>
                <w:rFonts w:ascii="Arial" w:cs="Arial" w:eastAsia="Arial" w:hAnsi="Arial"/>
                <w:sz w:val="18"/>
                <w:szCs w:val="18"/>
                <w:color w:val="auto"/>
              </w:rPr>
              <w:t>6-1162-AKP-117</w:t>
            </w:r>
          </w:p>
        </w:tc>
        <w:tc>
          <w:tcPr>
            <w:tcW w:w="8120" w:type="dxa"/>
            <w:vAlign w:val="bottom"/>
            <w:gridSpan w:val="2"/>
          </w:tcPr>
          <w:p>
            <w:pPr>
              <w:spacing w:after="0"/>
              <w:rPr>
                <w:sz w:val="20"/>
                <w:szCs w:val="20"/>
                <w:color w:val="auto"/>
              </w:rPr>
            </w:pPr>
            <w:r>
              <w:rPr>
                <w:rFonts w:ascii="Arial" w:cs="Arial" w:eastAsia="Arial" w:hAnsi="Arial"/>
                <w:sz w:val="18"/>
                <w:szCs w:val="18"/>
                <w:color w:val="auto"/>
              </w:rPr>
              <w:t>Delivery Schedule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580" w:type="dxa"/>
            <w:vAlign w:val="bottom"/>
            <w:gridSpan w:val="2"/>
          </w:tcPr>
          <w:p>
            <w:pPr>
              <w:spacing w:after="0"/>
              <w:rPr>
                <w:sz w:val="20"/>
                <w:szCs w:val="20"/>
                <w:color w:val="auto"/>
              </w:rPr>
            </w:pPr>
            <w:r>
              <w:rPr>
                <w:rFonts w:ascii="Arial" w:cs="Arial" w:eastAsia="Arial" w:hAnsi="Arial"/>
                <w:sz w:val="18"/>
                <w:szCs w:val="18"/>
                <w:color w:val="auto"/>
              </w:rPr>
              <w:t>6-1162-SSM-1405R1</w:t>
            </w:r>
          </w:p>
        </w:tc>
        <w:tc>
          <w:tcPr>
            <w:tcW w:w="8120" w:type="dxa"/>
            <w:vAlign w:val="bottom"/>
            <w:gridSpan w:val="2"/>
          </w:tcPr>
          <w:p>
            <w:pPr>
              <w:spacing w:after="0"/>
              <w:rPr>
                <w:sz w:val="20"/>
                <w:szCs w:val="20"/>
                <w:color w:val="auto"/>
              </w:rPr>
            </w:pPr>
            <w:r>
              <w:rPr>
                <w:rFonts w:ascii="Arial" w:cs="Arial" w:eastAsia="Arial" w:hAnsi="Arial"/>
                <w:sz w:val="18"/>
                <w:szCs w:val="18"/>
                <w:color w:val="auto"/>
              </w:rPr>
              <w:t>Multiple Operating Weight Program Attachment B</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SA-35</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 Attachment B</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SA-35</w:t>
            </w:r>
          </w:p>
        </w:tc>
        <w:tc>
          <w:tcPr>
            <w:tcW w:w="0" w:type="dxa"/>
            <w:vAlign w:val="bottom"/>
          </w:tcPr>
          <w:p>
            <w:pPr>
              <w:spacing w:after="0"/>
              <w:rPr>
                <w:sz w:val="1"/>
                <w:szCs w:val="1"/>
                <w:color w:val="auto"/>
              </w:rPr>
            </w:pPr>
          </w:p>
        </w:tc>
      </w:tr>
      <w:tr>
        <w:trPr>
          <w:trHeight w:val="324"/>
        </w:trPr>
        <w:tc>
          <w:tcPr>
            <w:tcW w:w="2580" w:type="dxa"/>
            <w:vAlign w:val="bottom"/>
            <w:gridSpan w:val="2"/>
          </w:tcPr>
          <w:p>
            <w:pPr>
              <w:spacing w:after="0"/>
              <w:rPr>
                <w:sz w:val="20"/>
                <w:szCs w:val="20"/>
                <w:color w:val="auto"/>
              </w:rPr>
            </w:pPr>
            <w:r>
              <w:rPr>
                <w:rFonts w:ascii="Arial" w:cs="Arial" w:eastAsia="Arial" w:hAnsi="Arial"/>
                <w:sz w:val="18"/>
                <w:szCs w:val="18"/>
                <w:color w:val="auto"/>
              </w:rPr>
              <w:t>6-1162-CLO-1035</w:t>
            </w:r>
          </w:p>
        </w:tc>
        <w:tc>
          <w:tcPr>
            <w:tcW w:w="8120" w:type="dxa"/>
            <w:vAlign w:val="bottom"/>
            <w:gridSpan w:val="2"/>
          </w:tcPr>
          <w:p>
            <w:pPr>
              <w:spacing w:after="0"/>
              <w:rPr>
                <w:sz w:val="20"/>
                <w:szCs w:val="20"/>
                <w:color w:val="auto"/>
              </w:rPr>
            </w:pPr>
            <w:r>
              <w:rPr>
                <w:rFonts w:ascii="Arial" w:cs="Arial" w:eastAsia="Arial" w:hAnsi="Arial"/>
                <w:sz w:val="18"/>
                <w:szCs w:val="18"/>
                <w:color w:val="auto"/>
              </w:rPr>
              <w:t>Aircraft Performance Guarantees</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SA-28</w:t>
            </w:r>
          </w:p>
        </w:tc>
        <w:tc>
          <w:tcPr>
            <w:tcW w:w="0" w:type="dxa"/>
            <w:vAlign w:val="bottom"/>
          </w:tcPr>
          <w:p>
            <w:pPr>
              <w:spacing w:after="0"/>
              <w:rPr>
                <w:sz w:val="1"/>
                <w:szCs w:val="1"/>
                <w:color w:val="auto"/>
              </w:rPr>
            </w:pPr>
          </w:p>
        </w:tc>
      </w:tr>
      <w:tr>
        <w:trPr>
          <w:trHeight w:val="324"/>
        </w:trPr>
        <w:tc>
          <w:tcPr>
            <w:tcW w:w="2580" w:type="dxa"/>
            <w:vAlign w:val="bottom"/>
            <w:gridSpan w:val="2"/>
          </w:tcPr>
          <w:p>
            <w:pPr>
              <w:spacing w:after="0"/>
              <w:rPr>
                <w:sz w:val="20"/>
                <w:szCs w:val="20"/>
                <w:color w:val="auto"/>
              </w:rPr>
            </w:pPr>
            <w:r>
              <w:rPr>
                <w:rFonts w:ascii="Arial" w:cs="Arial" w:eastAsia="Arial" w:hAnsi="Arial"/>
                <w:sz w:val="18"/>
                <w:szCs w:val="18"/>
                <w:color w:val="auto"/>
              </w:rPr>
              <w:t>AAL-PA-1977-LA-1105509</w:t>
            </w:r>
          </w:p>
        </w:tc>
        <w:tc>
          <w:tcPr>
            <w:tcW w:w="8120" w:type="dxa"/>
            <w:vAlign w:val="bottom"/>
            <w:gridSpan w:val="2"/>
          </w:tcPr>
          <w:p>
            <w:pPr>
              <w:spacing w:after="0"/>
              <w:rPr>
                <w:sz w:val="20"/>
                <w:szCs w:val="20"/>
                <w:color w:val="auto"/>
              </w:rPr>
            </w:pPr>
            <w:r>
              <w:rPr>
                <w:rFonts w:ascii="Arial" w:cs="Arial" w:eastAsia="Arial" w:hAnsi="Arial"/>
                <w:sz w:val="18"/>
                <w:szCs w:val="18"/>
                <w:color w:val="auto"/>
              </w:rPr>
              <w:t>Aircraft Performance Guarantees, 737-700</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SA-35</w:t>
            </w:r>
          </w:p>
        </w:tc>
        <w:tc>
          <w:tcPr>
            <w:tcW w:w="0" w:type="dxa"/>
            <w:vAlign w:val="bottom"/>
          </w:tcPr>
          <w:p>
            <w:pPr>
              <w:spacing w:after="0"/>
              <w:rPr>
                <w:sz w:val="1"/>
                <w:szCs w:val="1"/>
                <w:color w:val="auto"/>
              </w:rPr>
            </w:pPr>
          </w:p>
        </w:tc>
      </w:tr>
      <w:tr>
        <w:trPr>
          <w:trHeight w:val="324"/>
        </w:trPr>
        <w:tc>
          <w:tcPr>
            <w:tcW w:w="2580" w:type="dxa"/>
            <w:vAlign w:val="bottom"/>
            <w:gridSpan w:val="2"/>
          </w:tcPr>
          <w:p>
            <w:pPr>
              <w:spacing w:after="0"/>
              <w:rPr>
                <w:sz w:val="20"/>
                <w:szCs w:val="20"/>
                <w:color w:val="auto"/>
              </w:rPr>
            </w:pPr>
            <w:r>
              <w:rPr>
                <w:rFonts w:ascii="Arial" w:cs="Arial" w:eastAsia="Arial" w:hAnsi="Arial"/>
                <w:sz w:val="18"/>
                <w:szCs w:val="18"/>
                <w:color w:val="auto"/>
              </w:rPr>
              <w:t>AAL-PA-1977-LA-1105511</w:t>
            </w:r>
          </w:p>
        </w:tc>
        <w:tc>
          <w:tcPr>
            <w:tcW w:w="8120" w:type="dxa"/>
            <w:vAlign w:val="bottom"/>
            <w:gridSpan w:val="2"/>
          </w:tcPr>
          <w:p>
            <w:pPr>
              <w:spacing w:after="0"/>
              <w:rPr>
                <w:sz w:val="20"/>
                <w:szCs w:val="20"/>
                <w:color w:val="auto"/>
              </w:rPr>
            </w:pPr>
            <w:r>
              <w:rPr>
                <w:rFonts w:ascii="Arial" w:cs="Arial" w:eastAsia="Arial" w:hAnsi="Arial"/>
                <w:sz w:val="18"/>
                <w:szCs w:val="18"/>
                <w:color w:val="auto"/>
              </w:rPr>
              <w:t>Aircraft Performance Guarantees, 737-900ER</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SA-35</w:t>
            </w:r>
          </w:p>
        </w:tc>
        <w:tc>
          <w:tcPr>
            <w:tcW w:w="0" w:type="dxa"/>
            <w:vAlign w:val="bottom"/>
          </w:tcPr>
          <w:p>
            <w:pPr>
              <w:spacing w:after="0"/>
              <w:rPr>
                <w:sz w:val="1"/>
                <w:szCs w:val="1"/>
                <w:color w:val="auto"/>
              </w:rPr>
            </w:pPr>
          </w:p>
        </w:tc>
      </w:tr>
      <w:tr>
        <w:trPr>
          <w:trHeight w:val="324"/>
        </w:trPr>
        <w:tc>
          <w:tcPr>
            <w:tcW w:w="2580" w:type="dxa"/>
            <w:vAlign w:val="bottom"/>
            <w:gridSpan w:val="2"/>
          </w:tcPr>
          <w:p>
            <w:pPr>
              <w:spacing w:after="0"/>
              <w:rPr>
                <w:sz w:val="20"/>
                <w:szCs w:val="20"/>
                <w:color w:val="auto"/>
              </w:rPr>
            </w:pPr>
            <w:r>
              <w:rPr>
                <w:rFonts w:ascii="Arial" w:cs="Arial" w:eastAsia="Arial" w:hAnsi="Arial"/>
                <w:sz w:val="18"/>
                <w:szCs w:val="18"/>
                <w:color w:val="auto"/>
              </w:rPr>
              <w:t>6-1162-CLO-1038</w:t>
            </w:r>
          </w:p>
        </w:tc>
        <w:tc>
          <w:tcPr>
            <w:tcW w:w="8120" w:type="dxa"/>
            <w:vAlign w:val="bottom"/>
            <w:gridSpan w:val="2"/>
          </w:tcPr>
          <w:p>
            <w:pPr>
              <w:spacing w:after="0"/>
              <w:rPr>
                <w:sz w:val="20"/>
                <w:szCs w:val="20"/>
                <w:color w:val="auto"/>
              </w:rPr>
            </w:pPr>
            <w:r>
              <w:rPr>
                <w:rFonts w:ascii="Arial" w:cs="Arial" w:eastAsia="Arial" w:hAnsi="Arial"/>
                <w:sz w:val="18"/>
                <w:szCs w:val="18"/>
                <w:color w:val="auto"/>
              </w:rPr>
              <w:t>Advance Payments and Permitted Transactions</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SA-31</w:t>
            </w:r>
          </w:p>
        </w:tc>
        <w:tc>
          <w:tcPr>
            <w:tcW w:w="0" w:type="dxa"/>
            <w:vAlign w:val="bottom"/>
          </w:tcPr>
          <w:p>
            <w:pPr>
              <w:spacing w:after="0"/>
              <w:rPr>
                <w:sz w:val="1"/>
                <w:szCs w:val="1"/>
                <w:color w:val="auto"/>
              </w:rPr>
            </w:pPr>
          </w:p>
        </w:tc>
      </w:tr>
      <w:tr>
        <w:trPr>
          <w:trHeight w:val="593"/>
        </w:trPr>
        <w:tc>
          <w:tcPr>
            <w:tcW w:w="2580" w:type="dxa"/>
            <w:vAlign w:val="bottom"/>
            <w:gridSpan w:val="2"/>
          </w:tcPr>
          <w:p>
            <w:pPr>
              <w:spacing w:after="0"/>
              <w:rPr>
                <w:sz w:val="20"/>
                <w:szCs w:val="20"/>
                <w:color w:val="auto"/>
              </w:rPr>
            </w:pPr>
            <w:r>
              <w:rPr>
                <w:rFonts w:ascii="Arial" w:cs="Arial" w:eastAsia="Arial" w:hAnsi="Arial"/>
                <w:sz w:val="18"/>
                <w:szCs w:val="18"/>
                <w:color w:val="auto"/>
              </w:rPr>
              <w:t>P.A. No. 1977</w:t>
            </w:r>
          </w:p>
        </w:tc>
        <w:tc>
          <w:tcPr>
            <w:tcW w:w="11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SA-37</w:t>
            </w:r>
          </w:p>
        </w:tc>
        <w:tc>
          <w:tcPr>
            <w:tcW w:w="0" w:type="dxa"/>
            <w:vAlign w:val="bottom"/>
          </w:tcPr>
          <w:p>
            <w:pPr>
              <w:spacing w:after="0"/>
              <w:rPr>
                <w:sz w:val="1"/>
                <w:szCs w:val="1"/>
                <w:color w:val="auto"/>
              </w:rPr>
            </w:pPr>
          </w:p>
        </w:tc>
      </w:tr>
      <w:tr>
        <w:trPr>
          <w:trHeight w:val="244"/>
        </w:trPr>
        <w:tc>
          <w:tcPr>
            <w:tcW w:w="2580" w:type="dxa"/>
            <w:vAlign w:val="bottom"/>
            <w:gridSpan w:val="2"/>
          </w:tcPr>
          <w:p>
            <w:pPr>
              <w:spacing w:after="0"/>
              <w:rPr>
                <w:sz w:val="20"/>
                <w:szCs w:val="20"/>
                <w:color w:val="auto"/>
              </w:rPr>
            </w:pPr>
            <w:r>
              <w:rPr>
                <w:rFonts w:ascii="Arial" w:cs="Arial" w:eastAsia="Arial" w:hAnsi="Arial"/>
                <w:sz w:val="18"/>
                <w:szCs w:val="18"/>
                <w:color w:val="auto"/>
              </w:rPr>
              <w:t>Table of Contents</w:t>
            </w:r>
          </w:p>
        </w:tc>
        <w:tc>
          <w:tcPr>
            <w:tcW w:w="1120" w:type="dxa"/>
            <w:vAlign w:val="bottom"/>
          </w:tcPr>
          <w:p>
            <w:pPr>
              <w:spacing w:after="0"/>
              <w:rPr>
                <w:sz w:val="21"/>
                <w:szCs w:val="21"/>
                <w:color w:val="auto"/>
              </w:rPr>
            </w:pPr>
          </w:p>
        </w:tc>
        <w:tc>
          <w:tcPr>
            <w:tcW w:w="7000" w:type="dxa"/>
            <w:vAlign w:val="bottom"/>
          </w:tcPr>
          <w:p>
            <w:pPr>
              <w:ind w:left="1040"/>
              <w:spacing w:after="0"/>
              <w:rPr>
                <w:sz w:val="20"/>
                <w:szCs w:val="20"/>
                <w:color w:val="auto"/>
              </w:rPr>
            </w:pPr>
            <w:r>
              <w:rPr>
                <w:rFonts w:ascii="Arial" w:cs="Arial" w:eastAsia="Arial" w:hAnsi="Arial"/>
                <w:sz w:val="18"/>
                <w:szCs w:val="18"/>
                <w:b w:val="1"/>
                <w:bCs w:val="1"/>
                <w:color w:val="auto"/>
              </w:rPr>
              <w:t>BOEING PROPRIETARY</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Page 2</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 continued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SA</w:t>
            </w:r>
          </w:p>
        </w:tc>
      </w:tr>
      <w:tr>
        <w:trPr>
          <w:trHeight w:val="167"/>
        </w:trPr>
        <w:tc>
          <w:tcPr>
            <w:tcW w:w="2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w w:val="98"/>
              </w:rPr>
              <w:t>NUMBER</w:t>
            </w:r>
          </w:p>
        </w:tc>
      </w:tr>
      <w:tr>
        <w:trPr>
          <w:trHeight w:val="264"/>
        </w:trPr>
        <w:tc>
          <w:tcPr>
            <w:tcW w:w="2820" w:type="dxa"/>
            <w:vAlign w:val="bottom"/>
            <w:gridSpan w:val="2"/>
          </w:tcPr>
          <w:p>
            <w:pPr>
              <w:spacing w:after="0"/>
              <w:rPr>
                <w:sz w:val="20"/>
                <w:szCs w:val="20"/>
                <w:color w:val="auto"/>
              </w:rPr>
            </w:pPr>
            <w:r>
              <w:rPr>
                <w:rFonts w:ascii="Arial" w:cs="Arial" w:eastAsia="Arial" w:hAnsi="Arial"/>
                <w:sz w:val="18"/>
                <w:szCs w:val="18"/>
                <w:color w:val="auto"/>
                <w:w w:val="95"/>
              </w:rPr>
              <w:t>LETTER AGREEMENTS, Continued</w:t>
            </w:r>
          </w:p>
        </w:tc>
        <w:tc>
          <w:tcPr>
            <w:tcW w:w="788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372"/>
        </w:trPr>
        <w:tc>
          <w:tcPr>
            <w:tcW w:w="2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6-1162-CLO-1082</w:t>
            </w:r>
          </w:p>
        </w:tc>
        <w:tc>
          <w:tcPr>
            <w:tcW w:w="60" w:type="dxa"/>
            <w:vAlign w:val="bottom"/>
          </w:tcPr>
          <w:p>
            <w:pPr>
              <w:spacing w:after="0"/>
              <w:rPr>
                <w:sz w:val="24"/>
                <w:szCs w:val="24"/>
                <w:color w:val="auto"/>
              </w:rPr>
            </w:pPr>
          </w:p>
        </w:tc>
        <w:tc>
          <w:tcPr>
            <w:tcW w:w="7880" w:type="dxa"/>
            <w:vAlign w:val="bottom"/>
          </w:tcPr>
          <w:p>
            <w:pPr>
              <w:ind w:left="40"/>
              <w:spacing w:after="0"/>
              <w:rPr>
                <w:sz w:val="20"/>
                <w:szCs w:val="20"/>
                <w:color w:val="auto"/>
              </w:rPr>
            </w:pPr>
            <w:r>
              <w:rPr>
                <w:rFonts w:ascii="Arial" w:cs="Arial" w:eastAsia="Arial" w:hAnsi="Arial"/>
                <w:sz w:val="18"/>
                <w:szCs w:val="18"/>
                <w:color w:val="auto"/>
              </w:rPr>
              <w:t>Advance Payments and Permitted Transactions 2</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SA-32</w:t>
            </w:r>
          </w:p>
        </w:tc>
      </w:tr>
      <w:tr>
        <w:trPr>
          <w:trHeight w:val="324"/>
        </w:trPr>
        <w:tc>
          <w:tcPr>
            <w:tcW w:w="2820" w:type="dxa"/>
            <w:vAlign w:val="bottom"/>
            <w:gridSpan w:val="2"/>
          </w:tcPr>
          <w:p>
            <w:pPr>
              <w:spacing w:after="0"/>
              <w:rPr>
                <w:sz w:val="20"/>
                <w:szCs w:val="20"/>
                <w:color w:val="auto"/>
              </w:rPr>
            </w:pPr>
            <w:r>
              <w:rPr>
                <w:rFonts w:ascii="Arial" w:cs="Arial" w:eastAsia="Arial" w:hAnsi="Arial"/>
                <w:sz w:val="18"/>
                <w:szCs w:val="18"/>
                <w:color w:val="auto"/>
              </w:rPr>
              <w:t>AAL-PA-1977-LA-01073</w:t>
            </w:r>
          </w:p>
        </w:tc>
        <w:tc>
          <w:tcPr>
            <w:tcW w:w="7880" w:type="dxa"/>
            <w:vAlign w:val="bottom"/>
          </w:tcPr>
          <w:p>
            <w:pPr>
              <w:ind w:left="40"/>
              <w:spacing w:after="0"/>
              <w:rPr>
                <w:sz w:val="20"/>
                <w:szCs w:val="20"/>
                <w:color w:val="auto"/>
              </w:rPr>
            </w:pPr>
            <w:r>
              <w:rPr>
                <w:rFonts w:ascii="Arial" w:cs="Arial" w:eastAsia="Arial" w:hAnsi="Arial"/>
                <w:sz w:val="18"/>
                <w:szCs w:val="18"/>
                <w:color w:val="auto"/>
              </w:rPr>
              <w:t>Advance Payments and Permitted Transactions 3</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SA-34</w:t>
            </w:r>
          </w:p>
        </w:tc>
      </w:tr>
      <w:tr>
        <w:trPr>
          <w:trHeight w:val="324"/>
        </w:trPr>
        <w:tc>
          <w:tcPr>
            <w:tcW w:w="2820" w:type="dxa"/>
            <w:vAlign w:val="bottom"/>
            <w:gridSpan w:val="2"/>
          </w:tcPr>
          <w:p>
            <w:pPr>
              <w:spacing w:after="0"/>
              <w:rPr>
                <w:sz w:val="20"/>
                <w:szCs w:val="20"/>
                <w:color w:val="auto"/>
              </w:rPr>
            </w:pPr>
            <w:r>
              <w:rPr>
                <w:rFonts w:ascii="Arial" w:cs="Arial" w:eastAsia="Arial" w:hAnsi="Arial"/>
                <w:sz w:val="18"/>
                <w:szCs w:val="18"/>
                <w:color w:val="auto"/>
              </w:rPr>
              <w:t>AAL-PA-1977-LA-1105271</w:t>
            </w:r>
          </w:p>
        </w:tc>
        <w:tc>
          <w:tcPr>
            <w:tcW w:w="7880" w:type="dxa"/>
            <w:vAlign w:val="bottom"/>
          </w:tcPr>
          <w:p>
            <w:pPr>
              <w:ind w:left="40"/>
              <w:spacing w:after="0"/>
              <w:rPr>
                <w:sz w:val="20"/>
                <w:szCs w:val="20"/>
                <w:color w:val="auto"/>
              </w:rPr>
            </w:pPr>
            <w:r>
              <w:rPr>
                <w:rFonts w:ascii="Arial" w:cs="Arial" w:eastAsia="Arial" w:hAnsi="Arial"/>
                <w:sz w:val="18"/>
                <w:szCs w:val="18"/>
                <w:color w:val="auto"/>
              </w:rPr>
              <w:t>Advance Payments and Permitted Transactions 4</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SA-35</w:t>
            </w:r>
          </w:p>
        </w:tc>
      </w:tr>
      <w:tr>
        <w:trPr>
          <w:trHeight w:val="324"/>
        </w:trPr>
        <w:tc>
          <w:tcPr>
            <w:tcW w:w="2820" w:type="dxa"/>
            <w:vAlign w:val="bottom"/>
            <w:gridSpan w:val="2"/>
          </w:tcPr>
          <w:p>
            <w:pPr>
              <w:spacing w:after="0"/>
              <w:rPr>
                <w:sz w:val="20"/>
                <w:szCs w:val="20"/>
                <w:color w:val="auto"/>
              </w:rPr>
            </w:pPr>
            <w:r>
              <w:rPr>
                <w:rFonts w:ascii="Arial" w:cs="Arial" w:eastAsia="Arial" w:hAnsi="Arial"/>
                <w:sz w:val="18"/>
                <w:szCs w:val="18"/>
                <w:color w:val="auto"/>
              </w:rPr>
              <w:t>AAL-PA-1977-LA-1105272R1</w:t>
            </w:r>
          </w:p>
        </w:tc>
        <w:tc>
          <w:tcPr>
            <w:tcW w:w="7880" w:type="dxa"/>
            <w:vAlign w:val="bottom"/>
          </w:tcPr>
          <w:p>
            <w:pPr>
              <w:ind w:left="40"/>
              <w:spacing w:after="0"/>
              <w:rPr>
                <w:sz w:val="20"/>
                <w:szCs w:val="20"/>
                <w:color w:val="auto"/>
              </w:rPr>
            </w:pPr>
            <w:r>
              <w:rPr>
                <w:rFonts w:ascii="Arial" w:cs="Arial" w:eastAsia="Arial" w:hAnsi="Arial"/>
                <w:sz w:val="18"/>
                <w:szCs w:val="18"/>
                <w:color w:val="auto"/>
              </w:rPr>
              <w:t>Business Considerations 2</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SA-36</w:t>
            </w:r>
          </w:p>
        </w:tc>
      </w:tr>
      <w:tr>
        <w:trPr>
          <w:trHeight w:val="324"/>
        </w:trPr>
        <w:tc>
          <w:tcPr>
            <w:tcW w:w="2820" w:type="dxa"/>
            <w:vAlign w:val="bottom"/>
            <w:gridSpan w:val="2"/>
          </w:tcPr>
          <w:p>
            <w:pPr>
              <w:spacing w:after="0"/>
              <w:rPr>
                <w:sz w:val="20"/>
                <w:szCs w:val="20"/>
                <w:color w:val="auto"/>
              </w:rPr>
            </w:pPr>
            <w:r>
              <w:rPr>
                <w:rFonts w:ascii="Arial" w:cs="Arial" w:eastAsia="Arial" w:hAnsi="Arial"/>
                <w:sz w:val="18"/>
                <w:szCs w:val="18"/>
                <w:color w:val="auto"/>
              </w:rPr>
              <w:t>AAL-PA-1977-LA-1105616</w:t>
            </w:r>
          </w:p>
        </w:tc>
        <w:tc>
          <w:tcPr>
            <w:tcW w:w="7880" w:type="dxa"/>
            <w:vAlign w:val="bottom"/>
          </w:tcPr>
          <w:p>
            <w:pPr>
              <w:ind w:left="40"/>
              <w:spacing w:after="0"/>
              <w:rPr>
                <w:sz w:val="20"/>
                <w:szCs w:val="20"/>
                <w:color w:val="auto"/>
              </w:rPr>
            </w:pPr>
            <w:r>
              <w:rPr>
                <w:rFonts w:ascii="Arial" w:cs="Arial" w:eastAsia="Arial" w:hAnsi="Arial"/>
                <w:sz w:val="18"/>
                <w:szCs w:val="18"/>
                <w:color w:val="auto"/>
              </w:rPr>
              <w:t>Open Configuration Matters</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SA-35</w:t>
            </w:r>
          </w:p>
        </w:tc>
      </w:tr>
      <w:tr>
        <w:trPr>
          <w:trHeight w:val="324"/>
        </w:trPr>
        <w:tc>
          <w:tcPr>
            <w:tcW w:w="2820" w:type="dxa"/>
            <w:vAlign w:val="bottom"/>
            <w:gridSpan w:val="2"/>
          </w:tcPr>
          <w:p>
            <w:pPr>
              <w:spacing w:after="0"/>
              <w:rPr>
                <w:sz w:val="20"/>
                <w:szCs w:val="20"/>
                <w:color w:val="auto"/>
              </w:rPr>
            </w:pPr>
            <w:r>
              <w:rPr>
                <w:rFonts w:ascii="Arial" w:cs="Arial" w:eastAsia="Arial" w:hAnsi="Arial"/>
                <w:sz w:val="18"/>
                <w:szCs w:val="18"/>
                <w:color w:val="auto"/>
              </w:rPr>
              <w:t>AAL-PA-1977-LA-1105863</w:t>
            </w:r>
          </w:p>
        </w:tc>
        <w:tc>
          <w:tcPr>
            <w:tcW w:w="7880" w:type="dxa"/>
            <w:vAlign w:val="bottom"/>
          </w:tcPr>
          <w:p>
            <w:pPr>
              <w:ind w:left="40"/>
              <w:spacing w:after="0"/>
              <w:rPr>
                <w:sz w:val="20"/>
                <w:szCs w:val="20"/>
                <w:color w:val="auto"/>
              </w:rPr>
            </w:pPr>
            <w:r>
              <w:rPr>
                <w:rFonts w:ascii="Arial" w:cs="Arial" w:eastAsia="Arial" w:hAnsi="Arial"/>
                <w:sz w:val="18"/>
                <w:szCs w:val="18"/>
                <w:color w:val="auto"/>
              </w:rPr>
              <w:t>Performance Guarantees for Rights Aircraft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SA-35</w:t>
            </w:r>
          </w:p>
        </w:tc>
      </w:tr>
      <w:tr>
        <w:trPr>
          <w:trHeight w:val="324"/>
        </w:trPr>
        <w:tc>
          <w:tcPr>
            <w:tcW w:w="2820" w:type="dxa"/>
            <w:vAlign w:val="bottom"/>
            <w:gridSpan w:val="2"/>
          </w:tcPr>
          <w:p>
            <w:pPr>
              <w:spacing w:after="0"/>
              <w:rPr>
                <w:sz w:val="20"/>
                <w:szCs w:val="20"/>
                <w:color w:val="auto"/>
              </w:rPr>
            </w:pPr>
            <w:r>
              <w:rPr>
                <w:rFonts w:ascii="Arial" w:cs="Arial" w:eastAsia="Arial" w:hAnsi="Arial"/>
                <w:sz w:val="18"/>
                <w:szCs w:val="18"/>
                <w:color w:val="auto"/>
              </w:rPr>
              <w:t>AAL-PA-1977-LA-08834</w:t>
            </w:r>
          </w:p>
        </w:tc>
        <w:tc>
          <w:tcPr>
            <w:tcW w:w="7880" w:type="dxa"/>
            <w:vAlign w:val="bottom"/>
          </w:tcPr>
          <w:p>
            <w:pPr>
              <w:ind w:left="40"/>
              <w:spacing w:after="0"/>
              <w:rPr>
                <w:sz w:val="20"/>
                <w:szCs w:val="20"/>
                <w:color w:val="auto"/>
              </w:rPr>
            </w:pPr>
            <w:r>
              <w:rPr>
                <w:rFonts w:ascii="Arial" w:cs="Arial" w:eastAsia="Arial" w:hAnsi="Arial"/>
                <w:sz w:val="18"/>
                <w:szCs w:val="18"/>
                <w:color w:val="auto"/>
              </w:rPr>
              <w:t>Business Considerations 3</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SA-36</w:t>
            </w:r>
          </w:p>
        </w:tc>
      </w:tr>
      <w:tr>
        <w:trPr>
          <w:trHeight w:val="324"/>
        </w:trPr>
        <w:tc>
          <w:tcPr>
            <w:tcW w:w="2820" w:type="dxa"/>
            <w:vAlign w:val="bottom"/>
            <w:gridSpan w:val="2"/>
          </w:tcPr>
          <w:p>
            <w:pPr>
              <w:spacing w:after="0"/>
              <w:rPr>
                <w:sz w:val="20"/>
                <w:szCs w:val="20"/>
                <w:color w:val="auto"/>
              </w:rPr>
            </w:pPr>
            <w:r>
              <w:rPr>
                <w:rFonts w:ascii="Arial" w:cs="Arial" w:eastAsia="Arial" w:hAnsi="Arial"/>
                <w:sz w:val="18"/>
                <w:szCs w:val="18"/>
                <w:color w:val="auto"/>
              </w:rPr>
              <w:t>AAL-PA-1977-LA-08835</w:t>
            </w:r>
          </w:p>
        </w:tc>
        <w:tc>
          <w:tcPr>
            <w:tcW w:w="7880" w:type="dxa"/>
            <w:vAlign w:val="bottom"/>
          </w:tcPr>
          <w:p>
            <w:pPr>
              <w:ind w:left="40"/>
              <w:spacing w:after="0"/>
              <w:rPr>
                <w:sz w:val="20"/>
                <w:szCs w:val="20"/>
                <w:color w:val="auto"/>
              </w:rPr>
            </w:pPr>
            <w:r>
              <w:rPr>
                <w:rFonts w:ascii="Arial" w:cs="Arial" w:eastAsia="Arial" w:hAnsi="Arial"/>
                <w:sz w:val="18"/>
                <w:szCs w:val="18"/>
                <w:color w:val="auto"/>
              </w:rPr>
              <w:t>[*CTR]</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SA-36</w:t>
            </w:r>
          </w:p>
        </w:tc>
      </w:tr>
      <w:tr>
        <w:trPr>
          <w:trHeight w:val="324"/>
        </w:trPr>
        <w:tc>
          <w:tcPr>
            <w:tcW w:w="2820" w:type="dxa"/>
            <w:vAlign w:val="bottom"/>
            <w:gridSpan w:val="2"/>
          </w:tcPr>
          <w:p>
            <w:pPr>
              <w:spacing w:after="0"/>
              <w:rPr>
                <w:sz w:val="20"/>
                <w:szCs w:val="20"/>
                <w:color w:val="auto"/>
              </w:rPr>
            </w:pPr>
            <w:r>
              <w:rPr>
                <w:rFonts w:ascii="Arial" w:cs="Arial" w:eastAsia="Arial" w:hAnsi="Arial"/>
                <w:sz w:val="18"/>
                <w:szCs w:val="18"/>
                <w:color w:val="auto"/>
              </w:rPr>
              <w:t>AAL-PA-1977-LA-1106665</w:t>
            </w:r>
          </w:p>
        </w:tc>
        <w:tc>
          <w:tcPr>
            <w:tcW w:w="7880" w:type="dxa"/>
            <w:vAlign w:val="bottom"/>
          </w:tcPr>
          <w:p>
            <w:pPr>
              <w:ind w:left="40"/>
              <w:spacing w:after="0"/>
              <w:rPr>
                <w:sz w:val="20"/>
                <w:szCs w:val="20"/>
                <w:color w:val="auto"/>
              </w:rPr>
            </w:pPr>
            <w:r>
              <w:rPr>
                <w:rFonts w:ascii="Arial" w:cs="Arial" w:eastAsia="Arial" w:hAnsi="Arial"/>
                <w:sz w:val="18"/>
                <w:szCs w:val="18"/>
                <w:color w:val="auto"/>
              </w:rPr>
              <w:t>[*CTR]</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SA-36</w:t>
            </w:r>
          </w:p>
        </w:tc>
      </w:tr>
      <w:tr>
        <w:trPr>
          <w:trHeight w:val="324"/>
        </w:trPr>
        <w:tc>
          <w:tcPr>
            <w:tcW w:w="2820" w:type="dxa"/>
            <w:vAlign w:val="bottom"/>
            <w:gridSpan w:val="2"/>
          </w:tcPr>
          <w:p>
            <w:pPr>
              <w:spacing w:after="0"/>
              <w:rPr>
                <w:sz w:val="20"/>
                <w:szCs w:val="20"/>
                <w:color w:val="auto"/>
              </w:rPr>
            </w:pPr>
            <w:r>
              <w:rPr>
                <w:rFonts w:ascii="Arial" w:cs="Arial" w:eastAsia="Arial" w:hAnsi="Arial"/>
                <w:sz w:val="18"/>
                <w:szCs w:val="18"/>
                <w:color w:val="auto"/>
              </w:rPr>
              <w:t>AAL-PA-1977-LA-1106666</w:t>
            </w:r>
          </w:p>
        </w:tc>
        <w:tc>
          <w:tcPr>
            <w:tcW w:w="7880" w:type="dxa"/>
            <w:vAlign w:val="bottom"/>
          </w:tcPr>
          <w:p>
            <w:pPr>
              <w:ind w:left="40"/>
              <w:spacing w:after="0"/>
              <w:rPr>
                <w:sz w:val="20"/>
                <w:szCs w:val="20"/>
                <w:color w:val="auto"/>
              </w:rPr>
            </w:pPr>
            <w:r>
              <w:rPr>
                <w:rFonts w:ascii="Arial" w:cs="Arial" w:eastAsia="Arial" w:hAnsi="Arial"/>
                <w:sz w:val="18"/>
                <w:szCs w:val="18"/>
                <w:color w:val="auto"/>
              </w:rPr>
              <w:t>[*CTR]</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SA-36</w:t>
            </w:r>
          </w:p>
        </w:tc>
      </w:tr>
      <w:tr>
        <w:trPr>
          <w:trHeight w:val="324"/>
        </w:trPr>
        <w:tc>
          <w:tcPr>
            <w:tcW w:w="2820" w:type="dxa"/>
            <w:vAlign w:val="bottom"/>
            <w:gridSpan w:val="2"/>
          </w:tcPr>
          <w:p>
            <w:pPr>
              <w:spacing w:after="0"/>
              <w:rPr>
                <w:sz w:val="20"/>
                <w:szCs w:val="20"/>
                <w:color w:val="auto"/>
              </w:rPr>
            </w:pPr>
            <w:r>
              <w:rPr>
                <w:rFonts w:ascii="Arial" w:cs="Arial" w:eastAsia="Arial" w:hAnsi="Arial"/>
                <w:sz w:val="18"/>
                <w:szCs w:val="18"/>
                <w:color w:val="auto"/>
              </w:rPr>
              <w:t>AAL-LA-1106678</w:t>
            </w:r>
          </w:p>
        </w:tc>
        <w:tc>
          <w:tcPr>
            <w:tcW w:w="7880" w:type="dxa"/>
            <w:vAlign w:val="bottom"/>
          </w:tcPr>
          <w:p>
            <w:pPr>
              <w:ind w:left="40"/>
              <w:spacing w:after="0"/>
              <w:rPr>
                <w:sz w:val="20"/>
                <w:szCs w:val="20"/>
                <w:color w:val="auto"/>
              </w:rPr>
            </w:pPr>
            <w:r>
              <w:rPr>
                <w:rFonts w:ascii="Arial" w:cs="Arial" w:eastAsia="Arial" w:hAnsi="Arial"/>
                <w:sz w:val="18"/>
                <w:szCs w:val="18"/>
                <w:color w:val="auto"/>
              </w:rPr>
              <w:t>Assignment Matters</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SA-36</w:t>
            </w:r>
          </w:p>
        </w:tc>
      </w:tr>
      <w:tr>
        <w:trPr>
          <w:trHeight w:val="350"/>
        </w:trPr>
        <w:tc>
          <w:tcPr>
            <w:tcW w:w="2820" w:type="dxa"/>
            <w:vAlign w:val="bottom"/>
            <w:gridSpan w:val="2"/>
          </w:tcPr>
          <w:p>
            <w:pPr>
              <w:spacing w:after="0"/>
              <w:rPr>
                <w:sz w:val="20"/>
                <w:szCs w:val="20"/>
                <w:color w:val="auto"/>
              </w:rPr>
            </w:pPr>
            <w:r>
              <w:rPr>
                <w:rFonts w:ascii="Arial" w:cs="Arial" w:eastAsia="Arial" w:hAnsi="Arial"/>
                <w:sz w:val="18"/>
                <w:szCs w:val="18"/>
                <w:color w:val="auto"/>
              </w:rPr>
              <w:t>P.A. No. 1977</w:t>
            </w:r>
          </w:p>
        </w:tc>
        <w:tc>
          <w:tcPr>
            <w:tcW w:w="78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SA-37</w:t>
            </w:r>
          </w:p>
        </w:tc>
      </w:tr>
      <w:tr>
        <w:trPr>
          <w:trHeight w:val="244"/>
        </w:trPr>
        <w:tc>
          <w:tcPr>
            <w:tcW w:w="2820" w:type="dxa"/>
            <w:vAlign w:val="bottom"/>
            <w:gridSpan w:val="2"/>
          </w:tcPr>
          <w:p>
            <w:pPr>
              <w:spacing w:after="0"/>
              <w:rPr>
                <w:sz w:val="20"/>
                <w:szCs w:val="20"/>
                <w:color w:val="auto"/>
              </w:rPr>
            </w:pPr>
            <w:r>
              <w:rPr>
                <w:rFonts w:ascii="Arial" w:cs="Arial" w:eastAsia="Arial" w:hAnsi="Arial"/>
                <w:sz w:val="18"/>
                <w:szCs w:val="18"/>
                <w:color w:val="auto"/>
              </w:rPr>
              <w:t>Table of Contents</w:t>
            </w:r>
          </w:p>
        </w:tc>
        <w:tc>
          <w:tcPr>
            <w:tcW w:w="7880" w:type="dxa"/>
            <w:vAlign w:val="bottom"/>
          </w:tcPr>
          <w:p>
            <w:pPr>
              <w:ind w:left="1920"/>
              <w:spacing w:after="0"/>
              <w:rPr>
                <w:sz w:val="20"/>
                <w:szCs w:val="20"/>
                <w:color w:val="auto"/>
              </w:rPr>
            </w:pPr>
            <w:r>
              <w:rPr>
                <w:rFonts w:ascii="Arial" w:cs="Arial" w:eastAsia="Arial" w:hAnsi="Arial"/>
                <w:sz w:val="18"/>
                <w:szCs w:val="18"/>
                <w:b w:val="1"/>
                <w:bCs w:val="1"/>
                <w:color w:val="auto"/>
              </w:rPr>
              <w:t>BOEING PROPRIETARY</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Page 3</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1F To Purchase Agreement No. 1977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737-800 Aircraft Delivery, Description, Price and Advance Payments Purchased Aircraft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00" w:type="dxa"/>
            <w:vAlign w:val="bottom"/>
          </w:tcPr>
          <w:p>
            <w:pPr>
              <w:spacing w:after="0"/>
              <w:rPr>
                <w:sz w:val="20"/>
                <w:szCs w:val="20"/>
                <w:color w:val="auto"/>
              </w:rPr>
            </w:pPr>
            <w:r>
              <w:rPr>
                <w:rFonts w:ascii="Arial" w:cs="Arial" w:eastAsia="Arial" w:hAnsi="Arial"/>
                <w:sz w:val="18"/>
                <w:szCs w:val="18"/>
                <w:b w:val="1"/>
                <w:bCs w:val="1"/>
                <w:color w:val="auto"/>
              </w:rPr>
              <w:t>irframe Model/MTOW:</w:t>
            </w:r>
          </w:p>
        </w:tc>
        <w:tc>
          <w:tcPr>
            <w:tcW w:w="2180" w:type="dxa"/>
            <w:vAlign w:val="bottom"/>
          </w:tcPr>
          <w:p>
            <w:pPr>
              <w:ind w:left="300"/>
              <w:spacing w:after="0"/>
              <w:rPr>
                <w:sz w:val="20"/>
                <w:szCs w:val="20"/>
                <w:color w:val="auto"/>
              </w:rPr>
            </w:pPr>
            <w:r>
              <w:rPr>
                <w:rFonts w:ascii="Arial" w:cs="Arial" w:eastAsia="Arial" w:hAnsi="Arial"/>
                <w:sz w:val="18"/>
                <w:szCs w:val="18"/>
                <w:color w:val="auto"/>
              </w:rPr>
              <w:t>737-800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[*CTR] pounds</w:t>
            </w:r>
          </w:p>
        </w:tc>
        <w:tc>
          <w:tcPr>
            <w:tcW w:w="4180" w:type="dxa"/>
            <w:vAlign w:val="bottom"/>
            <w:gridSpan w:val="4"/>
          </w:tcPr>
          <w:p>
            <w:pPr>
              <w:ind w:left="80"/>
              <w:spacing w:after="0"/>
              <w:rPr>
                <w:sz w:val="20"/>
                <w:szCs w:val="20"/>
                <w:color w:val="auto"/>
              </w:rPr>
            </w:pPr>
            <w:r>
              <w:rPr>
                <w:rFonts w:ascii="Arial" w:cs="Arial" w:eastAsia="Arial" w:hAnsi="Arial"/>
                <w:sz w:val="18"/>
                <w:szCs w:val="18"/>
                <w:b w:val="1"/>
                <w:bCs w:val="1"/>
                <w:color w:val="auto"/>
                <w:w w:val="93"/>
              </w:rPr>
              <w:t xml:space="preserve">Detail Specification: </w:t>
            </w:r>
            <w:r>
              <w:rPr>
                <w:rFonts w:ascii="Arial" w:cs="Arial" w:eastAsia="Arial" w:hAnsi="Arial"/>
                <w:sz w:val="18"/>
                <w:szCs w:val="18"/>
                <w:color w:val="auto"/>
                <w:w w:val="93"/>
              </w:rPr>
              <w:t>[*CTR] (as may be subsequently</w:t>
            </w:r>
          </w:p>
        </w:tc>
        <w:tc>
          <w:tcPr>
            <w:tcW w:w="0" w:type="dxa"/>
            <w:vAlign w:val="bottom"/>
          </w:tcPr>
          <w:p>
            <w:pPr>
              <w:spacing w:after="0"/>
              <w:rPr>
                <w:sz w:val="1"/>
                <w:szCs w:val="1"/>
                <w:color w:val="auto"/>
              </w:rPr>
            </w:pPr>
          </w:p>
        </w:tc>
      </w:tr>
      <w:tr>
        <w:trPr>
          <w:trHeight w:val="212"/>
        </w:trPr>
        <w:tc>
          <w:tcPr>
            <w:tcW w:w="38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gridSpan w:val="3"/>
          </w:tcPr>
          <w:p>
            <w:pPr>
              <w:ind w:left="80"/>
              <w:spacing w:after="0"/>
              <w:rPr>
                <w:sz w:val="20"/>
                <w:szCs w:val="20"/>
                <w:color w:val="auto"/>
              </w:rPr>
            </w:pPr>
            <w:r>
              <w:rPr>
                <w:rFonts w:ascii="Arial" w:cs="Arial" w:eastAsia="Arial" w:hAnsi="Arial"/>
                <w:sz w:val="18"/>
                <w:szCs w:val="18"/>
                <w:color w:val="auto"/>
              </w:rPr>
              <w:t>amended)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b w:val="1"/>
                <w:bCs w:val="1"/>
                <w:color w:val="auto"/>
              </w:rPr>
              <w:t>Engine Model/Thrust:</w:t>
            </w:r>
          </w:p>
        </w:tc>
        <w:tc>
          <w:tcPr>
            <w:tcW w:w="2180" w:type="dxa"/>
            <w:vAlign w:val="bottom"/>
          </w:tcPr>
          <w:p>
            <w:pPr>
              <w:ind w:left="300"/>
              <w:spacing w:after="0"/>
              <w:rPr>
                <w:sz w:val="20"/>
                <w:szCs w:val="20"/>
                <w:color w:val="auto"/>
              </w:rPr>
            </w:pPr>
            <w:r>
              <w:rPr>
                <w:rFonts w:ascii="Arial" w:cs="Arial" w:eastAsia="Arial" w:hAnsi="Arial"/>
                <w:sz w:val="18"/>
                <w:szCs w:val="18"/>
                <w:color w:val="auto"/>
              </w:rPr>
              <w:t>CFM56-7B24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[*CTR] pounds</w:t>
            </w:r>
          </w:p>
        </w:tc>
        <w:tc>
          <w:tcPr>
            <w:tcW w:w="3260" w:type="dxa"/>
            <w:vAlign w:val="bottom"/>
            <w:gridSpan w:val="3"/>
          </w:tcPr>
          <w:p>
            <w:pPr>
              <w:ind w:left="80"/>
              <w:spacing w:after="0"/>
              <w:rPr>
                <w:sz w:val="20"/>
                <w:szCs w:val="20"/>
                <w:color w:val="auto"/>
              </w:rPr>
            </w:pPr>
            <w:r>
              <w:rPr>
                <w:rFonts w:ascii="Arial" w:cs="Arial" w:eastAsia="Arial" w:hAnsi="Arial"/>
                <w:sz w:val="18"/>
                <w:szCs w:val="18"/>
                <w:b w:val="1"/>
                <w:bCs w:val="1"/>
                <w:color w:val="auto"/>
              </w:rPr>
              <w:t>Airframe Price Base Year/Escalation</w:t>
            </w:r>
          </w:p>
        </w:tc>
        <w:tc>
          <w:tcPr>
            <w:tcW w:w="920" w:type="dxa"/>
            <w:vAlign w:val="bottom"/>
          </w:tcPr>
          <w:p>
            <w:pPr>
              <w:ind w:left="360"/>
              <w:spacing w:after="0"/>
              <w:rPr>
                <w:sz w:val="20"/>
                <w:szCs w:val="20"/>
                <w:color w:val="auto"/>
              </w:rPr>
            </w:pPr>
            <w:r>
              <w:rPr>
                <w:rFonts w:ascii="Arial" w:cs="Arial" w:eastAsia="Arial" w:hAnsi="Arial"/>
                <w:sz w:val="18"/>
                <w:szCs w:val="18"/>
                <w:b w:val="1"/>
                <w:bCs w:val="1"/>
                <w:color w:val="auto"/>
                <w:w w:val="98"/>
              </w:rPr>
              <w:t>[</w:t>
            </w:r>
            <w:r>
              <w:rPr>
                <w:rFonts w:ascii="Arial" w:cs="Arial" w:eastAsia="Arial" w:hAnsi="Arial"/>
                <w:sz w:val="18"/>
                <w:szCs w:val="18"/>
                <w:color w:val="auto"/>
                <w:w w:val="98"/>
              </w:rPr>
              <w:t>*CTR]</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gridSpan w:val="3"/>
          </w:tcPr>
          <w:p>
            <w:pPr>
              <w:ind w:left="80"/>
              <w:spacing w:after="0"/>
              <w:rPr>
                <w:sz w:val="20"/>
                <w:szCs w:val="20"/>
                <w:color w:val="auto"/>
              </w:rPr>
            </w:pPr>
            <w:r>
              <w:rPr>
                <w:rFonts w:ascii="Arial" w:cs="Arial" w:eastAsia="Arial" w:hAnsi="Arial"/>
                <w:sz w:val="18"/>
                <w:szCs w:val="18"/>
                <w:b w:val="1"/>
                <w:bCs w:val="1"/>
                <w:color w:val="auto"/>
              </w:rPr>
              <w:t>Formula:</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b w:val="1"/>
                <w:bCs w:val="1"/>
                <w:color w:val="auto"/>
              </w:rPr>
              <w:t>Airframe Price:</w:t>
            </w:r>
          </w:p>
        </w:tc>
        <w:tc>
          <w:tcPr>
            <w:tcW w:w="21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p>
        </w:tc>
        <w:tc>
          <w:tcPr>
            <w:tcW w:w="3260" w:type="dxa"/>
            <w:vAlign w:val="bottom"/>
            <w:gridSpan w:val="3"/>
          </w:tcPr>
          <w:p>
            <w:pPr>
              <w:ind w:left="80"/>
              <w:spacing w:after="0"/>
              <w:rPr>
                <w:sz w:val="20"/>
                <w:szCs w:val="20"/>
                <w:color w:val="auto"/>
              </w:rPr>
            </w:pPr>
            <w:r>
              <w:rPr>
                <w:rFonts w:ascii="Arial" w:cs="Arial" w:eastAsia="Arial" w:hAnsi="Arial"/>
                <w:sz w:val="18"/>
                <w:szCs w:val="18"/>
                <w:b w:val="1"/>
                <w:bCs w:val="1"/>
                <w:color w:val="auto"/>
              </w:rPr>
              <w:t>Engine Price Base Year/Escalation</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0" w:type="dxa"/>
            <w:vAlign w:val="bottom"/>
            <w:vMerge w:val="restart"/>
          </w:tcPr>
          <w:p>
            <w:pPr>
              <w:spacing w:after="0"/>
              <w:rPr>
                <w:sz w:val="20"/>
                <w:szCs w:val="20"/>
                <w:color w:val="auto"/>
              </w:rPr>
            </w:pPr>
            <w:r>
              <w:rPr>
                <w:rFonts w:ascii="Arial" w:cs="Arial" w:eastAsia="Arial" w:hAnsi="Arial"/>
                <w:sz w:val="18"/>
                <w:szCs w:val="18"/>
                <w:b w:val="1"/>
                <w:bCs w:val="1"/>
                <w:color w:val="auto"/>
              </w:rPr>
              <w:t>Optional Features:</w:t>
            </w:r>
          </w:p>
        </w:tc>
        <w:tc>
          <w:tcPr>
            <w:tcW w:w="2180" w:type="dxa"/>
            <w:vAlign w:val="bottom"/>
          </w:tcPr>
          <w:p>
            <w:pPr>
              <w:spacing w:after="0"/>
              <w:rPr>
                <w:sz w:val="20"/>
                <w:szCs w:val="20"/>
                <w:color w:val="auto"/>
              </w:rPr>
            </w:pPr>
          </w:p>
        </w:tc>
        <w:tc>
          <w:tcPr>
            <w:tcW w:w="126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p>
        </w:tc>
        <w:tc>
          <w:tcPr>
            <w:tcW w:w="3260" w:type="dxa"/>
            <w:vAlign w:val="bottom"/>
            <w:gridSpan w:val="3"/>
          </w:tcPr>
          <w:p>
            <w:pPr>
              <w:ind w:left="80"/>
              <w:spacing w:after="0"/>
              <w:rPr>
                <w:sz w:val="20"/>
                <w:szCs w:val="20"/>
                <w:color w:val="auto"/>
              </w:rPr>
            </w:pPr>
            <w:r>
              <w:rPr>
                <w:rFonts w:ascii="Arial" w:cs="Arial" w:eastAsia="Arial" w:hAnsi="Arial"/>
                <w:sz w:val="18"/>
                <w:szCs w:val="18"/>
                <w:b w:val="1"/>
                <w:bCs w:val="1"/>
                <w:color w:val="auto"/>
              </w:rPr>
              <w:t>Formula:</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800" w:type="dxa"/>
            <w:vAlign w:val="bottom"/>
            <w:vMerge w:val="continue"/>
          </w:tcPr>
          <w:p>
            <w:pPr>
              <w:spacing w:after="0"/>
              <w:rPr>
                <w:sz w:val="18"/>
                <w:szCs w:val="18"/>
                <w:color w:val="auto"/>
              </w:rPr>
            </w:pPr>
          </w:p>
        </w:tc>
        <w:tc>
          <w:tcPr>
            <w:tcW w:w="2180" w:type="dxa"/>
            <w:vAlign w:val="bottom"/>
          </w:tcPr>
          <w:p>
            <w:pPr>
              <w:spacing w:after="0"/>
              <w:rPr>
                <w:sz w:val="18"/>
                <w:szCs w:val="18"/>
                <w:color w:val="auto"/>
              </w:rPr>
            </w:pPr>
          </w:p>
        </w:tc>
        <w:tc>
          <w:tcPr>
            <w:tcW w:w="126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800" w:type="dxa"/>
            <w:vAlign w:val="bottom"/>
          </w:tcPr>
          <w:p>
            <w:pPr>
              <w:spacing w:after="0" w:line="182" w:lineRule="exact"/>
              <w:rPr>
                <w:sz w:val="20"/>
                <w:szCs w:val="20"/>
                <w:color w:val="auto"/>
              </w:rPr>
            </w:pPr>
            <w:r>
              <w:rPr>
                <w:rFonts w:ascii="Arial" w:cs="Arial" w:eastAsia="Arial" w:hAnsi="Arial"/>
                <w:sz w:val="18"/>
                <w:szCs w:val="18"/>
                <w:b w:val="1"/>
                <w:bCs w:val="1"/>
                <w:color w:val="auto"/>
              </w:rPr>
              <w:t>Sub-Total of Airframe and Features:</w:t>
            </w:r>
          </w:p>
        </w:tc>
        <w:tc>
          <w:tcPr>
            <w:tcW w:w="2180" w:type="dxa"/>
            <w:vAlign w:val="bottom"/>
          </w:tcPr>
          <w:p>
            <w:pPr>
              <w:spacing w:after="0"/>
              <w:rPr>
                <w:sz w:val="15"/>
                <w:szCs w:val="15"/>
                <w:color w:val="auto"/>
              </w:rPr>
            </w:pPr>
          </w:p>
        </w:tc>
        <w:tc>
          <w:tcPr>
            <w:tcW w:w="1260" w:type="dxa"/>
            <w:vAlign w:val="bottom"/>
            <w:gridSpan w:val="2"/>
          </w:tcPr>
          <w:p>
            <w:pPr>
              <w:jc w:val="right"/>
              <w:ind w:right="20"/>
              <w:spacing w:after="0" w:line="182"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p>
        </w:tc>
        <w:tc>
          <w:tcPr>
            <w:tcW w:w="80" w:type="dxa"/>
            <w:vAlign w:val="bottom"/>
          </w:tcPr>
          <w:p>
            <w:pPr>
              <w:spacing w:after="0"/>
              <w:rPr>
                <w:sz w:val="15"/>
                <w:szCs w:val="15"/>
                <w:color w:val="auto"/>
              </w:rPr>
            </w:pPr>
          </w:p>
        </w:tc>
        <w:tc>
          <w:tcPr>
            <w:tcW w:w="318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Airframe Escalation Data:</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800" w:type="dxa"/>
            <w:vAlign w:val="bottom"/>
          </w:tcPr>
          <w:p>
            <w:pPr>
              <w:spacing w:after="0"/>
              <w:rPr>
                <w:sz w:val="20"/>
                <w:szCs w:val="20"/>
                <w:color w:val="auto"/>
              </w:rPr>
            </w:pPr>
            <w:r>
              <w:rPr>
                <w:rFonts w:ascii="Arial" w:cs="Arial" w:eastAsia="Arial" w:hAnsi="Arial"/>
                <w:sz w:val="18"/>
                <w:szCs w:val="18"/>
                <w:b w:val="1"/>
                <w:bCs w:val="1"/>
                <w:color w:val="auto"/>
              </w:rPr>
              <w:t>Engine Price (Per Aircraft):</w:t>
            </w:r>
          </w:p>
        </w:tc>
        <w:tc>
          <w:tcPr>
            <w:tcW w:w="21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p>
        </w:tc>
        <w:tc>
          <w:tcPr>
            <w:tcW w:w="80" w:type="dxa"/>
            <w:vAlign w:val="bottom"/>
          </w:tcPr>
          <w:p>
            <w:pPr>
              <w:spacing w:after="0"/>
              <w:rPr>
                <w:sz w:val="18"/>
                <w:szCs w:val="18"/>
                <w:color w:val="auto"/>
              </w:rPr>
            </w:pPr>
          </w:p>
        </w:tc>
        <w:tc>
          <w:tcPr>
            <w:tcW w:w="20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Base Year Index (ECI):</w:t>
            </w:r>
          </w:p>
        </w:tc>
        <w:tc>
          <w:tcPr>
            <w:tcW w:w="1140" w:type="dxa"/>
            <w:vAlign w:val="bottom"/>
          </w:tcPr>
          <w:p>
            <w:pPr>
              <w:spacing w:after="0"/>
              <w:rPr>
                <w:sz w:val="18"/>
                <w:szCs w:val="18"/>
                <w:color w:val="auto"/>
              </w:rPr>
            </w:pPr>
          </w:p>
        </w:tc>
        <w:tc>
          <w:tcPr>
            <w:tcW w:w="920" w:type="dxa"/>
            <w:vAlign w:val="bottom"/>
          </w:tcPr>
          <w:p>
            <w:pPr>
              <w:ind w:left="360"/>
              <w:spacing w:after="0"/>
              <w:rPr>
                <w:sz w:val="20"/>
                <w:szCs w:val="20"/>
                <w:color w:val="auto"/>
              </w:rPr>
            </w:pPr>
            <w:r>
              <w:rPr>
                <w:rFonts w:ascii="Arial" w:cs="Arial" w:eastAsia="Arial" w:hAnsi="Arial"/>
                <w:sz w:val="18"/>
                <w:szCs w:val="18"/>
                <w:b w:val="1"/>
                <w:bCs w:val="1"/>
                <w:color w:val="auto"/>
                <w:w w:val="98"/>
              </w:rPr>
              <w:t>[</w:t>
            </w:r>
            <w:r>
              <w:rPr>
                <w:rFonts w:ascii="Arial" w:cs="Arial" w:eastAsia="Arial" w:hAnsi="Arial"/>
                <w:sz w:val="18"/>
                <w:szCs w:val="18"/>
                <w:color w:val="auto"/>
                <w:w w:val="98"/>
              </w:rPr>
              <w:t>*CTR]</w:t>
            </w: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r>
              <w:rPr>
                <w:rFonts w:ascii="Arial" w:cs="Arial" w:eastAsia="Arial" w:hAnsi="Arial"/>
                <w:sz w:val="18"/>
                <w:szCs w:val="18"/>
                <w:b w:val="1"/>
                <w:bCs w:val="1"/>
                <w:color w:val="auto"/>
              </w:rPr>
              <w:t>Aircraft Basic Price (Excluding BFE/SPE):</w:t>
            </w:r>
          </w:p>
        </w:tc>
        <w:tc>
          <w:tcPr>
            <w:tcW w:w="2180" w:type="dxa"/>
            <w:vAlign w:val="bottom"/>
          </w:tcPr>
          <w:p>
            <w:pPr>
              <w:spacing w:after="0"/>
              <w:rPr>
                <w:sz w:val="20"/>
                <w:szCs w:val="20"/>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p>
        </w:tc>
        <w:tc>
          <w:tcPr>
            <w:tcW w:w="3260" w:type="dxa"/>
            <w:vAlign w:val="bottom"/>
            <w:gridSpan w:val="3"/>
          </w:tcPr>
          <w:p>
            <w:pPr>
              <w:ind w:left="80"/>
              <w:spacing w:after="0"/>
              <w:rPr>
                <w:sz w:val="20"/>
                <w:szCs w:val="20"/>
                <w:color w:val="auto"/>
              </w:rPr>
            </w:pPr>
            <w:r>
              <w:rPr>
                <w:rFonts w:ascii="Arial" w:cs="Arial" w:eastAsia="Arial" w:hAnsi="Arial"/>
                <w:sz w:val="18"/>
                <w:szCs w:val="18"/>
                <w:b w:val="1"/>
                <w:bCs w:val="1"/>
                <w:color w:val="auto"/>
              </w:rPr>
              <w:t>Base Year Index (CPI):</w:t>
            </w:r>
          </w:p>
        </w:tc>
        <w:tc>
          <w:tcPr>
            <w:tcW w:w="920" w:type="dxa"/>
            <w:vAlign w:val="bottom"/>
          </w:tcPr>
          <w:p>
            <w:pPr>
              <w:ind w:left="360"/>
              <w:spacing w:after="0"/>
              <w:rPr>
                <w:sz w:val="20"/>
                <w:szCs w:val="20"/>
                <w:color w:val="auto"/>
              </w:rPr>
            </w:pPr>
            <w:r>
              <w:rPr>
                <w:rFonts w:ascii="Arial" w:cs="Arial" w:eastAsia="Arial" w:hAnsi="Arial"/>
                <w:sz w:val="18"/>
                <w:szCs w:val="18"/>
                <w:b w:val="1"/>
                <w:bCs w:val="1"/>
                <w:color w:val="auto"/>
                <w:w w:val="98"/>
              </w:rPr>
              <w:t>[</w:t>
            </w:r>
            <w:r>
              <w:rPr>
                <w:rFonts w:ascii="Arial" w:cs="Arial" w:eastAsia="Arial" w:hAnsi="Arial"/>
                <w:sz w:val="18"/>
                <w:szCs w:val="18"/>
                <w:color w:val="auto"/>
                <w:w w:val="98"/>
              </w:rPr>
              <w:t>*CTR]</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b w:val="1"/>
                <w:bCs w:val="1"/>
                <w:color w:val="auto"/>
                <w:w w:val="99"/>
              </w:rPr>
              <w:t>Buyer Furnished Equipment (BFE) Estimate:</w:t>
            </w:r>
          </w:p>
        </w:tc>
        <w:tc>
          <w:tcPr>
            <w:tcW w:w="21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800" w:type="dxa"/>
            <w:vAlign w:val="bottom"/>
            <w:vMerge w:val="continue"/>
          </w:tcPr>
          <w:p>
            <w:pPr>
              <w:spacing w:after="0"/>
              <w:rPr>
                <w:sz w:val="16"/>
                <w:szCs w:val="16"/>
                <w:color w:val="auto"/>
              </w:rPr>
            </w:pPr>
          </w:p>
        </w:tc>
        <w:tc>
          <w:tcPr>
            <w:tcW w:w="2180" w:type="dxa"/>
            <w:vAlign w:val="bottom"/>
          </w:tcPr>
          <w:p>
            <w:pPr>
              <w:spacing w:after="0"/>
              <w:rPr>
                <w:sz w:val="16"/>
                <w:szCs w:val="16"/>
                <w:color w:val="auto"/>
              </w:rPr>
            </w:pPr>
          </w:p>
        </w:tc>
        <w:tc>
          <w:tcPr>
            <w:tcW w:w="124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b w:val="1"/>
                <w:bCs w:val="1"/>
                <w:color w:val="auto"/>
                <w:w w:val="98"/>
              </w:rPr>
              <w:t>Seller Purchased Equipment (SPE) Estimate:</w:t>
            </w:r>
          </w:p>
        </w:tc>
        <w:tc>
          <w:tcPr>
            <w:tcW w:w="21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r>
              <w:rPr>
                <w:rFonts w:ascii="Arial" w:cs="Arial" w:eastAsia="Arial" w:hAnsi="Arial"/>
                <w:sz w:val="18"/>
                <w:szCs w:val="18"/>
                <w:b w:val="1"/>
                <w:bCs w:val="1"/>
                <w:color w:val="auto"/>
              </w:rPr>
              <w:t>Deposit per Aircraft:</w:t>
            </w:r>
          </w:p>
        </w:tc>
        <w:tc>
          <w:tcPr>
            <w:tcW w:w="218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p>
        </w:tc>
        <w:tc>
          <w:tcPr>
            <w:tcW w:w="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Escalation</w:t>
            </w:r>
          </w:p>
        </w:tc>
        <w:tc>
          <w:tcPr>
            <w:tcW w:w="4640" w:type="dxa"/>
            <w:vAlign w:val="bottom"/>
            <w:gridSpan w:val="8"/>
          </w:tcPr>
          <w:p>
            <w:pPr>
              <w:ind w:left="240"/>
              <w:spacing w:after="0"/>
              <w:rPr>
                <w:sz w:val="20"/>
                <w:szCs w:val="20"/>
                <w:color w:val="auto"/>
              </w:rPr>
            </w:pPr>
            <w:r>
              <w:rPr>
                <w:rFonts w:ascii="Arial" w:cs="Arial" w:eastAsia="Arial" w:hAnsi="Arial"/>
                <w:sz w:val="14"/>
                <w:szCs w:val="14"/>
                <w:b w:val="1"/>
                <w:bCs w:val="1"/>
                <w:color w:val="auto"/>
              </w:rPr>
              <w:t>Advance Payment Per Aircraft (Amts. Due/Mos. Prior to Delivery):</w:t>
            </w:r>
          </w:p>
        </w:tc>
        <w:tc>
          <w:tcPr>
            <w:tcW w:w="0" w:type="dxa"/>
            <w:vAlign w:val="bottom"/>
          </w:tcPr>
          <w:p>
            <w:pPr>
              <w:spacing w:after="0"/>
              <w:rPr>
                <w:sz w:val="1"/>
                <w:szCs w:val="1"/>
                <w:color w:val="auto"/>
              </w:rPr>
            </w:pPr>
          </w:p>
        </w:tc>
      </w:tr>
      <w:tr>
        <w:trPr>
          <w:trHeight w:val="27"/>
        </w:trPr>
        <w:tc>
          <w:tcPr>
            <w:tcW w:w="23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Delivery</w:t>
            </w: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restart"/>
          </w:tcPr>
          <w:p>
            <w:pPr>
              <w:jc w:val="center"/>
              <w:ind w:right="220"/>
              <w:spacing w:after="0" w:line="126" w:lineRule="exact"/>
              <w:rPr>
                <w:sz w:val="20"/>
                <w:szCs w:val="20"/>
                <w:color w:val="auto"/>
              </w:rPr>
            </w:pPr>
            <w:r>
              <w:rPr>
                <w:rFonts w:ascii="Arial" w:cs="Arial" w:eastAsia="Arial" w:hAnsi="Arial"/>
                <w:sz w:val="14"/>
                <w:szCs w:val="14"/>
                <w:b w:val="1"/>
                <w:bCs w:val="1"/>
                <w:color w:val="auto"/>
                <w:w w:val="91"/>
              </w:rPr>
              <w:t>Escalation</w:t>
            </w:r>
          </w:p>
        </w:tc>
        <w:tc>
          <w:tcPr>
            <w:tcW w:w="960" w:type="dxa"/>
            <w:vAlign w:val="bottom"/>
          </w:tcPr>
          <w:p>
            <w:pPr>
              <w:spacing w:after="0"/>
              <w:rPr>
                <w:sz w:val="2"/>
                <w:szCs w:val="2"/>
                <w:color w:val="auto"/>
              </w:rPr>
            </w:pPr>
          </w:p>
        </w:tc>
        <w:tc>
          <w:tcPr>
            <w:tcW w:w="220" w:type="dxa"/>
            <w:vAlign w:val="bottom"/>
            <w:vMerge w:val="restart"/>
          </w:tcPr>
          <w:p>
            <w:pPr>
              <w:spacing w:after="0"/>
              <w:rPr>
                <w:sz w:val="2"/>
                <w:szCs w:val="2"/>
                <w:color w:val="auto"/>
              </w:rPr>
            </w:pPr>
          </w:p>
        </w:tc>
        <w:tc>
          <w:tcPr>
            <w:tcW w:w="1160" w:type="dxa"/>
            <w:vAlign w:val="bottom"/>
            <w:gridSpan w:val="2"/>
            <w:vMerge w:val="restart"/>
          </w:tcPr>
          <w:p>
            <w:pPr>
              <w:jc w:val="center"/>
              <w:ind w:right="220"/>
              <w:spacing w:after="0" w:line="126" w:lineRule="exact"/>
              <w:rPr>
                <w:sz w:val="20"/>
                <w:szCs w:val="20"/>
                <w:color w:val="auto"/>
              </w:rPr>
            </w:pPr>
            <w:r>
              <w:rPr>
                <w:rFonts w:ascii="Arial" w:cs="Arial" w:eastAsia="Arial" w:hAnsi="Arial"/>
                <w:sz w:val="14"/>
                <w:szCs w:val="14"/>
                <w:b w:val="1"/>
                <w:bCs w:val="1"/>
                <w:color w:val="auto"/>
                <w:w w:val="92"/>
              </w:rPr>
              <w:t>Estimate Adv</w:t>
            </w: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2340" w:type="dxa"/>
            <w:vAlign w:val="bottom"/>
            <w:gridSpan w:val="4"/>
            <w:vMerge w:val="continue"/>
          </w:tcPr>
          <w:p>
            <w:pPr>
              <w:spacing w:after="0"/>
              <w:rPr>
                <w:sz w:val="6"/>
                <w:szCs w:val="6"/>
                <w:color w:val="auto"/>
              </w:rPr>
            </w:pPr>
          </w:p>
        </w:tc>
        <w:tc>
          <w:tcPr>
            <w:tcW w:w="11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Number of</w:t>
            </w:r>
          </w:p>
        </w:tc>
        <w:tc>
          <w:tcPr>
            <w:tcW w:w="940" w:type="dxa"/>
            <w:vAlign w:val="bottom"/>
            <w:gridSpan w:val="2"/>
            <w:vMerge w:val="continue"/>
          </w:tcPr>
          <w:p>
            <w:pPr>
              <w:spacing w:after="0"/>
              <w:rPr>
                <w:sz w:val="6"/>
                <w:szCs w:val="6"/>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Aircraft Serial</w:t>
            </w:r>
          </w:p>
        </w:tc>
        <w:tc>
          <w:tcPr>
            <w:tcW w:w="220" w:type="dxa"/>
            <w:vAlign w:val="bottom"/>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rPr>
              <w:t>[*CTR]</w:t>
            </w: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rPr>
              <w:t>[*CTR]</w:t>
            </w: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rPr>
              <w:t>[*CTR]</w:t>
            </w: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2340" w:type="dxa"/>
            <w:vAlign w:val="bottom"/>
            <w:gridSpan w:val="4"/>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4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3"/>
              </w:rPr>
              <w:t>Factor</w:t>
            </w: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9"/>
              </w:rPr>
              <w:t>Payment Base</w:t>
            </w:r>
          </w:p>
        </w:tc>
        <w:tc>
          <w:tcPr>
            <w:tcW w:w="120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0" w:type="dxa"/>
            <w:vAlign w:val="bottom"/>
            <w:tcBorders>
              <w:bottom w:val="single" w:sz="8" w:color="auto"/>
            </w:tcBorders>
          </w:tcPr>
          <w:p>
            <w:pPr>
              <w:spacing w:after="0" w:line="115" w:lineRule="exact"/>
              <w:rPr>
                <w:sz w:val="20"/>
                <w:szCs w:val="20"/>
                <w:color w:val="auto"/>
              </w:rPr>
            </w:pPr>
            <w:r>
              <w:rPr>
                <w:rFonts w:ascii="Arial" w:cs="Arial" w:eastAsia="Arial" w:hAnsi="Arial"/>
                <w:sz w:val="13"/>
                <w:szCs w:val="13"/>
                <w:b w:val="1"/>
                <w:bCs w:val="1"/>
                <w:color w:val="auto"/>
              </w:rPr>
              <w:t>Date</w:t>
            </w:r>
          </w:p>
        </w:tc>
        <w:tc>
          <w:tcPr>
            <w:tcW w:w="1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rPr>
              <w:t>Aircraft</w:t>
            </w: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rPr>
              <w:t>(Airframe)</w:t>
            </w: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1"/>
                <w:szCs w:val="11"/>
                <w:color w:val="auto"/>
              </w:rPr>
            </w:pPr>
          </w:p>
        </w:tc>
        <w:tc>
          <w:tcPr>
            <w:tcW w:w="11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3"/>
              </w:rPr>
              <w:t>Price Per A/P</w:t>
            </w:r>
          </w:p>
        </w:tc>
        <w:tc>
          <w:tcPr>
            <w:tcW w:w="1200" w:type="dxa"/>
            <w:vAlign w:val="bottom"/>
            <w:gridSpan w:val="2"/>
          </w:tcPr>
          <w:p>
            <w:pPr>
              <w:jc w:val="center"/>
              <w:ind w:right="200"/>
              <w:spacing w:after="0" w:line="129" w:lineRule="exact"/>
              <w:rPr>
                <w:sz w:val="20"/>
                <w:szCs w:val="20"/>
                <w:color w:val="auto"/>
              </w:rPr>
            </w:pPr>
            <w:r>
              <w:rPr>
                <w:rFonts w:ascii="Arial" w:cs="Arial" w:eastAsia="Arial" w:hAnsi="Arial"/>
                <w:sz w:val="14"/>
                <w:szCs w:val="14"/>
                <w:color w:val="auto"/>
              </w:rPr>
              <w:t>[*CTR]</w:t>
            </w:r>
          </w:p>
        </w:tc>
        <w:tc>
          <w:tcPr>
            <w:tcW w:w="1200" w:type="dxa"/>
            <w:vAlign w:val="bottom"/>
            <w:gridSpan w:val="2"/>
          </w:tcPr>
          <w:p>
            <w:pPr>
              <w:jc w:val="center"/>
              <w:ind w:right="200"/>
              <w:spacing w:after="0" w:line="129" w:lineRule="exact"/>
              <w:rPr>
                <w:sz w:val="20"/>
                <w:szCs w:val="20"/>
                <w:color w:val="auto"/>
              </w:rPr>
            </w:pPr>
            <w:r>
              <w:rPr>
                <w:rFonts w:ascii="Arial" w:cs="Arial" w:eastAsia="Arial" w:hAnsi="Arial"/>
                <w:sz w:val="14"/>
                <w:szCs w:val="14"/>
                <w:color w:val="auto"/>
              </w:rPr>
              <w:t>[*CTR]</w:t>
            </w:r>
          </w:p>
        </w:tc>
        <w:tc>
          <w:tcPr>
            <w:tcW w:w="1200" w:type="dxa"/>
            <w:vAlign w:val="bottom"/>
            <w:gridSpan w:val="2"/>
          </w:tcPr>
          <w:p>
            <w:pPr>
              <w:jc w:val="center"/>
              <w:ind w:right="200"/>
              <w:spacing w:after="0" w:line="129" w:lineRule="exact"/>
              <w:rPr>
                <w:sz w:val="20"/>
                <w:szCs w:val="20"/>
                <w:color w:val="auto"/>
              </w:rPr>
            </w:pPr>
            <w:r>
              <w:rPr>
                <w:rFonts w:ascii="Arial" w:cs="Arial" w:eastAsia="Arial" w:hAnsi="Arial"/>
                <w:sz w:val="14"/>
                <w:szCs w:val="14"/>
                <w:color w:val="auto"/>
              </w:rPr>
              <w:t>[*CTR]</w:t>
            </w:r>
          </w:p>
        </w:tc>
        <w:tc>
          <w:tcPr>
            <w:tcW w:w="1040" w:type="dxa"/>
            <w:vAlign w:val="bottom"/>
            <w:gridSpan w:val="2"/>
          </w:tcPr>
          <w:p>
            <w:pPr>
              <w:jc w:val="center"/>
              <w:ind w:right="20"/>
              <w:spacing w:after="0" w:line="129"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[*CTR]-2013</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212"/>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3"/>
          </w:tcPr>
          <w:p>
            <w:pPr>
              <w:spacing w:after="0"/>
              <w:rPr>
                <w:sz w:val="20"/>
                <w:szCs w:val="20"/>
                <w:color w:val="auto"/>
              </w:rPr>
            </w:pPr>
            <w:r>
              <w:rPr>
                <w:rFonts w:ascii="Arial" w:cs="Arial" w:eastAsia="Arial" w:hAnsi="Arial"/>
                <w:sz w:val="18"/>
                <w:szCs w:val="18"/>
                <w:color w:val="auto"/>
              </w:rPr>
              <w:t>[*CTR]-2013</w:t>
            </w:r>
          </w:p>
        </w:tc>
        <w:tc>
          <w:tcPr>
            <w:tcW w:w="1080" w:type="dxa"/>
            <w:vAlign w:val="bottom"/>
          </w:tcPr>
          <w:p>
            <w:pPr>
              <w:jc w:val="center"/>
              <w:ind w:right="212"/>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rPr>
              <w:t>[*CTR]</w:t>
            </w:r>
          </w:p>
        </w:tc>
        <w:tc>
          <w:tcPr>
            <w:tcW w:w="960" w:type="dxa"/>
            <w:vAlign w:val="bottom"/>
          </w:tcPr>
          <w:p>
            <w:pPr>
              <w:jc w:val="center"/>
              <w:spacing w:after="0"/>
              <w:rPr>
                <w:sz w:val="20"/>
                <w:szCs w:val="20"/>
                <w:color w:val="auto"/>
              </w:rPr>
            </w:pPr>
            <w:r>
              <w:rPr>
                <w:rFonts w:ascii="Arial" w:cs="Arial" w:eastAsia="Arial" w:hAnsi="Arial"/>
                <w:sz w:val="18"/>
                <w:szCs w:val="18"/>
                <w:color w:val="auto"/>
              </w:rPr>
              <w:t>[*CTR]</w:t>
            </w:r>
          </w:p>
        </w:tc>
        <w:tc>
          <w:tcPr>
            <w:tcW w:w="2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rPr>
              <w:t>[*CTR]</w:t>
            </w:r>
          </w:p>
        </w:tc>
        <w:tc>
          <w:tcPr>
            <w:tcW w:w="102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[*CTR]-2013</w:t>
            </w:r>
          </w:p>
        </w:tc>
        <w:tc>
          <w:tcPr>
            <w:tcW w:w="1080" w:type="dxa"/>
            <w:vAlign w:val="bottom"/>
            <w:shd w:val="clear" w:color="auto" w:fill="CCEEFF"/>
          </w:tcPr>
          <w:p>
            <w:pPr>
              <w:jc w:val="center"/>
              <w:ind w:right="212"/>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[*CTR]</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[*CTR]</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3"/>
          </w:tcPr>
          <w:p>
            <w:pPr>
              <w:spacing w:after="0"/>
              <w:rPr>
                <w:sz w:val="20"/>
                <w:szCs w:val="20"/>
                <w:color w:val="auto"/>
              </w:rPr>
            </w:pPr>
            <w:r>
              <w:rPr>
                <w:rFonts w:ascii="Arial" w:cs="Arial" w:eastAsia="Arial" w:hAnsi="Arial"/>
                <w:sz w:val="18"/>
                <w:szCs w:val="18"/>
                <w:color w:val="auto"/>
              </w:rPr>
              <w:t>[*CTR]-2013</w:t>
            </w:r>
          </w:p>
        </w:tc>
        <w:tc>
          <w:tcPr>
            <w:tcW w:w="1080" w:type="dxa"/>
            <w:vAlign w:val="bottom"/>
          </w:tcPr>
          <w:p>
            <w:pPr>
              <w:jc w:val="center"/>
              <w:ind w:right="212"/>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rPr>
              <w:t>[*CTR]</w:t>
            </w:r>
          </w:p>
        </w:tc>
        <w:tc>
          <w:tcPr>
            <w:tcW w:w="960" w:type="dxa"/>
            <w:vAlign w:val="bottom"/>
          </w:tcPr>
          <w:p>
            <w:pPr>
              <w:jc w:val="center"/>
              <w:spacing w:after="0"/>
              <w:rPr>
                <w:sz w:val="20"/>
                <w:szCs w:val="20"/>
                <w:color w:val="auto"/>
              </w:rPr>
            </w:pPr>
            <w:r>
              <w:rPr>
                <w:rFonts w:ascii="Arial" w:cs="Arial" w:eastAsia="Arial" w:hAnsi="Arial"/>
                <w:sz w:val="18"/>
                <w:szCs w:val="18"/>
                <w:color w:val="auto"/>
              </w:rPr>
              <w:t>[*CTR]</w:t>
            </w:r>
          </w:p>
        </w:tc>
        <w:tc>
          <w:tcPr>
            <w:tcW w:w="2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rPr>
              <w:t>[*CTR]</w:t>
            </w:r>
          </w:p>
        </w:tc>
        <w:tc>
          <w:tcPr>
            <w:tcW w:w="102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[*CTR]-2013</w:t>
            </w:r>
          </w:p>
        </w:tc>
        <w:tc>
          <w:tcPr>
            <w:tcW w:w="1080" w:type="dxa"/>
            <w:vAlign w:val="bottom"/>
            <w:shd w:val="clear" w:color="auto" w:fill="CCEEFF"/>
          </w:tcPr>
          <w:p>
            <w:pPr>
              <w:jc w:val="center"/>
              <w:ind w:right="212"/>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[*CTR]</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[*CTR]</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3"/>
          </w:tcPr>
          <w:p>
            <w:pPr>
              <w:spacing w:after="0"/>
              <w:rPr>
                <w:sz w:val="20"/>
                <w:szCs w:val="20"/>
                <w:color w:val="auto"/>
              </w:rPr>
            </w:pPr>
            <w:r>
              <w:rPr>
                <w:rFonts w:ascii="Arial" w:cs="Arial" w:eastAsia="Arial" w:hAnsi="Arial"/>
                <w:sz w:val="18"/>
                <w:szCs w:val="18"/>
                <w:color w:val="auto"/>
              </w:rPr>
              <w:t>[*CTR]-2013</w:t>
            </w:r>
          </w:p>
        </w:tc>
        <w:tc>
          <w:tcPr>
            <w:tcW w:w="1080" w:type="dxa"/>
            <w:vAlign w:val="bottom"/>
          </w:tcPr>
          <w:p>
            <w:pPr>
              <w:jc w:val="center"/>
              <w:ind w:right="212"/>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rPr>
              <w:t>[*CTR]</w:t>
            </w:r>
          </w:p>
        </w:tc>
        <w:tc>
          <w:tcPr>
            <w:tcW w:w="960" w:type="dxa"/>
            <w:vAlign w:val="bottom"/>
          </w:tcPr>
          <w:p>
            <w:pPr>
              <w:jc w:val="center"/>
              <w:spacing w:after="0"/>
              <w:rPr>
                <w:sz w:val="20"/>
                <w:szCs w:val="20"/>
                <w:color w:val="auto"/>
              </w:rPr>
            </w:pPr>
            <w:r>
              <w:rPr>
                <w:rFonts w:ascii="Arial" w:cs="Arial" w:eastAsia="Arial" w:hAnsi="Arial"/>
                <w:sz w:val="18"/>
                <w:szCs w:val="18"/>
                <w:color w:val="auto"/>
              </w:rPr>
              <w:t>[*CTR]</w:t>
            </w:r>
          </w:p>
        </w:tc>
        <w:tc>
          <w:tcPr>
            <w:tcW w:w="2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rPr>
              <w:t>[*CTR]</w:t>
            </w:r>
          </w:p>
        </w:tc>
        <w:tc>
          <w:tcPr>
            <w:tcW w:w="102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[*CTR]-2013</w:t>
            </w:r>
          </w:p>
        </w:tc>
        <w:tc>
          <w:tcPr>
            <w:tcW w:w="1080" w:type="dxa"/>
            <w:vAlign w:val="bottom"/>
            <w:shd w:val="clear" w:color="auto" w:fill="CCEEFF"/>
          </w:tcPr>
          <w:p>
            <w:pPr>
              <w:jc w:val="center"/>
              <w:ind w:right="212"/>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[*CTR]</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[*CTR]</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3"/>
          </w:tcPr>
          <w:p>
            <w:pPr>
              <w:spacing w:after="0"/>
              <w:rPr>
                <w:sz w:val="20"/>
                <w:szCs w:val="20"/>
                <w:color w:val="auto"/>
              </w:rPr>
            </w:pPr>
            <w:r>
              <w:rPr>
                <w:rFonts w:ascii="Arial" w:cs="Arial" w:eastAsia="Arial" w:hAnsi="Arial"/>
                <w:sz w:val="18"/>
                <w:szCs w:val="18"/>
                <w:color w:val="auto"/>
              </w:rPr>
              <w:t>[*CTR]-2013</w:t>
            </w:r>
          </w:p>
        </w:tc>
        <w:tc>
          <w:tcPr>
            <w:tcW w:w="1080" w:type="dxa"/>
            <w:vAlign w:val="bottom"/>
          </w:tcPr>
          <w:p>
            <w:pPr>
              <w:jc w:val="center"/>
              <w:ind w:right="212"/>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rPr>
              <w:t>[*CTR]</w:t>
            </w:r>
          </w:p>
        </w:tc>
        <w:tc>
          <w:tcPr>
            <w:tcW w:w="960" w:type="dxa"/>
            <w:vAlign w:val="bottom"/>
          </w:tcPr>
          <w:p>
            <w:pPr>
              <w:jc w:val="center"/>
              <w:spacing w:after="0"/>
              <w:rPr>
                <w:sz w:val="20"/>
                <w:szCs w:val="20"/>
                <w:color w:val="auto"/>
              </w:rPr>
            </w:pPr>
            <w:r>
              <w:rPr>
                <w:rFonts w:ascii="Arial" w:cs="Arial" w:eastAsia="Arial" w:hAnsi="Arial"/>
                <w:sz w:val="18"/>
                <w:szCs w:val="18"/>
                <w:color w:val="auto"/>
              </w:rPr>
              <w:t>[*CTR]</w:t>
            </w:r>
          </w:p>
        </w:tc>
        <w:tc>
          <w:tcPr>
            <w:tcW w:w="2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rPr>
              <w:t>[*CTR]</w:t>
            </w:r>
          </w:p>
        </w:tc>
        <w:tc>
          <w:tcPr>
            <w:tcW w:w="102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[*CTR]-2013</w:t>
            </w:r>
          </w:p>
        </w:tc>
        <w:tc>
          <w:tcPr>
            <w:tcW w:w="1080" w:type="dxa"/>
            <w:vAlign w:val="bottom"/>
            <w:shd w:val="clear" w:color="auto" w:fill="CCEEFF"/>
          </w:tcPr>
          <w:p>
            <w:pPr>
              <w:jc w:val="center"/>
              <w:ind w:right="212"/>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[*CTR]</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[*CTR]</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3"/>
          </w:tcPr>
          <w:p>
            <w:pPr>
              <w:spacing w:after="0"/>
              <w:rPr>
                <w:sz w:val="20"/>
                <w:szCs w:val="20"/>
                <w:color w:val="auto"/>
              </w:rPr>
            </w:pPr>
            <w:r>
              <w:rPr>
                <w:rFonts w:ascii="Arial" w:cs="Arial" w:eastAsia="Arial" w:hAnsi="Arial"/>
                <w:sz w:val="18"/>
                <w:szCs w:val="18"/>
                <w:color w:val="auto"/>
              </w:rPr>
              <w:t>[*CTR]-2013</w:t>
            </w:r>
          </w:p>
        </w:tc>
        <w:tc>
          <w:tcPr>
            <w:tcW w:w="1080" w:type="dxa"/>
            <w:vAlign w:val="bottom"/>
          </w:tcPr>
          <w:p>
            <w:pPr>
              <w:jc w:val="center"/>
              <w:ind w:right="212"/>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rPr>
              <w:t>[*CTR]</w:t>
            </w:r>
          </w:p>
        </w:tc>
        <w:tc>
          <w:tcPr>
            <w:tcW w:w="960" w:type="dxa"/>
            <w:vAlign w:val="bottom"/>
          </w:tcPr>
          <w:p>
            <w:pPr>
              <w:jc w:val="center"/>
              <w:spacing w:after="0"/>
              <w:rPr>
                <w:sz w:val="20"/>
                <w:szCs w:val="20"/>
                <w:color w:val="auto"/>
              </w:rPr>
            </w:pPr>
            <w:r>
              <w:rPr>
                <w:rFonts w:ascii="Arial" w:cs="Arial" w:eastAsia="Arial" w:hAnsi="Arial"/>
                <w:sz w:val="18"/>
                <w:szCs w:val="18"/>
                <w:color w:val="auto"/>
              </w:rPr>
              <w:t>[*CTR]</w:t>
            </w:r>
          </w:p>
        </w:tc>
        <w:tc>
          <w:tcPr>
            <w:tcW w:w="2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rPr>
              <w:t>[*CTR]</w:t>
            </w:r>
          </w:p>
        </w:tc>
        <w:tc>
          <w:tcPr>
            <w:tcW w:w="102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[*CTR]-2013</w:t>
            </w:r>
          </w:p>
        </w:tc>
        <w:tc>
          <w:tcPr>
            <w:tcW w:w="1080" w:type="dxa"/>
            <w:vAlign w:val="bottom"/>
            <w:shd w:val="clear" w:color="auto" w:fill="CCEEFF"/>
          </w:tcPr>
          <w:p>
            <w:pPr>
              <w:jc w:val="center"/>
              <w:ind w:right="212"/>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[*CTR]</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[*CTR]</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3"/>
          </w:tcPr>
          <w:p>
            <w:pPr>
              <w:spacing w:after="0"/>
              <w:rPr>
                <w:sz w:val="20"/>
                <w:szCs w:val="20"/>
                <w:color w:val="auto"/>
              </w:rPr>
            </w:pPr>
            <w:r>
              <w:rPr>
                <w:rFonts w:ascii="Arial" w:cs="Arial" w:eastAsia="Arial" w:hAnsi="Arial"/>
                <w:sz w:val="18"/>
                <w:szCs w:val="18"/>
                <w:color w:val="auto"/>
              </w:rPr>
              <w:t>[*CTR]-2013</w:t>
            </w:r>
          </w:p>
        </w:tc>
        <w:tc>
          <w:tcPr>
            <w:tcW w:w="1080" w:type="dxa"/>
            <w:vAlign w:val="bottom"/>
          </w:tcPr>
          <w:p>
            <w:pPr>
              <w:jc w:val="center"/>
              <w:ind w:right="212"/>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rPr>
              <w:t>[*CTR]</w:t>
            </w:r>
          </w:p>
        </w:tc>
        <w:tc>
          <w:tcPr>
            <w:tcW w:w="960" w:type="dxa"/>
            <w:vAlign w:val="bottom"/>
          </w:tcPr>
          <w:p>
            <w:pPr>
              <w:jc w:val="center"/>
              <w:spacing w:after="0"/>
              <w:rPr>
                <w:sz w:val="20"/>
                <w:szCs w:val="20"/>
                <w:color w:val="auto"/>
              </w:rPr>
            </w:pPr>
            <w:r>
              <w:rPr>
                <w:rFonts w:ascii="Arial" w:cs="Arial" w:eastAsia="Arial" w:hAnsi="Arial"/>
                <w:sz w:val="18"/>
                <w:szCs w:val="18"/>
                <w:color w:val="auto"/>
              </w:rPr>
              <w:t>[*CTR]</w:t>
            </w:r>
          </w:p>
        </w:tc>
        <w:tc>
          <w:tcPr>
            <w:tcW w:w="2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rPr>
              <w:t>[*CTR]</w:t>
            </w:r>
          </w:p>
        </w:tc>
        <w:tc>
          <w:tcPr>
            <w:tcW w:w="102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[*CTR]-2013</w:t>
            </w:r>
          </w:p>
        </w:tc>
        <w:tc>
          <w:tcPr>
            <w:tcW w:w="1080" w:type="dxa"/>
            <w:vAlign w:val="bottom"/>
            <w:shd w:val="clear" w:color="auto" w:fill="CCEEFF"/>
          </w:tcPr>
          <w:p>
            <w:pPr>
              <w:jc w:val="center"/>
              <w:ind w:right="212"/>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[*CTR]</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[*CTR]</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3"/>
          </w:tcPr>
          <w:p>
            <w:pPr>
              <w:spacing w:after="0"/>
              <w:rPr>
                <w:sz w:val="20"/>
                <w:szCs w:val="20"/>
                <w:color w:val="auto"/>
              </w:rPr>
            </w:pPr>
            <w:r>
              <w:rPr>
                <w:rFonts w:ascii="Arial" w:cs="Arial" w:eastAsia="Arial" w:hAnsi="Arial"/>
                <w:sz w:val="18"/>
                <w:szCs w:val="18"/>
                <w:color w:val="auto"/>
              </w:rPr>
              <w:t>[*CTR]-2013</w:t>
            </w:r>
          </w:p>
        </w:tc>
        <w:tc>
          <w:tcPr>
            <w:tcW w:w="1080" w:type="dxa"/>
            <w:vAlign w:val="bottom"/>
          </w:tcPr>
          <w:p>
            <w:pPr>
              <w:jc w:val="center"/>
              <w:ind w:right="212"/>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rPr>
              <w:t>[*CTR]</w:t>
            </w:r>
          </w:p>
        </w:tc>
        <w:tc>
          <w:tcPr>
            <w:tcW w:w="960" w:type="dxa"/>
            <w:vAlign w:val="bottom"/>
          </w:tcPr>
          <w:p>
            <w:pPr>
              <w:jc w:val="center"/>
              <w:spacing w:after="0"/>
              <w:rPr>
                <w:sz w:val="20"/>
                <w:szCs w:val="20"/>
                <w:color w:val="auto"/>
              </w:rPr>
            </w:pPr>
            <w:r>
              <w:rPr>
                <w:rFonts w:ascii="Arial" w:cs="Arial" w:eastAsia="Arial" w:hAnsi="Arial"/>
                <w:sz w:val="18"/>
                <w:szCs w:val="18"/>
                <w:color w:val="auto"/>
              </w:rPr>
              <w:t>[*CTR]</w:t>
            </w:r>
          </w:p>
        </w:tc>
        <w:tc>
          <w:tcPr>
            <w:tcW w:w="2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rPr>
              <w:t>[*CTR]</w:t>
            </w:r>
          </w:p>
        </w:tc>
        <w:tc>
          <w:tcPr>
            <w:tcW w:w="102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[*CTR]-2013</w:t>
            </w:r>
          </w:p>
        </w:tc>
        <w:tc>
          <w:tcPr>
            <w:tcW w:w="1080" w:type="dxa"/>
            <w:vAlign w:val="bottom"/>
            <w:shd w:val="clear" w:color="auto" w:fill="CCEEFF"/>
          </w:tcPr>
          <w:p>
            <w:pPr>
              <w:jc w:val="center"/>
              <w:ind w:right="212"/>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[*CTR]</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[*CTR]</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4"/>
          </w:tcPr>
          <w:p>
            <w:pPr>
              <w:jc w:val="center"/>
              <w:ind w:left="212"/>
              <w:spacing w:after="0"/>
              <w:rPr>
                <w:sz w:val="20"/>
                <w:szCs w:val="20"/>
                <w:color w:val="auto"/>
              </w:rPr>
            </w:pPr>
            <w:r>
              <w:rPr>
                <w:rFonts w:ascii="Arial" w:cs="Arial" w:eastAsia="Arial" w:hAnsi="Arial"/>
                <w:sz w:val="18"/>
                <w:szCs w:val="18"/>
                <w:b w:val="1"/>
                <w:bCs w:val="1"/>
                <w:color w:val="auto"/>
                <w:w w:val="91"/>
              </w:rPr>
              <w:t>Boeing Proprietary</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340" w:type="dxa"/>
            <w:vAlign w:val="bottom"/>
            <w:gridSpan w:val="4"/>
          </w:tcPr>
          <w:p>
            <w:pPr>
              <w:spacing w:after="0"/>
              <w:rPr>
                <w:sz w:val="20"/>
                <w:szCs w:val="20"/>
                <w:color w:val="auto"/>
              </w:rPr>
            </w:pPr>
            <w:r>
              <w:rPr>
                <w:rFonts w:ascii="Arial" w:cs="Arial" w:eastAsia="Arial" w:hAnsi="Arial"/>
                <w:sz w:val="18"/>
                <w:szCs w:val="18"/>
                <w:color w:val="auto"/>
                <w:w w:val="96"/>
              </w:rPr>
              <w:t>AAL-PA-01977 57184-1F.TXT</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8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93"/>
              </w:rPr>
              <w:t>SA-37</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w w:val="84"/>
              </w:rPr>
              <w:t>Page 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1F To Purchase Agreement No. 1977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737-800 Aircraft Delivery, Description, Price and Advance Payments Purchased Aircraft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3"/>
              </w:rPr>
              <w:t>Escalation Estimat</w:t>
            </w:r>
          </w:p>
        </w:tc>
        <w:tc>
          <w:tcPr>
            <w:tcW w:w="4860" w:type="dxa"/>
            <w:vAlign w:val="bottom"/>
            <w:gridSpan w:val="8"/>
          </w:tcPr>
          <w:p>
            <w:pPr>
              <w:ind w:left="280"/>
              <w:spacing w:after="0"/>
              <w:rPr>
                <w:sz w:val="20"/>
                <w:szCs w:val="20"/>
                <w:color w:val="auto"/>
              </w:rPr>
            </w:pPr>
            <w:r>
              <w:rPr>
                <w:rFonts w:ascii="Arial" w:cs="Arial" w:eastAsia="Arial" w:hAnsi="Arial"/>
                <w:sz w:val="14"/>
                <w:szCs w:val="14"/>
                <w:b w:val="1"/>
                <w:bCs w:val="1"/>
                <w:color w:val="auto"/>
              </w:rPr>
              <w:t>Advance Payment Per Aircraft (Amts. Due/Mos. Prior to Delivery):</w:t>
            </w:r>
          </w:p>
        </w:tc>
        <w:tc>
          <w:tcPr>
            <w:tcW w:w="0" w:type="dxa"/>
            <w:vAlign w:val="bottom"/>
          </w:tcPr>
          <w:p>
            <w:pPr>
              <w:spacing w:after="0"/>
              <w:rPr>
                <w:sz w:val="1"/>
                <w:szCs w:val="1"/>
                <w:color w:val="auto"/>
              </w:rPr>
            </w:pPr>
          </w:p>
        </w:tc>
      </w:tr>
      <w:tr>
        <w:trPr>
          <w:trHeight w:val="27"/>
        </w:trPr>
        <w:tc>
          <w:tcPr>
            <w:tcW w:w="1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Delivery</w:t>
            </w:r>
          </w:p>
        </w:tc>
        <w:tc>
          <w:tcPr>
            <w:tcW w:w="880" w:type="dxa"/>
            <w:vAlign w:val="bottom"/>
            <w:gridSpan w:val="2"/>
            <w:vMerge w:val="restart"/>
          </w:tcPr>
          <w:p>
            <w:pPr>
              <w:jc w:val="center"/>
              <w:ind w:right="360"/>
              <w:spacing w:after="0" w:line="126" w:lineRule="exact"/>
              <w:rPr>
                <w:sz w:val="20"/>
                <w:szCs w:val="20"/>
                <w:color w:val="auto"/>
              </w:rPr>
            </w:pPr>
            <w:r>
              <w:rPr>
                <w:rFonts w:ascii="Arial" w:cs="Arial" w:eastAsia="Arial" w:hAnsi="Arial"/>
                <w:sz w:val="14"/>
                <w:szCs w:val="14"/>
                <w:b w:val="1"/>
                <w:bCs w:val="1"/>
                <w:color w:val="auto"/>
                <w:w w:val="98"/>
              </w:rPr>
              <w:t>Number</w:t>
            </w:r>
          </w:p>
        </w:tc>
        <w:tc>
          <w:tcPr>
            <w:tcW w:w="1020" w:type="dxa"/>
            <w:vAlign w:val="bottom"/>
            <w:gridSpan w:val="2"/>
            <w:vMerge w:val="restart"/>
          </w:tcPr>
          <w:p>
            <w:pPr>
              <w:jc w:val="center"/>
              <w:ind w:right="340"/>
              <w:spacing w:after="0" w:line="126" w:lineRule="exact"/>
              <w:rPr>
                <w:sz w:val="20"/>
                <w:szCs w:val="20"/>
                <w:color w:val="auto"/>
              </w:rPr>
            </w:pPr>
            <w:r>
              <w:rPr>
                <w:rFonts w:ascii="Arial" w:cs="Arial" w:eastAsia="Arial" w:hAnsi="Arial"/>
                <w:sz w:val="14"/>
                <w:szCs w:val="14"/>
                <w:b w:val="1"/>
                <w:bCs w:val="1"/>
                <w:color w:val="auto"/>
                <w:w w:val="91"/>
              </w:rPr>
              <w:t>Escalation</w:t>
            </w: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gridSpan w:val="2"/>
            <w:vMerge w:val="restart"/>
          </w:tcPr>
          <w:p>
            <w:pPr>
              <w:jc w:val="center"/>
              <w:ind w:right="340"/>
              <w:spacing w:after="0" w:line="126" w:lineRule="exact"/>
              <w:rPr>
                <w:sz w:val="20"/>
                <w:szCs w:val="20"/>
                <w:color w:val="auto"/>
              </w:rPr>
            </w:pPr>
            <w:r>
              <w:rPr>
                <w:rFonts w:ascii="Arial" w:cs="Arial" w:eastAsia="Arial" w:hAnsi="Arial"/>
                <w:sz w:val="14"/>
                <w:szCs w:val="14"/>
                <w:b w:val="1"/>
                <w:bCs w:val="1"/>
                <w:color w:val="auto"/>
                <w:w w:val="94"/>
              </w:rPr>
              <w:t>Adv Payment</w:t>
            </w: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1800" w:type="dxa"/>
            <w:vAlign w:val="bottom"/>
            <w:gridSpan w:val="3"/>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Aircraft Serial</w:t>
            </w:r>
          </w:p>
        </w:tc>
        <w:tc>
          <w:tcPr>
            <w:tcW w:w="15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gridSpan w:val="2"/>
            <w:vMerge w:val="restart"/>
          </w:tcPr>
          <w:p>
            <w:pPr>
              <w:jc w:val="center"/>
              <w:ind w:right="500"/>
              <w:spacing w:after="0"/>
              <w:rPr>
                <w:sz w:val="20"/>
                <w:szCs w:val="20"/>
                <w:color w:val="auto"/>
              </w:rPr>
            </w:pPr>
            <w:r>
              <w:rPr>
                <w:rFonts w:ascii="Arial" w:cs="Arial" w:eastAsia="Arial" w:hAnsi="Arial"/>
                <w:sz w:val="14"/>
                <w:szCs w:val="14"/>
                <w:color w:val="auto"/>
              </w:rPr>
              <w:t>[*CTR]</w:t>
            </w: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color w:val="auto"/>
              </w:rPr>
              <w:t>[*CTR]</w:t>
            </w:r>
          </w:p>
        </w:tc>
        <w:tc>
          <w:tcPr>
            <w:tcW w:w="1340" w:type="dxa"/>
            <w:vAlign w:val="bottom"/>
            <w:gridSpan w:val="2"/>
            <w:vMerge w:val="restart"/>
          </w:tcPr>
          <w:p>
            <w:pPr>
              <w:jc w:val="center"/>
              <w:ind w:right="360"/>
              <w:spacing w:after="0"/>
              <w:rPr>
                <w:sz w:val="20"/>
                <w:szCs w:val="20"/>
                <w:color w:val="auto"/>
              </w:rPr>
            </w:pPr>
            <w:r>
              <w:rPr>
                <w:rFonts w:ascii="Arial" w:cs="Arial" w:eastAsia="Arial" w:hAnsi="Arial"/>
                <w:sz w:val="14"/>
                <w:szCs w:val="14"/>
                <w:color w:val="auto"/>
              </w:rPr>
              <w:t>[*CTR]</w:t>
            </w:r>
          </w:p>
        </w:tc>
        <w:tc>
          <w:tcPr>
            <w:tcW w:w="102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1800" w:type="dxa"/>
            <w:vAlign w:val="bottom"/>
            <w:gridSpan w:val="3"/>
            <w:vMerge w:val="continue"/>
          </w:tcPr>
          <w:p>
            <w:pPr>
              <w:spacing w:after="0"/>
              <w:rPr>
                <w:sz w:val="12"/>
                <w:szCs w:val="12"/>
                <w:color w:val="auto"/>
              </w:rPr>
            </w:pPr>
          </w:p>
        </w:tc>
        <w:tc>
          <w:tcPr>
            <w:tcW w:w="88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0"/>
              </w:rPr>
              <w:t>of</w:t>
            </w:r>
          </w:p>
        </w:tc>
        <w:tc>
          <w:tcPr>
            <w:tcW w:w="102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3"/>
              </w:rPr>
              <w:t>Factor</w:t>
            </w:r>
          </w:p>
        </w:tc>
        <w:tc>
          <w:tcPr>
            <w:tcW w:w="1240" w:type="dxa"/>
            <w:vAlign w:val="bottom"/>
            <w:gridSpan w:val="2"/>
            <w:vMerge w:val="continue"/>
          </w:tcPr>
          <w:p>
            <w:pPr>
              <w:spacing w:after="0"/>
              <w:rPr>
                <w:sz w:val="12"/>
                <w:szCs w:val="12"/>
                <w:color w:val="auto"/>
              </w:rPr>
            </w:pPr>
          </w:p>
        </w:tc>
        <w:tc>
          <w:tcPr>
            <w:tcW w:w="1640" w:type="dxa"/>
            <w:vAlign w:val="bottom"/>
            <w:gridSpan w:val="3"/>
          </w:tcPr>
          <w:p>
            <w:pPr>
              <w:jc w:val="center"/>
              <w:ind w:right="480"/>
              <w:spacing w:after="0" w:line="145" w:lineRule="exact"/>
              <w:rPr>
                <w:sz w:val="20"/>
                <w:szCs w:val="20"/>
                <w:color w:val="auto"/>
              </w:rPr>
            </w:pPr>
            <w:r>
              <w:rPr>
                <w:rFonts w:ascii="Arial" w:cs="Arial" w:eastAsia="Arial" w:hAnsi="Arial"/>
                <w:sz w:val="14"/>
                <w:szCs w:val="14"/>
                <w:b w:val="1"/>
                <w:bCs w:val="1"/>
                <w:color w:val="auto"/>
                <w:w w:val="89"/>
              </w:rPr>
              <w:t>Base Price Per</w:t>
            </w:r>
          </w:p>
        </w:tc>
        <w:tc>
          <w:tcPr>
            <w:tcW w:w="118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0" w:type="dxa"/>
            <w:vAlign w:val="bottom"/>
            <w:tcBorders>
              <w:bottom w:val="single" w:sz="8" w:color="auto"/>
            </w:tcBorders>
          </w:tcPr>
          <w:p>
            <w:pPr>
              <w:spacing w:after="0" w:line="115" w:lineRule="exact"/>
              <w:rPr>
                <w:sz w:val="20"/>
                <w:szCs w:val="20"/>
                <w:color w:val="auto"/>
              </w:rPr>
            </w:pPr>
            <w:r>
              <w:rPr>
                <w:rFonts w:ascii="Arial" w:cs="Arial" w:eastAsia="Arial" w:hAnsi="Arial"/>
                <w:sz w:val="13"/>
                <w:szCs w:val="13"/>
                <w:b w:val="1"/>
                <w:bCs w:val="1"/>
                <w:color w:val="auto"/>
              </w:rPr>
              <w:t>Date</w:t>
            </w:r>
          </w:p>
        </w:tc>
        <w:tc>
          <w:tcPr>
            <w:tcW w:w="1280" w:type="dxa"/>
            <w:vAlign w:val="bottom"/>
          </w:tcPr>
          <w:p>
            <w:pPr>
              <w:spacing w:after="0"/>
              <w:rPr>
                <w:sz w:val="11"/>
                <w:szCs w:val="11"/>
                <w:color w:val="auto"/>
              </w:rPr>
            </w:pPr>
          </w:p>
        </w:tc>
        <w:tc>
          <w:tcPr>
            <w:tcW w:w="88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rPr>
              <w:t>Aircraft</w:t>
            </w:r>
          </w:p>
        </w:tc>
        <w:tc>
          <w:tcPr>
            <w:tcW w:w="102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rPr>
              <w:t>(Airframe)</w:t>
            </w:r>
          </w:p>
        </w:tc>
        <w:tc>
          <w:tcPr>
            <w:tcW w:w="124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4"/>
              </w:rPr>
              <w:t>Number</w:t>
            </w:r>
          </w:p>
        </w:tc>
        <w:tc>
          <w:tcPr>
            <w:tcW w:w="1640" w:type="dxa"/>
            <w:vAlign w:val="bottom"/>
            <w:gridSpan w:val="3"/>
          </w:tcPr>
          <w:p>
            <w:pPr>
              <w:jc w:val="center"/>
              <w:ind w:right="480"/>
              <w:spacing w:after="0" w:line="129" w:lineRule="exact"/>
              <w:rPr>
                <w:sz w:val="20"/>
                <w:szCs w:val="20"/>
                <w:color w:val="auto"/>
              </w:rPr>
            </w:pPr>
            <w:r>
              <w:rPr>
                <w:rFonts w:ascii="Arial" w:cs="Arial" w:eastAsia="Arial" w:hAnsi="Arial"/>
                <w:sz w:val="14"/>
                <w:szCs w:val="14"/>
                <w:b w:val="1"/>
                <w:bCs w:val="1"/>
                <w:color w:val="auto"/>
              </w:rPr>
              <w:t>A/P</w:t>
            </w:r>
          </w:p>
        </w:tc>
        <w:tc>
          <w:tcPr>
            <w:tcW w:w="1180" w:type="dxa"/>
            <w:vAlign w:val="bottom"/>
            <w:gridSpan w:val="2"/>
          </w:tcPr>
          <w:p>
            <w:pPr>
              <w:jc w:val="center"/>
              <w:ind w:right="500"/>
              <w:spacing w:after="0" w:line="129" w:lineRule="exact"/>
              <w:rPr>
                <w:sz w:val="20"/>
                <w:szCs w:val="20"/>
                <w:color w:val="auto"/>
              </w:rPr>
            </w:pPr>
            <w:r>
              <w:rPr>
                <w:rFonts w:ascii="Arial" w:cs="Arial" w:eastAsia="Arial" w:hAnsi="Arial"/>
                <w:sz w:val="14"/>
                <w:szCs w:val="14"/>
                <w:color w:val="auto"/>
              </w:rPr>
              <w:t>[*CTR]</w:t>
            </w:r>
          </w:p>
        </w:tc>
        <w:tc>
          <w:tcPr>
            <w:tcW w:w="1320" w:type="dxa"/>
            <w:vAlign w:val="bottom"/>
            <w:gridSpan w:val="2"/>
          </w:tcPr>
          <w:p>
            <w:pPr>
              <w:jc w:val="center"/>
              <w:ind w:right="360"/>
              <w:spacing w:after="0" w:line="129" w:lineRule="exact"/>
              <w:rPr>
                <w:sz w:val="20"/>
                <w:szCs w:val="20"/>
                <w:color w:val="auto"/>
              </w:rPr>
            </w:pPr>
            <w:r>
              <w:rPr>
                <w:rFonts w:ascii="Arial" w:cs="Arial" w:eastAsia="Arial" w:hAnsi="Arial"/>
                <w:sz w:val="14"/>
                <w:szCs w:val="14"/>
                <w:color w:val="auto"/>
              </w:rPr>
              <w:t>[*CTR]</w:t>
            </w:r>
          </w:p>
        </w:tc>
        <w:tc>
          <w:tcPr>
            <w:tcW w:w="1340" w:type="dxa"/>
            <w:vAlign w:val="bottom"/>
            <w:gridSpan w:val="2"/>
          </w:tcPr>
          <w:p>
            <w:pPr>
              <w:jc w:val="center"/>
              <w:ind w:right="360"/>
              <w:spacing w:after="0" w:line="129" w:lineRule="exact"/>
              <w:rPr>
                <w:sz w:val="20"/>
                <w:szCs w:val="20"/>
                <w:color w:val="auto"/>
              </w:rPr>
            </w:pPr>
            <w:r>
              <w:rPr>
                <w:rFonts w:ascii="Arial" w:cs="Arial" w:eastAsia="Arial" w:hAnsi="Arial"/>
                <w:sz w:val="14"/>
                <w:szCs w:val="14"/>
                <w:color w:val="auto"/>
              </w:rPr>
              <w:t>[*CTR]</w:t>
            </w:r>
          </w:p>
        </w:tc>
        <w:tc>
          <w:tcPr>
            <w:tcW w:w="1020" w:type="dxa"/>
            <w:vAlign w:val="bottom"/>
            <w:gridSpan w:val="2"/>
          </w:tcPr>
          <w:p>
            <w:pPr>
              <w:jc w:val="center"/>
              <w:ind w:right="20"/>
              <w:spacing w:after="0" w:line="129"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[*CTR]-2013</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rPr>
              <w:t>[*CTR]</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[*CTR]-2013</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36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rPr>
              <w:t>[*CTR]</w:t>
            </w: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rPr>
              <w:t>[*CTR]</w:t>
            </w:r>
          </w:p>
        </w:tc>
        <w:tc>
          <w:tcPr>
            <w:tcW w:w="1640" w:type="dxa"/>
            <w:vAlign w:val="bottom"/>
            <w:gridSpan w:val="3"/>
          </w:tcPr>
          <w:p>
            <w:pPr>
              <w:jc w:val="center"/>
              <w:ind w:right="48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50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rPr>
              <w:t>[*CTR]</w:t>
            </w:r>
          </w:p>
        </w:tc>
        <w:tc>
          <w:tcPr>
            <w:tcW w:w="100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[*CTR]-2013</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rPr>
              <w:t>[*CTR]</w:t>
            </w:r>
          </w:p>
        </w:tc>
        <w:tc>
          <w:tcPr>
            <w:tcW w:w="12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rPr>
              <w:t>[*CTR]</w:t>
            </w:r>
          </w:p>
        </w:tc>
        <w:tc>
          <w:tcPr>
            <w:tcW w:w="1640" w:type="dxa"/>
            <w:vAlign w:val="bottom"/>
            <w:gridSpan w:val="3"/>
            <w:shd w:val="clear" w:color="auto" w:fill="CCEEFF"/>
          </w:tcPr>
          <w:p>
            <w:pPr>
              <w:jc w:val="center"/>
              <w:ind w:right="48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rPr>
              <w:t>[*CTR]</w:t>
            </w:r>
          </w:p>
        </w:tc>
        <w:tc>
          <w:tcPr>
            <w:tcW w:w="13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rPr>
              <w:t>[*CTR]</w:t>
            </w:r>
          </w:p>
        </w:tc>
        <w:tc>
          <w:tcPr>
            <w:tcW w:w="13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rPr>
              <w:t>[*CTR]</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[*CTR]-2013</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36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rPr>
              <w:t>[*CTR]</w:t>
            </w: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rPr>
              <w:t>[*CTR]</w:t>
            </w:r>
          </w:p>
        </w:tc>
        <w:tc>
          <w:tcPr>
            <w:tcW w:w="1640" w:type="dxa"/>
            <w:vAlign w:val="bottom"/>
            <w:gridSpan w:val="3"/>
          </w:tcPr>
          <w:p>
            <w:pPr>
              <w:jc w:val="center"/>
              <w:ind w:right="48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50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rPr>
              <w:t>[*CTR]</w:t>
            </w:r>
          </w:p>
        </w:tc>
        <w:tc>
          <w:tcPr>
            <w:tcW w:w="100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[*CTR]-2013</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rPr>
              <w:t>[*CTR]</w:t>
            </w:r>
          </w:p>
        </w:tc>
        <w:tc>
          <w:tcPr>
            <w:tcW w:w="12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rPr>
              <w:t>[*CTR]</w:t>
            </w:r>
          </w:p>
        </w:tc>
        <w:tc>
          <w:tcPr>
            <w:tcW w:w="1640" w:type="dxa"/>
            <w:vAlign w:val="bottom"/>
            <w:gridSpan w:val="3"/>
            <w:shd w:val="clear" w:color="auto" w:fill="CCEEFF"/>
          </w:tcPr>
          <w:p>
            <w:pPr>
              <w:jc w:val="center"/>
              <w:ind w:right="48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rPr>
              <w:t>[*CTR]</w:t>
            </w:r>
          </w:p>
        </w:tc>
        <w:tc>
          <w:tcPr>
            <w:tcW w:w="13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rPr>
              <w:t>[*CTR]</w:t>
            </w:r>
          </w:p>
        </w:tc>
        <w:tc>
          <w:tcPr>
            <w:tcW w:w="13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rPr>
              <w:t>[*CTR]</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[*CTR]-2014</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36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rPr>
              <w:t>[*CTR]</w:t>
            </w: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rPr>
              <w:t>[*CTR]</w:t>
            </w:r>
          </w:p>
        </w:tc>
        <w:tc>
          <w:tcPr>
            <w:tcW w:w="1640" w:type="dxa"/>
            <w:vAlign w:val="bottom"/>
            <w:gridSpan w:val="3"/>
          </w:tcPr>
          <w:p>
            <w:pPr>
              <w:jc w:val="center"/>
              <w:ind w:right="48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50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rPr>
              <w:t>[*CTR]</w:t>
            </w:r>
          </w:p>
        </w:tc>
        <w:tc>
          <w:tcPr>
            <w:tcW w:w="100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[*CTR]-2014</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rPr>
              <w:t>[*CTR]</w:t>
            </w:r>
          </w:p>
        </w:tc>
        <w:tc>
          <w:tcPr>
            <w:tcW w:w="12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rPr>
              <w:t>[*CTR]</w:t>
            </w:r>
          </w:p>
        </w:tc>
        <w:tc>
          <w:tcPr>
            <w:tcW w:w="1640" w:type="dxa"/>
            <w:vAlign w:val="bottom"/>
            <w:gridSpan w:val="3"/>
            <w:shd w:val="clear" w:color="auto" w:fill="CCEEFF"/>
          </w:tcPr>
          <w:p>
            <w:pPr>
              <w:jc w:val="center"/>
              <w:ind w:right="48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rPr>
              <w:t>[*CTR]</w:t>
            </w:r>
          </w:p>
        </w:tc>
        <w:tc>
          <w:tcPr>
            <w:tcW w:w="13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rPr>
              <w:t>[*CTR]</w:t>
            </w:r>
          </w:p>
        </w:tc>
        <w:tc>
          <w:tcPr>
            <w:tcW w:w="13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rPr>
              <w:t>[*CTR]</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[*CTR]-2014</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36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rPr>
              <w:t>[*CTR]</w:t>
            </w: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rPr>
              <w:t>[*CTR]</w:t>
            </w:r>
          </w:p>
        </w:tc>
        <w:tc>
          <w:tcPr>
            <w:tcW w:w="1640" w:type="dxa"/>
            <w:vAlign w:val="bottom"/>
            <w:gridSpan w:val="3"/>
          </w:tcPr>
          <w:p>
            <w:pPr>
              <w:jc w:val="center"/>
              <w:ind w:right="48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50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rPr>
              <w:t>[*CTR]</w:t>
            </w:r>
          </w:p>
        </w:tc>
        <w:tc>
          <w:tcPr>
            <w:tcW w:w="100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[*CTR]-2014</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rPr>
              <w:t>[*CTR]</w:t>
            </w:r>
          </w:p>
        </w:tc>
        <w:tc>
          <w:tcPr>
            <w:tcW w:w="12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rPr>
              <w:t>[*CTR]</w:t>
            </w:r>
          </w:p>
        </w:tc>
        <w:tc>
          <w:tcPr>
            <w:tcW w:w="1640" w:type="dxa"/>
            <w:vAlign w:val="bottom"/>
            <w:gridSpan w:val="3"/>
            <w:shd w:val="clear" w:color="auto" w:fill="CCEEFF"/>
          </w:tcPr>
          <w:p>
            <w:pPr>
              <w:jc w:val="center"/>
              <w:ind w:right="48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rPr>
              <w:t>[*CTR]</w:t>
            </w:r>
          </w:p>
        </w:tc>
        <w:tc>
          <w:tcPr>
            <w:tcW w:w="13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rPr>
              <w:t>[*CTR]</w:t>
            </w:r>
          </w:p>
        </w:tc>
        <w:tc>
          <w:tcPr>
            <w:tcW w:w="13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rPr>
              <w:t>[*CTR]</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[*CTR]-2014</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36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rPr>
              <w:t>[*CTR]</w:t>
            </w: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rPr>
              <w:t>[*CTR]</w:t>
            </w:r>
          </w:p>
        </w:tc>
        <w:tc>
          <w:tcPr>
            <w:tcW w:w="1640" w:type="dxa"/>
            <w:vAlign w:val="bottom"/>
            <w:gridSpan w:val="3"/>
          </w:tcPr>
          <w:p>
            <w:pPr>
              <w:jc w:val="center"/>
              <w:ind w:right="48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50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rPr>
              <w:t>[*CTR]</w:t>
            </w:r>
          </w:p>
        </w:tc>
        <w:tc>
          <w:tcPr>
            <w:tcW w:w="100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[*CTR]-2014</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rPr>
              <w:t>[*CTR]</w:t>
            </w:r>
          </w:p>
        </w:tc>
        <w:tc>
          <w:tcPr>
            <w:tcW w:w="12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rPr>
              <w:t>[*CTR]</w:t>
            </w:r>
          </w:p>
        </w:tc>
        <w:tc>
          <w:tcPr>
            <w:tcW w:w="1640" w:type="dxa"/>
            <w:vAlign w:val="bottom"/>
            <w:gridSpan w:val="3"/>
            <w:shd w:val="clear" w:color="auto" w:fill="CCEEFF"/>
          </w:tcPr>
          <w:p>
            <w:pPr>
              <w:jc w:val="center"/>
              <w:ind w:right="48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rPr>
              <w:t>[*CTR]</w:t>
            </w:r>
          </w:p>
        </w:tc>
        <w:tc>
          <w:tcPr>
            <w:tcW w:w="13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rPr>
              <w:t>[*CTR]</w:t>
            </w:r>
          </w:p>
        </w:tc>
        <w:tc>
          <w:tcPr>
            <w:tcW w:w="13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rPr>
              <w:t>[*CTR]</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[*CTR]-2014</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36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rPr>
              <w:t>[*CTR]</w:t>
            </w: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rPr>
              <w:t>[*CTR]</w:t>
            </w:r>
          </w:p>
        </w:tc>
        <w:tc>
          <w:tcPr>
            <w:tcW w:w="1640" w:type="dxa"/>
            <w:vAlign w:val="bottom"/>
            <w:gridSpan w:val="3"/>
          </w:tcPr>
          <w:p>
            <w:pPr>
              <w:jc w:val="center"/>
              <w:ind w:right="48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50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rPr>
              <w:t>[*CTR]</w:t>
            </w:r>
          </w:p>
        </w:tc>
        <w:tc>
          <w:tcPr>
            <w:tcW w:w="100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[*CTR]-2014</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rPr>
              <w:t>[*CTR]</w:t>
            </w:r>
          </w:p>
        </w:tc>
        <w:tc>
          <w:tcPr>
            <w:tcW w:w="12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rPr>
              <w:t>[*CTR]</w:t>
            </w:r>
          </w:p>
        </w:tc>
        <w:tc>
          <w:tcPr>
            <w:tcW w:w="1640" w:type="dxa"/>
            <w:vAlign w:val="bottom"/>
            <w:gridSpan w:val="3"/>
            <w:shd w:val="clear" w:color="auto" w:fill="CCEEFF"/>
          </w:tcPr>
          <w:p>
            <w:pPr>
              <w:jc w:val="center"/>
              <w:ind w:right="48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rPr>
              <w:t>[*CTR]</w:t>
            </w:r>
          </w:p>
        </w:tc>
        <w:tc>
          <w:tcPr>
            <w:tcW w:w="13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rPr>
              <w:t>[*CTR]</w:t>
            </w:r>
          </w:p>
        </w:tc>
        <w:tc>
          <w:tcPr>
            <w:tcW w:w="13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rPr>
              <w:t>[*CTR]</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[*CTR]-2014</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36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rPr>
              <w:t>[*CTR]</w:t>
            </w: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rPr>
              <w:t>[*CTR]</w:t>
            </w:r>
          </w:p>
        </w:tc>
        <w:tc>
          <w:tcPr>
            <w:tcW w:w="1640" w:type="dxa"/>
            <w:vAlign w:val="bottom"/>
            <w:gridSpan w:val="3"/>
          </w:tcPr>
          <w:p>
            <w:pPr>
              <w:jc w:val="center"/>
              <w:ind w:right="48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50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rPr>
              <w:t>[*CTR]</w:t>
            </w:r>
          </w:p>
        </w:tc>
        <w:tc>
          <w:tcPr>
            <w:tcW w:w="100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[*CTR]-2014</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rPr>
              <w:t>[*CTR]</w:t>
            </w:r>
          </w:p>
        </w:tc>
        <w:tc>
          <w:tcPr>
            <w:tcW w:w="12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rPr>
              <w:t>[*CTR]</w:t>
            </w:r>
          </w:p>
        </w:tc>
        <w:tc>
          <w:tcPr>
            <w:tcW w:w="1640" w:type="dxa"/>
            <w:vAlign w:val="bottom"/>
            <w:gridSpan w:val="3"/>
            <w:shd w:val="clear" w:color="auto" w:fill="CCEEFF"/>
          </w:tcPr>
          <w:p>
            <w:pPr>
              <w:jc w:val="center"/>
              <w:ind w:right="48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rPr>
              <w:t>[*CTR]</w:t>
            </w:r>
          </w:p>
        </w:tc>
        <w:tc>
          <w:tcPr>
            <w:tcW w:w="13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rPr>
              <w:t>[*CTR]</w:t>
            </w:r>
          </w:p>
        </w:tc>
        <w:tc>
          <w:tcPr>
            <w:tcW w:w="13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rPr>
              <w:t>[*CTR]</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[*CTR]-2014</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36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rPr>
              <w:t>[*CTR]</w:t>
            </w: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rPr>
              <w:t>[*CTR]</w:t>
            </w:r>
          </w:p>
        </w:tc>
        <w:tc>
          <w:tcPr>
            <w:tcW w:w="1640" w:type="dxa"/>
            <w:vAlign w:val="bottom"/>
            <w:gridSpan w:val="3"/>
          </w:tcPr>
          <w:p>
            <w:pPr>
              <w:jc w:val="center"/>
              <w:ind w:right="48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50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rPr>
              <w:t>[*CTR]</w:t>
            </w:r>
          </w:p>
        </w:tc>
        <w:tc>
          <w:tcPr>
            <w:tcW w:w="100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[*CTR]-2014</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rPr>
              <w:t>[*CTR]</w:t>
            </w:r>
          </w:p>
        </w:tc>
        <w:tc>
          <w:tcPr>
            <w:tcW w:w="12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rPr>
              <w:t>[*CTR]</w:t>
            </w:r>
          </w:p>
        </w:tc>
        <w:tc>
          <w:tcPr>
            <w:tcW w:w="1640" w:type="dxa"/>
            <w:vAlign w:val="bottom"/>
            <w:gridSpan w:val="3"/>
            <w:shd w:val="clear" w:color="auto" w:fill="CCEEFF"/>
          </w:tcPr>
          <w:p>
            <w:pPr>
              <w:jc w:val="center"/>
              <w:ind w:right="48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rPr>
              <w:t>[*CTR]</w:t>
            </w:r>
          </w:p>
        </w:tc>
        <w:tc>
          <w:tcPr>
            <w:tcW w:w="13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rPr>
              <w:t>[*CTR]</w:t>
            </w:r>
          </w:p>
        </w:tc>
        <w:tc>
          <w:tcPr>
            <w:tcW w:w="13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rPr>
              <w:t>[*CTR]</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[*CTR]-2014</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36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rPr>
              <w:t>[*CTR]</w:t>
            </w: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rPr>
              <w:t>[*CTR]</w:t>
            </w:r>
          </w:p>
        </w:tc>
        <w:tc>
          <w:tcPr>
            <w:tcW w:w="1640" w:type="dxa"/>
            <w:vAlign w:val="bottom"/>
            <w:gridSpan w:val="3"/>
          </w:tcPr>
          <w:p>
            <w:pPr>
              <w:jc w:val="center"/>
              <w:ind w:right="48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50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rPr>
              <w:t>[*CTR]</w:t>
            </w:r>
          </w:p>
        </w:tc>
        <w:tc>
          <w:tcPr>
            <w:tcW w:w="100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[*CTR]-2014</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rPr>
              <w:t>[*CTR]</w:t>
            </w:r>
          </w:p>
        </w:tc>
        <w:tc>
          <w:tcPr>
            <w:tcW w:w="12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rPr>
              <w:t>[*CTR]</w:t>
            </w:r>
          </w:p>
        </w:tc>
        <w:tc>
          <w:tcPr>
            <w:tcW w:w="1640" w:type="dxa"/>
            <w:vAlign w:val="bottom"/>
            <w:gridSpan w:val="3"/>
            <w:shd w:val="clear" w:color="auto" w:fill="CCEEFF"/>
          </w:tcPr>
          <w:p>
            <w:pPr>
              <w:jc w:val="center"/>
              <w:ind w:right="48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rPr>
              <w:t>[*CTR]</w:t>
            </w:r>
          </w:p>
        </w:tc>
        <w:tc>
          <w:tcPr>
            <w:tcW w:w="13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rPr>
              <w:t>[*CTR]</w:t>
            </w:r>
          </w:p>
        </w:tc>
        <w:tc>
          <w:tcPr>
            <w:tcW w:w="13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rPr>
              <w:t>[*CTR]</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[*CTR]-2014</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36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rPr>
              <w:t>[*CTR]</w:t>
            </w: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rPr>
              <w:t>[*CTR]</w:t>
            </w:r>
          </w:p>
        </w:tc>
        <w:tc>
          <w:tcPr>
            <w:tcW w:w="1640" w:type="dxa"/>
            <w:vAlign w:val="bottom"/>
            <w:gridSpan w:val="3"/>
          </w:tcPr>
          <w:p>
            <w:pPr>
              <w:jc w:val="center"/>
              <w:ind w:right="48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50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rPr>
              <w:t>[*CTR]</w:t>
            </w:r>
          </w:p>
        </w:tc>
        <w:tc>
          <w:tcPr>
            <w:tcW w:w="100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[*CTR]-2014</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rPr>
              <w:t>[*CTR]</w:t>
            </w:r>
          </w:p>
        </w:tc>
        <w:tc>
          <w:tcPr>
            <w:tcW w:w="12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rPr>
              <w:t>[*CTR]</w:t>
            </w:r>
          </w:p>
        </w:tc>
        <w:tc>
          <w:tcPr>
            <w:tcW w:w="1640" w:type="dxa"/>
            <w:vAlign w:val="bottom"/>
            <w:gridSpan w:val="3"/>
            <w:shd w:val="clear" w:color="auto" w:fill="CCEEFF"/>
          </w:tcPr>
          <w:p>
            <w:pPr>
              <w:jc w:val="center"/>
              <w:ind w:right="48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rPr>
              <w:t>[*CTR]</w:t>
            </w:r>
          </w:p>
        </w:tc>
        <w:tc>
          <w:tcPr>
            <w:tcW w:w="13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rPr>
              <w:t>[*CTR]</w:t>
            </w:r>
          </w:p>
        </w:tc>
        <w:tc>
          <w:tcPr>
            <w:tcW w:w="13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rPr>
              <w:t>[*CTR]</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[*CTR]-2014</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36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rPr>
              <w:t>[*CTR]</w:t>
            </w: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rPr>
              <w:t>[*CTR]</w:t>
            </w:r>
          </w:p>
        </w:tc>
        <w:tc>
          <w:tcPr>
            <w:tcW w:w="1640" w:type="dxa"/>
            <w:vAlign w:val="bottom"/>
            <w:gridSpan w:val="3"/>
          </w:tcPr>
          <w:p>
            <w:pPr>
              <w:jc w:val="center"/>
              <w:ind w:right="48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50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rPr>
              <w:t>[*CTR]</w:t>
            </w:r>
          </w:p>
        </w:tc>
        <w:tc>
          <w:tcPr>
            <w:tcW w:w="100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[*CTR]-2014</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rPr>
              <w:t>[*CTR]</w:t>
            </w:r>
          </w:p>
        </w:tc>
        <w:tc>
          <w:tcPr>
            <w:tcW w:w="12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rPr>
              <w:t>[*CTR]</w:t>
            </w:r>
          </w:p>
        </w:tc>
        <w:tc>
          <w:tcPr>
            <w:tcW w:w="1640" w:type="dxa"/>
            <w:vAlign w:val="bottom"/>
            <w:gridSpan w:val="3"/>
            <w:shd w:val="clear" w:color="auto" w:fill="CCEEFF"/>
          </w:tcPr>
          <w:p>
            <w:pPr>
              <w:jc w:val="center"/>
              <w:ind w:right="48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rPr>
              <w:t>[*CTR]</w:t>
            </w:r>
          </w:p>
        </w:tc>
        <w:tc>
          <w:tcPr>
            <w:tcW w:w="13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rPr>
              <w:t>[*CTR]</w:t>
            </w:r>
          </w:p>
        </w:tc>
        <w:tc>
          <w:tcPr>
            <w:tcW w:w="13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rPr>
              <w:t>[*CTR]</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[*CTR]-2014</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36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rPr>
              <w:t>[*CTR]</w:t>
            </w: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rPr>
              <w:t>[*CTR]</w:t>
            </w:r>
          </w:p>
        </w:tc>
        <w:tc>
          <w:tcPr>
            <w:tcW w:w="1640" w:type="dxa"/>
            <w:vAlign w:val="bottom"/>
            <w:gridSpan w:val="3"/>
          </w:tcPr>
          <w:p>
            <w:pPr>
              <w:jc w:val="center"/>
              <w:ind w:right="48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50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rPr>
              <w:t>[*CTR]</w:t>
            </w:r>
          </w:p>
        </w:tc>
        <w:tc>
          <w:tcPr>
            <w:tcW w:w="100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[*CTR]-2014</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rPr>
              <w:t>[*CTR]</w:t>
            </w:r>
          </w:p>
        </w:tc>
        <w:tc>
          <w:tcPr>
            <w:tcW w:w="12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rPr>
              <w:t>[*CTR]</w:t>
            </w:r>
          </w:p>
        </w:tc>
        <w:tc>
          <w:tcPr>
            <w:tcW w:w="1640" w:type="dxa"/>
            <w:vAlign w:val="bottom"/>
            <w:gridSpan w:val="3"/>
            <w:shd w:val="clear" w:color="auto" w:fill="CCEEFF"/>
          </w:tcPr>
          <w:p>
            <w:pPr>
              <w:jc w:val="center"/>
              <w:ind w:right="48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rPr>
              <w:t>[*CTR]</w:t>
            </w:r>
          </w:p>
        </w:tc>
        <w:tc>
          <w:tcPr>
            <w:tcW w:w="13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rPr>
              <w:t>[*CTR]</w:t>
            </w:r>
          </w:p>
        </w:tc>
        <w:tc>
          <w:tcPr>
            <w:tcW w:w="13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rPr>
              <w:t>[*CTR]</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[*CTR]-2015</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36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rPr>
              <w:t>[*CTR]</w:t>
            </w: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rPr>
              <w:t>[*CTR]</w:t>
            </w:r>
          </w:p>
        </w:tc>
        <w:tc>
          <w:tcPr>
            <w:tcW w:w="1640" w:type="dxa"/>
            <w:vAlign w:val="bottom"/>
            <w:gridSpan w:val="3"/>
          </w:tcPr>
          <w:p>
            <w:pPr>
              <w:jc w:val="center"/>
              <w:ind w:right="48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500"/>
              <w:spacing w:after="0"/>
              <w:rPr>
                <w:sz w:val="20"/>
                <w:szCs w:val="20"/>
                <w:color w:val="auto"/>
              </w:rPr>
            </w:pPr>
            <w:r>
              <w:rPr>
                <w:rFonts w:ascii="Arial" w:cs="Arial" w:eastAsia="Arial" w:hAnsi="Arial"/>
                <w:sz w:val="18"/>
                <w:szCs w:val="18"/>
                <w:color w:val="auto"/>
              </w:rPr>
              <w:t>[*CTR]</w:t>
            </w: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rPr>
              <w:t>[*CTR]</w:t>
            </w:r>
          </w:p>
        </w:tc>
        <w:tc>
          <w:tcPr>
            <w:tcW w:w="100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[*CTR]-2015</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rPr>
              <w:t>[*CTR]</w:t>
            </w:r>
          </w:p>
        </w:tc>
        <w:tc>
          <w:tcPr>
            <w:tcW w:w="12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rPr>
              <w:t>[*CTR]</w:t>
            </w:r>
          </w:p>
        </w:tc>
        <w:tc>
          <w:tcPr>
            <w:tcW w:w="1640" w:type="dxa"/>
            <w:vAlign w:val="bottom"/>
            <w:gridSpan w:val="3"/>
            <w:shd w:val="clear" w:color="auto" w:fill="CCEEFF"/>
          </w:tcPr>
          <w:p>
            <w:pPr>
              <w:jc w:val="center"/>
              <w:ind w:right="48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rPr>
              <w:t>[*CTR]</w:t>
            </w:r>
          </w:p>
        </w:tc>
        <w:tc>
          <w:tcPr>
            <w:tcW w:w="13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rPr>
              <w:t>[*CTR]</w:t>
            </w:r>
          </w:p>
        </w:tc>
        <w:tc>
          <w:tcPr>
            <w:tcW w:w="13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rPr>
              <w:t>[*CTR]</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Boeing Proprietary</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680" w:type="dxa"/>
            <w:vAlign w:val="bottom"/>
            <w:gridSpan w:val="5"/>
          </w:tcPr>
          <w:p>
            <w:pPr>
              <w:spacing w:after="0"/>
              <w:rPr>
                <w:sz w:val="20"/>
                <w:szCs w:val="20"/>
                <w:color w:val="auto"/>
              </w:rPr>
            </w:pPr>
            <w:r>
              <w:rPr>
                <w:rFonts w:ascii="Arial" w:cs="Arial" w:eastAsia="Arial" w:hAnsi="Arial"/>
                <w:sz w:val="18"/>
                <w:szCs w:val="18"/>
                <w:color w:val="auto"/>
              </w:rPr>
              <w:t>AAL-PA-01977 57184-1F.TXT</w:t>
            </w: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SA-37</w:t>
            </w: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w w:val="84"/>
              </w:rPr>
              <w:t>Page 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1F To Purchase Agreement No. 1977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737-800 Aircraft Delivery, Description, Price and Advance Payments Purchased Aircraft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Escalation</w:t>
            </w:r>
          </w:p>
        </w:tc>
        <w:tc>
          <w:tcPr>
            <w:tcW w:w="4520" w:type="dxa"/>
            <w:vAlign w:val="bottom"/>
            <w:gridSpan w:val="8"/>
          </w:tcPr>
          <w:p>
            <w:pPr>
              <w:ind w:left="180"/>
              <w:spacing w:after="0"/>
              <w:rPr>
                <w:sz w:val="20"/>
                <w:szCs w:val="20"/>
                <w:color w:val="auto"/>
              </w:rPr>
            </w:pPr>
            <w:r>
              <w:rPr>
                <w:rFonts w:ascii="Arial" w:cs="Arial" w:eastAsia="Arial" w:hAnsi="Arial"/>
                <w:sz w:val="14"/>
                <w:szCs w:val="14"/>
                <w:b w:val="1"/>
                <w:bCs w:val="1"/>
                <w:color w:val="auto"/>
                <w:w w:val="99"/>
              </w:rPr>
              <w:t>Advance Payment Per Aircraft (Amts. Due/Mos. Prior to Delivery):</w:t>
            </w:r>
          </w:p>
        </w:tc>
        <w:tc>
          <w:tcPr>
            <w:tcW w:w="0" w:type="dxa"/>
            <w:vAlign w:val="bottom"/>
          </w:tcPr>
          <w:p>
            <w:pPr>
              <w:spacing w:after="0"/>
              <w:rPr>
                <w:sz w:val="1"/>
                <w:szCs w:val="1"/>
                <w:color w:val="auto"/>
              </w:rPr>
            </w:pPr>
          </w:p>
        </w:tc>
      </w:tr>
      <w:tr>
        <w:trPr>
          <w:trHeight w:val="27"/>
        </w:trPr>
        <w:tc>
          <w:tcPr>
            <w:tcW w:w="2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Delivery</w:t>
            </w: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gridSpan w:val="2"/>
            <w:vMerge w:val="restart"/>
          </w:tcPr>
          <w:p>
            <w:pPr>
              <w:jc w:val="center"/>
              <w:ind w:right="240"/>
              <w:spacing w:after="0" w:line="113" w:lineRule="exact"/>
              <w:rPr>
                <w:sz w:val="20"/>
                <w:szCs w:val="20"/>
                <w:color w:val="auto"/>
              </w:rPr>
            </w:pPr>
            <w:r>
              <w:rPr>
                <w:rFonts w:ascii="Arial" w:cs="Arial" w:eastAsia="Arial" w:hAnsi="Arial"/>
                <w:sz w:val="13"/>
                <w:szCs w:val="13"/>
                <w:b w:val="1"/>
                <w:bCs w:val="1"/>
                <w:color w:val="auto"/>
                <w:w w:val="98"/>
              </w:rPr>
              <w:t>Escalation</w:t>
            </w: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vMerge w:val="restart"/>
          </w:tcPr>
          <w:p>
            <w:pPr>
              <w:jc w:val="center"/>
              <w:ind w:right="240"/>
              <w:spacing w:after="0" w:line="113" w:lineRule="exact"/>
              <w:rPr>
                <w:sz w:val="20"/>
                <w:szCs w:val="20"/>
                <w:color w:val="auto"/>
              </w:rPr>
            </w:pPr>
            <w:r>
              <w:rPr>
                <w:rFonts w:ascii="Arial" w:cs="Arial" w:eastAsia="Arial" w:hAnsi="Arial"/>
                <w:sz w:val="13"/>
                <w:szCs w:val="13"/>
                <w:b w:val="1"/>
                <w:bCs w:val="1"/>
                <w:color w:val="auto"/>
              </w:rPr>
              <w:t>Estimat Adv</w:t>
            </w: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2820" w:type="dxa"/>
            <w:vAlign w:val="bottom"/>
            <w:gridSpan w:val="3"/>
            <w:vMerge w:val="continue"/>
          </w:tcPr>
          <w:p>
            <w:pPr>
              <w:spacing w:after="0"/>
              <w:rPr>
                <w:sz w:val="5"/>
                <w:szCs w:val="5"/>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920" w:type="dxa"/>
            <w:vAlign w:val="bottom"/>
            <w:gridSpan w:val="2"/>
            <w:vMerge w:val="continue"/>
          </w:tcPr>
          <w:p>
            <w:pPr>
              <w:spacing w:after="0"/>
              <w:rPr>
                <w:sz w:val="5"/>
                <w:szCs w:val="5"/>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Aircraft Serial</w:t>
            </w:r>
          </w:p>
        </w:tc>
        <w:tc>
          <w:tcPr>
            <w:tcW w:w="11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2820" w:type="dxa"/>
            <w:vAlign w:val="bottom"/>
            <w:gridSpan w:val="3"/>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8"/>
              </w:rPr>
              <w:t>Factor</w:t>
            </w:r>
          </w:p>
        </w:tc>
        <w:tc>
          <w:tcPr>
            <w:tcW w:w="1140" w:type="dxa"/>
            <w:vAlign w:val="bottom"/>
            <w:gridSpan w:val="2"/>
            <w:vMerge w:val="continue"/>
          </w:tcPr>
          <w:p>
            <w:pPr>
              <w:spacing w:after="0"/>
              <w:rPr>
                <w:sz w:val="12"/>
                <w:szCs w:val="12"/>
                <w:color w:val="auto"/>
              </w:rPr>
            </w:pPr>
          </w:p>
        </w:tc>
        <w:tc>
          <w:tcPr>
            <w:tcW w:w="11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1"/>
              </w:rPr>
              <w:t>Payment Base</w:t>
            </w:r>
          </w:p>
        </w:tc>
        <w:tc>
          <w:tcPr>
            <w:tcW w:w="1200" w:type="dxa"/>
            <w:vAlign w:val="bottom"/>
            <w:gridSpan w:val="2"/>
          </w:tcPr>
          <w:p>
            <w:pPr>
              <w:jc w:val="center"/>
              <w:ind w:right="280"/>
              <w:spacing w:after="0" w:line="145" w:lineRule="exact"/>
              <w:rPr>
                <w:sz w:val="20"/>
                <w:szCs w:val="20"/>
                <w:color w:val="auto"/>
              </w:rPr>
            </w:pPr>
            <w:r>
              <w:rPr>
                <w:rFonts w:ascii="Arial" w:cs="Arial" w:eastAsia="Arial" w:hAnsi="Arial"/>
                <w:sz w:val="14"/>
                <w:szCs w:val="14"/>
                <w:color w:val="auto"/>
              </w:rPr>
              <w:t>[*CTR]</w:t>
            </w:r>
          </w:p>
        </w:tc>
        <w:tc>
          <w:tcPr>
            <w:tcW w:w="1180" w:type="dxa"/>
            <w:vAlign w:val="bottom"/>
            <w:gridSpan w:val="2"/>
          </w:tcPr>
          <w:p>
            <w:pPr>
              <w:jc w:val="center"/>
              <w:ind w:right="280"/>
              <w:spacing w:after="0" w:line="145" w:lineRule="exact"/>
              <w:rPr>
                <w:sz w:val="20"/>
                <w:szCs w:val="20"/>
                <w:color w:val="auto"/>
              </w:rPr>
            </w:pPr>
            <w:r>
              <w:rPr>
                <w:rFonts w:ascii="Arial" w:cs="Arial" w:eastAsia="Arial" w:hAnsi="Arial"/>
                <w:sz w:val="14"/>
                <w:szCs w:val="14"/>
                <w:color w:val="auto"/>
              </w:rPr>
              <w:t>[*CTR]</w:t>
            </w:r>
          </w:p>
        </w:tc>
        <w:tc>
          <w:tcPr>
            <w:tcW w:w="1180" w:type="dxa"/>
            <w:vAlign w:val="bottom"/>
            <w:gridSpan w:val="2"/>
          </w:tcPr>
          <w:p>
            <w:pPr>
              <w:jc w:val="center"/>
              <w:ind w:right="260"/>
              <w:spacing w:after="0" w:line="145" w:lineRule="exact"/>
              <w:rPr>
                <w:sz w:val="20"/>
                <w:szCs w:val="20"/>
                <w:color w:val="auto"/>
              </w:rPr>
            </w:pPr>
            <w:r>
              <w:rPr>
                <w:rFonts w:ascii="Arial" w:cs="Arial" w:eastAsia="Arial" w:hAnsi="Arial"/>
                <w:sz w:val="14"/>
                <w:szCs w:val="14"/>
                <w:color w:val="auto"/>
              </w:rPr>
              <w:t>[*CTR]</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0" w:type="dxa"/>
            <w:vAlign w:val="bottom"/>
            <w:tcBorders>
              <w:bottom w:val="single" w:sz="8" w:color="auto"/>
            </w:tcBorders>
          </w:tcPr>
          <w:p>
            <w:pPr>
              <w:spacing w:after="0" w:line="115" w:lineRule="exact"/>
              <w:rPr>
                <w:sz w:val="20"/>
                <w:szCs w:val="20"/>
                <w:color w:val="auto"/>
              </w:rPr>
            </w:pPr>
            <w:r>
              <w:rPr>
                <w:rFonts w:ascii="Arial" w:cs="Arial" w:eastAsia="Arial" w:hAnsi="Arial"/>
                <w:sz w:val="13"/>
                <w:szCs w:val="13"/>
                <w:b w:val="1"/>
                <w:bCs w:val="1"/>
                <w:color w:val="auto"/>
              </w:rPr>
              <w:t>Date</w:t>
            </w:r>
          </w:p>
        </w:tc>
        <w:tc>
          <w:tcPr>
            <w:tcW w:w="2300" w:type="dxa"/>
            <w:vAlign w:val="bottom"/>
          </w:tcPr>
          <w:p>
            <w:pPr>
              <w:spacing w:after="0"/>
              <w:rPr>
                <w:sz w:val="11"/>
                <w:szCs w:val="11"/>
                <w:color w:val="auto"/>
              </w:rPr>
            </w:pPr>
          </w:p>
        </w:tc>
        <w:tc>
          <w:tcPr>
            <w:tcW w:w="9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rPr>
              <w:t>Aircraft</w:t>
            </w:r>
          </w:p>
        </w:tc>
        <w:tc>
          <w:tcPr>
            <w:tcW w:w="9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8"/>
              </w:rPr>
              <w:t>(Airframe)</w:t>
            </w:r>
          </w:p>
        </w:tc>
        <w:tc>
          <w:tcPr>
            <w:tcW w:w="114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4"/>
              </w:rPr>
              <w:t>Number</w:t>
            </w:r>
          </w:p>
        </w:tc>
        <w:tc>
          <w:tcPr>
            <w:tcW w:w="11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5"/>
              </w:rPr>
              <w:t>Price Per A/P</w:t>
            </w:r>
          </w:p>
        </w:tc>
        <w:tc>
          <w:tcPr>
            <w:tcW w:w="1200" w:type="dxa"/>
            <w:vAlign w:val="bottom"/>
            <w:gridSpan w:val="2"/>
          </w:tcPr>
          <w:p>
            <w:pPr>
              <w:jc w:val="center"/>
              <w:ind w:right="280"/>
              <w:spacing w:after="0" w:line="129" w:lineRule="exact"/>
              <w:rPr>
                <w:sz w:val="20"/>
                <w:szCs w:val="20"/>
                <w:color w:val="auto"/>
              </w:rPr>
            </w:pPr>
            <w:r>
              <w:rPr>
                <w:rFonts w:ascii="Arial" w:cs="Arial" w:eastAsia="Arial" w:hAnsi="Arial"/>
                <w:sz w:val="14"/>
                <w:szCs w:val="14"/>
                <w:color w:val="auto"/>
              </w:rPr>
              <w:t>[*CTR]</w:t>
            </w:r>
          </w:p>
        </w:tc>
        <w:tc>
          <w:tcPr>
            <w:tcW w:w="1180" w:type="dxa"/>
            <w:vAlign w:val="bottom"/>
            <w:gridSpan w:val="2"/>
          </w:tcPr>
          <w:p>
            <w:pPr>
              <w:jc w:val="center"/>
              <w:ind w:right="280"/>
              <w:spacing w:after="0" w:line="129" w:lineRule="exact"/>
              <w:rPr>
                <w:sz w:val="20"/>
                <w:szCs w:val="20"/>
                <w:color w:val="auto"/>
              </w:rPr>
            </w:pPr>
            <w:r>
              <w:rPr>
                <w:rFonts w:ascii="Arial" w:cs="Arial" w:eastAsia="Arial" w:hAnsi="Arial"/>
                <w:sz w:val="14"/>
                <w:szCs w:val="14"/>
                <w:color w:val="auto"/>
              </w:rPr>
              <w:t>[*CTR]</w:t>
            </w:r>
          </w:p>
        </w:tc>
        <w:tc>
          <w:tcPr>
            <w:tcW w:w="1180" w:type="dxa"/>
            <w:vAlign w:val="bottom"/>
            <w:gridSpan w:val="2"/>
          </w:tcPr>
          <w:p>
            <w:pPr>
              <w:jc w:val="center"/>
              <w:ind w:right="260"/>
              <w:spacing w:after="0" w:line="129" w:lineRule="exact"/>
              <w:rPr>
                <w:sz w:val="20"/>
                <w:szCs w:val="20"/>
                <w:color w:val="auto"/>
              </w:rPr>
            </w:pPr>
            <w:r>
              <w:rPr>
                <w:rFonts w:ascii="Arial" w:cs="Arial" w:eastAsia="Arial" w:hAnsi="Arial"/>
                <w:sz w:val="14"/>
                <w:szCs w:val="14"/>
                <w:color w:val="auto"/>
              </w:rPr>
              <w:t>[*CTR]</w:t>
            </w:r>
          </w:p>
        </w:tc>
        <w:tc>
          <w:tcPr>
            <w:tcW w:w="960" w:type="dxa"/>
            <w:vAlign w:val="bottom"/>
            <w:gridSpan w:val="2"/>
          </w:tcPr>
          <w:p>
            <w:pPr>
              <w:jc w:val="center"/>
              <w:spacing w:after="0" w:line="129"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[*CTR]-2015</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[*CTR]-2015</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r>
              <w:rPr>
                <w:rFonts w:ascii="Arial" w:cs="Arial" w:eastAsia="Arial" w:hAnsi="Arial"/>
                <w:sz w:val="18"/>
                <w:szCs w:val="18"/>
                <w:b w:val="1"/>
                <w:bCs w:val="1"/>
                <w:color w:val="auto"/>
              </w:rPr>
              <w:t>2015</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[*CTR]-2015</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[*CTR]-2015</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[*CTR]-2015</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[*CTR]-2015</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[*CTR]-2015</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[*CTR]-2015</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[*CTR]-2015</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[*CTR]-2015</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[*CTR]-2015</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[*CTR]-2015</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[*CTR]-2015</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[*CTR]-2015</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[*CTR]-2015</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[*CTR]-2015</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[*CTR]-2015</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[*CTR]-2016</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[*CTR]-2016</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[*CTR]-2016</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[*CTR]-2016</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[*CTR]-2016</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[*CTR]-2016</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[*CTR]-2016</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[*CTR]-2016</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[*CTR]-2016</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1"/>
              </w:rPr>
              <w:t>Boeing Proprietary</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820" w:type="dxa"/>
            <w:vAlign w:val="bottom"/>
            <w:gridSpan w:val="3"/>
          </w:tcPr>
          <w:p>
            <w:pPr>
              <w:spacing w:after="0"/>
              <w:rPr>
                <w:sz w:val="20"/>
                <w:szCs w:val="20"/>
                <w:color w:val="auto"/>
              </w:rPr>
            </w:pPr>
            <w:r>
              <w:rPr>
                <w:rFonts w:ascii="Arial" w:cs="Arial" w:eastAsia="Arial" w:hAnsi="Arial"/>
                <w:sz w:val="18"/>
                <w:szCs w:val="18"/>
                <w:color w:val="auto"/>
              </w:rPr>
              <w:t>AAL-PA-01977 57184-1F.TXT</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3"/>
              </w:rPr>
              <w:t>SA-37</w:t>
            </w: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ind w:left="460"/>
              <w:spacing w:after="0"/>
              <w:rPr>
                <w:sz w:val="20"/>
                <w:szCs w:val="20"/>
                <w:color w:val="auto"/>
              </w:rPr>
            </w:pPr>
            <w:r>
              <w:rPr>
                <w:rFonts w:ascii="Arial" w:cs="Arial" w:eastAsia="Arial" w:hAnsi="Arial"/>
                <w:sz w:val="18"/>
                <w:szCs w:val="18"/>
                <w:color w:val="auto"/>
                <w:w w:val="84"/>
              </w:rPr>
              <w:t>Page 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1F To Purchase Agreement No. 1977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737-800 Aircraft Delivery, Description, Price and Advance Payments Purchased Aircraft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Escalation</w:t>
            </w:r>
          </w:p>
        </w:tc>
        <w:tc>
          <w:tcPr>
            <w:tcW w:w="4520" w:type="dxa"/>
            <w:vAlign w:val="bottom"/>
            <w:gridSpan w:val="8"/>
          </w:tcPr>
          <w:p>
            <w:pPr>
              <w:ind w:left="180"/>
              <w:spacing w:after="0"/>
              <w:rPr>
                <w:sz w:val="20"/>
                <w:szCs w:val="20"/>
                <w:color w:val="auto"/>
              </w:rPr>
            </w:pPr>
            <w:r>
              <w:rPr>
                <w:rFonts w:ascii="Arial" w:cs="Arial" w:eastAsia="Arial" w:hAnsi="Arial"/>
                <w:sz w:val="14"/>
                <w:szCs w:val="14"/>
                <w:b w:val="1"/>
                <w:bCs w:val="1"/>
                <w:color w:val="auto"/>
                <w:w w:val="99"/>
              </w:rPr>
              <w:t>Advance Payment Per Aircraft (Amts. Due/Mos. Prior to Delivery):</w:t>
            </w:r>
          </w:p>
        </w:tc>
        <w:tc>
          <w:tcPr>
            <w:tcW w:w="0" w:type="dxa"/>
            <w:vAlign w:val="bottom"/>
          </w:tcPr>
          <w:p>
            <w:pPr>
              <w:spacing w:after="0"/>
              <w:rPr>
                <w:sz w:val="1"/>
                <w:szCs w:val="1"/>
                <w:color w:val="auto"/>
              </w:rPr>
            </w:pPr>
          </w:p>
        </w:tc>
      </w:tr>
      <w:tr>
        <w:trPr>
          <w:trHeight w:val="27"/>
        </w:trPr>
        <w:tc>
          <w:tcPr>
            <w:tcW w:w="2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Delivery</w:t>
            </w: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gridSpan w:val="2"/>
            <w:vMerge w:val="restart"/>
          </w:tcPr>
          <w:p>
            <w:pPr>
              <w:jc w:val="center"/>
              <w:ind w:right="240"/>
              <w:spacing w:after="0" w:line="113" w:lineRule="exact"/>
              <w:rPr>
                <w:sz w:val="20"/>
                <w:szCs w:val="20"/>
                <w:color w:val="auto"/>
              </w:rPr>
            </w:pPr>
            <w:r>
              <w:rPr>
                <w:rFonts w:ascii="Arial" w:cs="Arial" w:eastAsia="Arial" w:hAnsi="Arial"/>
                <w:sz w:val="13"/>
                <w:szCs w:val="13"/>
                <w:b w:val="1"/>
                <w:bCs w:val="1"/>
                <w:color w:val="auto"/>
                <w:w w:val="98"/>
              </w:rPr>
              <w:t>Escalation</w:t>
            </w: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vMerge w:val="restart"/>
          </w:tcPr>
          <w:p>
            <w:pPr>
              <w:jc w:val="center"/>
              <w:ind w:right="240"/>
              <w:spacing w:after="0" w:line="113" w:lineRule="exact"/>
              <w:rPr>
                <w:sz w:val="20"/>
                <w:szCs w:val="20"/>
                <w:color w:val="auto"/>
              </w:rPr>
            </w:pPr>
            <w:r>
              <w:rPr>
                <w:rFonts w:ascii="Arial" w:cs="Arial" w:eastAsia="Arial" w:hAnsi="Arial"/>
                <w:sz w:val="13"/>
                <w:szCs w:val="13"/>
                <w:b w:val="1"/>
                <w:bCs w:val="1"/>
                <w:color w:val="auto"/>
              </w:rPr>
              <w:t>Estimat Adv</w:t>
            </w: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2820" w:type="dxa"/>
            <w:vAlign w:val="bottom"/>
            <w:gridSpan w:val="3"/>
            <w:vMerge w:val="continue"/>
          </w:tcPr>
          <w:p>
            <w:pPr>
              <w:spacing w:after="0"/>
              <w:rPr>
                <w:sz w:val="5"/>
                <w:szCs w:val="5"/>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920" w:type="dxa"/>
            <w:vAlign w:val="bottom"/>
            <w:gridSpan w:val="2"/>
            <w:vMerge w:val="continue"/>
          </w:tcPr>
          <w:p>
            <w:pPr>
              <w:spacing w:after="0"/>
              <w:rPr>
                <w:sz w:val="5"/>
                <w:szCs w:val="5"/>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Aircraft Serial</w:t>
            </w:r>
          </w:p>
        </w:tc>
        <w:tc>
          <w:tcPr>
            <w:tcW w:w="11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2820" w:type="dxa"/>
            <w:vAlign w:val="bottom"/>
            <w:gridSpan w:val="3"/>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8"/>
              </w:rPr>
              <w:t>Factor</w:t>
            </w:r>
          </w:p>
        </w:tc>
        <w:tc>
          <w:tcPr>
            <w:tcW w:w="1140" w:type="dxa"/>
            <w:vAlign w:val="bottom"/>
            <w:gridSpan w:val="2"/>
            <w:vMerge w:val="continue"/>
          </w:tcPr>
          <w:p>
            <w:pPr>
              <w:spacing w:after="0"/>
              <w:rPr>
                <w:sz w:val="12"/>
                <w:szCs w:val="12"/>
                <w:color w:val="auto"/>
              </w:rPr>
            </w:pPr>
          </w:p>
        </w:tc>
        <w:tc>
          <w:tcPr>
            <w:tcW w:w="11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1"/>
              </w:rPr>
              <w:t>Payment Base</w:t>
            </w:r>
          </w:p>
        </w:tc>
        <w:tc>
          <w:tcPr>
            <w:tcW w:w="1200" w:type="dxa"/>
            <w:vAlign w:val="bottom"/>
            <w:gridSpan w:val="2"/>
          </w:tcPr>
          <w:p>
            <w:pPr>
              <w:jc w:val="center"/>
              <w:ind w:right="280"/>
              <w:spacing w:after="0" w:line="145" w:lineRule="exact"/>
              <w:rPr>
                <w:sz w:val="20"/>
                <w:szCs w:val="20"/>
                <w:color w:val="auto"/>
              </w:rPr>
            </w:pPr>
            <w:r>
              <w:rPr>
                <w:rFonts w:ascii="Arial" w:cs="Arial" w:eastAsia="Arial" w:hAnsi="Arial"/>
                <w:sz w:val="14"/>
                <w:szCs w:val="14"/>
                <w:color w:val="auto"/>
              </w:rPr>
              <w:t>[*CTR]</w:t>
            </w:r>
          </w:p>
        </w:tc>
        <w:tc>
          <w:tcPr>
            <w:tcW w:w="1180" w:type="dxa"/>
            <w:vAlign w:val="bottom"/>
            <w:gridSpan w:val="2"/>
          </w:tcPr>
          <w:p>
            <w:pPr>
              <w:jc w:val="center"/>
              <w:ind w:right="280"/>
              <w:spacing w:after="0" w:line="145" w:lineRule="exact"/>
              <w:rPr>
                <w:sz w:val="20"/>
                <w:szCs w:val="20"/>
                <w:color w:val="auto"/>
              </w:rPr>
            </w:pPr>
            <w:r>
              <w:rPr>
                <w:rFonts w:ascii="Arial" w:cs="Arial" w:eastAsia="Arial" w:hAnsi="Arial"/>
                <w:sz w:val="14"/>
                <w:szCs w:val="14"/>
                <w:color w:val="auto"/>
              </w:rPr>
              <w:t>[*CTR]</w:t>
            </w:r>
          </w:p>
        </w:tc>
        <w:tc>
          <w:tcPr>
            <w:tcW w:w="1180" w:type="dxa"/>
            <w:vAlign w:val="bottom"/>
            <w:gridSpan w:val="2"/>
          </w:tcPr>
          <w:p>
            <w:pPr>
              <w:jc w:val="center"/>
              <w:ind w:right="260"/>
              <w:spacing w:after="0" w:line="145" w:lineRule="exact"/>
              <w:rPr>
                <w:sz w:val="20"/>
                <w:szCs w:val="20"/>
                <w:color w:val="auto"/>
              </w:rPr>
            </w:pPr>
            <w:r>
              <w:rPr>
                <w:rFonts w:ascii="Arial" w:cs="Arial" w:eastAsia="Arial" w:hAnsi="Arial"/>
                <w:sz w:val="14"/>
                <w:szCs w:val="14"/>
                <w:color w:val="auto"/>
              </w:rPr>
              <w:t>[*CTR]</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0" w:type="dxa"/>
            <w:vAlign w:val="bottom"/>
            <w:tcBorders>
              <w:bottom w:val="single" w:sz="8" w:color="auto"/>
            </w:tcBorders>
          </w:tcPr>
          <w:p>
            <w:pPr>
              <w:spacing w:after="0" w:line="115" w:lineRule="exact"/>
              <w:rPr>
                <w:sz w:val="20"/>
                <w:szCs w:val="20"/>
                <w:color w:val="auto"/>
              </w:rPr>
            </w:pPr>
            <w:r>
              <w:rPr>
                <w:rFonts w:ascii="Arial" w:cs="Arial" w:eastAsia="Arial" w:hAnsi="Arial"/>
                <w:sz w:val="13"/>
                <w:szCs w:val="13"/>
                <w:b w:val="1"/>
                <w:bCs w:val="1"/>
                <w:color w:val="auto"/>
              </w:rPr>
              <w:t>Date</w:t>
            </w:r>
          </w:p>
        </w:tc>
        <w:tc>
          <w:tcPr>
            <w:tcW w:w="2300" w:type="dxa"/>
            <w:vAlign w:val="bottom"/>
          </w:tcPr>
          <w:p>
            <w:pPr>
              <w:spacing w:after="0"/>
              <w:rPr>
                <w:sz w:val="11"/>
                <w:szCs w:val="11"/>
                <w:color w:val="auto"/>
              </w:rPr>
            </w:pPr>
          </w:p>
        </w:tc>
        <w:tc>
          <w:tcPr>
            <w:tcW w:w="9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rPr>
              <w:t>Aircraft</w:t>
            </w:r>
          </w:p>
        </w:tc>
        <w:tc>
          <w:tcPr>
            <w:tcW w:w="9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8"/>
              </w:rPr>
              <w:t>(Airframe)</w:t>
            </w:r>
          </w:p>
        </w:tc>
        <w:tc>
          <w:tcPr>
            <w:tcW w:w="114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4"/>
              </w:rPr>
              <w:t>Number</w:t>
            </w:r>
          </w:p>
        </w:tc>
        <w:tc>
          <w:tcPr>
            <w:tcW w:w="11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5"/>
              </w:rPr>
              <w:t>Price Per A/P</w:t>
            </w:r>
          </w:p>
        </w:tc>
        <w:tc>
          <w:tcPr>
            <w:tcW w:w="1200" w:type="dxa"/>
            <w:vAlign w:val="bottom"/>
            <w:gridSpan w:val="2"/>
          </w:tcPr>
          <w:p>
            <w:pPr>
              <w:jc w:val="center"/>
              <w:ind w:right="280"/>
              <w:spacing w:after="0" w:line="129" w:lineRule="exact"/>
              <w:rPr>
                <w:sz w:val="20"/>
                <w:szCs w:val="20"/>
                <w:color w:val="auto"/>
              </w:rPr>
            </w:pPr>
            <w:r>
              <w:rPr>
                <w:rFonts w:ascii="Arial" w:cs="Arial" w:eastAsia="Arial" w:hAnsi="Arial"/>
                <w:sz w:val="14"/>
                <w:szCs w:val="14"/>
                <w:color w:val="auto"/>
              </w:rPr>
              <w:t>[*CTR]</w:t>
            </w:r>
          </w:p>
        </w:tc>
        <w:tc>
          <w:tcPr>
            <w:tcW w:w="1180" w:type="dxa"/>
            <w:vAlign w:val="bottom"/>
            <w:gridSpan w:val="2"/>
          </w:tcPr>
          <w:p>
            <w:pPr>
              <w:jc w:val="center"/>
              <w:ind w:right="280"/>
              <w:spacing w:after="0" w:line="129" w:lineRule="exact"/>
              <w:rPr>
                <w:sz w:val="20"/>
                <w:szCs w:val="20"/>
                <w:color w:val="auto"/>
              </w:rPr>
            </w:pPr>
            <w:r>
              <w:rPr>
                <w:rFonts w:ascii="Arial" w:cs="Arial" w:eastAsia="Arial" w:hAnsi="Arial"/>
                <w:sz w:val="14"/>
                <w:szCs w:val="14"/>
                <w:color w:val="auto"/>
              </w:rPr>
              <w:t>[*CTR]</w:t>
            </w:r>
          </w:p>
        </w:tc>
        <w:tc>
          <w:tcPr>
            <w:tcW w:w="1180" w:type="dxa"/>
            <w:vAlign w:val="bottom"/>
            <w:gridSpan w:val="2"/>
          </w:tcPr>
          <w:p>
            <w:pPr>
              <w:jc w:val="center"/>
              <w:ind w:right="260"/>
              <w:spacing w:after="0" w:line="129" w:lineRule="exact"/>
              <w:rPr>
                <w:sz w:val="20"/>
                <w:szCs w:val="20"/>
                <w:color w:val="auto"/>
              </w:rPr>
            </w:pPr>
            <w:r>
              <w:rPr>
                <w:rFonts w:ascii="Arial" w:cs="Arial" w:eastAsia="Arial" w:hAnsi="Arial"/>
                <w:sz w:val="14"/>
                <w:szCs w:val="14"/>
                <w:color w:val="auto"/>
              </w:rPr>
              <w:t>[*CTR]</w:t>
            </w:r>
          </w:p>
        </w:tc>
        <w:tc>
          <w:tcPr>
            <w:tcW w:w="960" w:type="dxa"/>
            <w:vAlign w:val="bottom"/>
            <w:gridSpan w:val="2"/>
          </w:tcPr>
          <w:p>
            <w:pPr>
              <w:jc w:val="center"/>
              <w:spacing w:after="0" w:line="129"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[*CTR]-2016</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[*CTR]-2016</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[*CTR]-2016</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[*CTR]-2016</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[*CTR]-2016</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[*CTR]-2016</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[*CTR]-2016</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[*CTR]-2016</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[*CTR]-2016</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[*CTR]-2016</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[*CTR]-2016</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[*CTR]-2017</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[*CTR]-2017</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[*CTR]-2017</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[*CTR]-2017</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[*CTR]-2017</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[*CTR]-2017</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[*CTR]-2017</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[*CTR]-2017</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[*CTR]-2017</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[*CTR]-2017</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[*CTR]-2017</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[*CTR]-2017</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[*CTR]-2017</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[*CTR]-2017</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[*CTR]-2017</w:t>
            </w:r>
          </w:p>
        </w:tc>
        <w:tc>
          <w:tcPr>
            <w:tcW w:w="6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[*CTR]-2017</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1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2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1"/>
              </w:rPr>
              <w:t>Boeing Proprietary</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820" w:type="dxa"/>
            <w:vAlign w:val="bottom"/>
            <w:gridSpan w:val="3"/>
          </w:tcPr>
          <w:p>
            <w:pPr>
              <w:spacing w:after="0"/>
              <w:rPr>
                <w:sz w:val="20"/>
                <w:szCs w:val="20"/>
                <w:color w:val="auto"/>
              </w:rPr>
            </w:pPr>
            <w:r>
              <w:rPr>
                <w:rFonts w:ascii="Arial" w:cs="Arial" w:eastAsia="Arial" w:hAnsi="Arial"/>
                <w:sz w:val="18"/>
                <w:szCs w:val="18"/>
                <w:color w:val="auto"/>
              </w:rPr>
              <w:t>AAL-PA-01977 57184-1F.TXT</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3"/>
              </w:rPr>
              <w:t>SA-37</w:t>
            </w: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ind w:left="460"/>
              <w:spacing w:after="0"/>
              <w:rPr>
                <w:sz w:val="20"/>
                <w:szCs w:val="20"/>
                <w:color w:val="auto"/>
              </w:rPr>
            </w:pPr>
            <w:r>
              <w:rPr>
                <w:rFonts w:ascii="Arial" w:cs="Arial" w:eastAsia="Arial" w:hAnsi="Arial"/>
                <w:sz w:val="18"/>
                <w:szCs w:val="18"/>
                <w:color w:val="auto"/>
                <w:w w:val="84"/>
              </w:rPr>
              <w:t>Page 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1F To Purchase Agreement No. 1977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737-800 Aircraft Delivery, Description, Price and Advance Payments Purchased Aircraft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Escalation</w:t>
            </w:r>
          </w:p>
        </w:tc>
        <w:tc>
          <w:tcPr>
            <w:tcW w:w="4460" w:type="dxa"/>
            <w:vAlign w:val="bottom"/>
            <w:gridSpan w:val="7"/>
          </w:tcPr>
          <w:p>
            <w:pPr>
              <w:ind w:left="160"/>
              <w:spacing w:after="0"/>
              <w:rPr>
                <w:sz w:val="20"/>
                <w:szCs w:val="20"/>
                <w:color w:val="auto"/>
              </w:rPr>
            </w:pPr>
            <w:r>
              <w:rPr>
                <w:rFonts w:ascii="Arial" w:cs="Arial" w:eastAsia="Arial" w:hAnsi="Arial"/>
                <w:sz w:val="14"/>
                <w:szCs w:val="14"/>
                <w:b w:val="1"/>
                <w:bCs w:val="1"/>
                <w:color w:val="auto"/>
                <w:w w:val="98"/>
              </w:rPr>
              <w:t>Advance Payment Per Aircraft (Amts. Due/Mos. Prior to Delivery):</w:t>
            </w:r>
          </w:p>
        </w:tc>
        <w:tc>
          <w:tcPr>
            <w:tcW w:w="0" w:type="dxa"/>
            <w:vAlign w:val="bottom"/>
          </w:tcPr>
          <w:p>
            <w:pPr>
              <w:spacing w:after="0"/>
              <w:rPr>
                <w:sz w:val="1"/>
                <w:szCs w:val="1"/>
                <w:color w:val="auto"/>
              </w:rPr>
            </w:pPr>
          </w:p>
        </w:tc>
      </w:tr>
      <w:tr>
        <w:trPr>
          <w:trHeight w:val="27"/>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Delivery</w:t>
            </w:r>
          </w:p>
        </w:tc>
        <w:tc>
          <w:tcPr>
            <w:tcW w:w="10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1"/>
              </w:rPr>
              <w:t>Number of</w:t>
            </w:r>
          </w:p>
        </w:tc>
        <w:tc>
          <w:tcPr>
            <w:tcW w:w="1000" w:type="dxa"/>
            <w:vAlign w:val="bottom"/>
            <w:gridSpan w:val="2"/>
            <w:vMerge w:val="restart"/>
          </w:tcPr>
          <w:p>
            <w:pPr>
              <w:jc w:val="center"/>
              <w:ind w:right="320"/>
              <w:spacing w:after="0" w:line="113" w:lineRule="exact"/>
              <w:rPr>
                <w:sz w:val="20"/>
                <w:szCs w:val="20"/>
                <w:color w:val="auto"/>
              </w:rPr>
            </w:pPr>
            <w:r>
              <w:rPr>
                <w:rFonts w:ascii="Arial" w:cs="Arial" w:eastAsia="Arial" w:hAnsi="Arial"/>
                <w:sz w:val="13"/>
                <w:szCs w:val="13"/>
                <w:b w:val="1"/>
                <w:bCs w:val="1"/>
                <w:color w:val="auto"/>
                <w:w w:val="98"/>
              </w:rPr>
              <w:t>Escalation</w:t>
            </w: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Aircraft Serial</w:t>
            </w:r>
          </w:p>
        </w:tc>
        <w:tc>
          <w:tcPr>
            <w:tcW w:w="1120" w:type="dxa"/>
            <w:vAlign w:val="bottom"/>
            <w:gridSpan w:val="2"/>
            <w:vMerge w:val="restart"/>
          </w:tcPr>
          <w:p>
            <w:pPr>
              <w:jc w:val="center"/>
              <w:ind w:right="240"/>
              <w:spacing w:after="0" w:line="113" w:lineRule="exact"/>
              <w:rPr>
                <w:sz w:val="20"/>
                <w:szCs w:val="20"/>
                <w:color w:val="auto"/>
              </w:rPr>
            </w:pPr>
            <w:r>
              <w:rPr>
                <w:rFonts w:ascii="Arial" w:cs="Arial" w:eastAsia="Arial" w:hAnsi="Arial"/>
                <w:sz w:val="13"/>
                <w:szCs w:val="13"/>
                <w:b w:val="1"/>
                <w:bCs w:val="1"/>
                <w:color w:val="auto"/>
              </w:rPr>
              <w:t>Estimat Adv</w:t>
            </w: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2700" w:type="dxa"/>
            <w:vAlign w:val="bottom"/>
            <w:gridSpan w:val="3"/>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700" w:type="dxa"/>
            <w:vAlign w:val="bottom"/>
            <w:gridSpan w:val="3"/>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8"/>
              </w:rPr>
              <w:t>Factor</w:t>
            </w:r>
          </w:p>
        </w:tc>
        <w:tc>
          <w:tcPr>
            <w:tcW w:w="1140" w:type="dxa"/>
            <w:vAlign w:val="bottom"/>
            <w:gridSpan w:val="2"/>
            <w:vMerge w:val="continue"/>
          </w:tcPr>
          <w:p>
            <w:pPr>
              <w:spacing w:after="0"/>
              <w:rPr>
                <w:sz w:val="12"/>
                <w:szCs w:val="12"/>
                <w:color w:val="auto"/>
              </w:rPr>
            </w:pPr>
          </w:p>
        </w:tc>
        <w:tc>
          <w:tcPr>
            <w:tcW w:w="11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1"/>
              </w:rPr>
              <w:t>Payment Base</w:t>
            </w:r>
          </w:p>
        </w:tc>
        <w:tc>
          <w:tcPr>
            <w:tcW w:w="1180" w:type="dxa"/>
            <w:vAlign w:val="bottom"/>
            <w:gridSpan w:val="2"/>
          </w:tcPr>
          <w:p>
            <w:pPr>
              <w:jc w:val="center"/>
              <w:ind w:right="260"/>
              <w:spacing w:after="0" w:line="145" w:lineRule="exact"/>
              <w:rPr>
                <w:sz w:val="20"/>
                <w:szCs w:val="20"/>
                <w:color w:val="auto"/>
              </w:rPr>
            </w:pPr>
            <w:r>
              <w:rPr>
                <w:rFonts w:ascii="Arial" w:cs="Arial" w:eastAsia="Arial" w:hAnsi="Arial"/>
                <w:sz w:val="14"/>
                <w:szCs w:val="14"/>
                <w:color w:val="auto"/>
              </w:rPr>
              <w:t>[*CTR]</w:t>
            </w:r>
          </w:p>
        </w:tc>
        <w:tc>
          <w:tcPr>
            <w:tcW w:w="1180" w:type="dxa"/>
            <w:vAlign w:val="bottom"/>
            <w:gridSpan w:val="2"/>
          </w:tcPr>
          <w:p>
            <w:pPr>
              <w:jc w:val="center"/>
              <w:ind w:right="260"/>
              <w:spacing w:after="0" w:line="145" w:lineRule="exact"/>
              <w:rPr>
                <w:sz w:val="20"/>
                <w:szCs w:val="20"/>
                <w:color w:val="auto"/>
              </w:rPr>
            </w:pPr>
            <w:r>
              <w:rPr>
                <w:rFonts w:ascii="Arial" w:cs="Arial" w:eastAsia="Arial" w:hAnsi="Arial"/>
                <w:sz w:val="14"/>
                <w:szCs w:val="14"/>
                <w:color w:val="auto"/>
              </w:rPr>
              <w:t>[*CTR]</w:t>
            </w:r>
          </w:p>
        </w:tc>
        <w:tc>
          <w:tcPr>
            <w:tcW w:w="1160" w:type="dxa"/>
            <w:vAlign w:val="bottom"/>
            <w:gridSpan w:val="2"/>
          </w:tcPr>
          <w:p>
            <w:pPr>
              <w:jc w:val="center"/>
              <w:ind w:right="260"/>
              <w:spacing w:after="0" w:line="145" w:lineRule="exact"/>
              <w:rPr>
                <w:sz w:val="20"/>
                <w:szCs w:val="20"/>
                <w:color w:val="auto"/>
              </w:rPr>
            </w:pPr>
            <w:r>
              <w:rPr>
                <w:rFonts w:ascii="Arial" w:cs="Arial" w:eastAsia="Arial" w:hAnsi="Arial"/>
                <w:sz w:val="14"/>
                <w:szCs w:val="14"/>
                <w:color w:val="auto"/>
              </w:rPr>
              <w:t>[*CTR]</w:t>
            </w:r>
          </w:p>
        </w:tc>
        <w:tc>
          <w:tcPr>
            <w:tcW w:w="940" w:type="dxa"/>
            <w:vAlign w:val="bottom"/>
          </w:tcPr>
          <w:p>
            <w:pPr>
              <w:jc w:val="center"/>
              <w:spacing w:after="0" w:line="145"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0" w:type="dxa"/>
            <w:vAlign w:val="bottom"/>
            <w:tcBorders>
              <w:bottom w:val="single" w:sz="8" w:color="auto"/>
            </w:tcBorders>
          </w:tcPr>
          <w:p>
            <w:pPr>
              <w:spacing w:after="0" w:line="115" w:lineRule="exact"/>
              <w:rPr>
                <w:sz w:val="20"/>
                <w:szCs w:val="20"/>
                <w:color w:val="auto"/>
              </w:rPr>
            </w:pPr>
            <w:r>
              <w:rPr>
                <w:rFonts w:ascii="Arial" w:cs="Arial" w:eastAsia="Arial" w:hAnsi="Arial"/>
                <w:sz w:val="13"/>
                <w:szCs w:val="13"/>
                <w:b w:val="1"/>
                <w:bCs w:val="1"/>
                <w:color w:val="auto"/>
              </w:rPr>
              <w:t>Date</w:t>
            </w:r>
          </w:p>
        </w:tc>
        <w:tc>
          <w:tcPr>
            <w:tcW w:w="2180" w:type="dxa"/>
            <w:vAlign w:val="bottom"/>
          </w:tcPr>
          <w:p>
            <w:pPr>
              <w:spacing w:after="0"/>
              <w:rPr>
                <w:sz w:val="11"/>
                <w:szCs w:val="11"/>
                <w:color w:val="auto"/>
              </w:rPr>
            </w:pPr>
          </w:p>
        </w:tc>
        <w:tc>
          <w:tcPr>
            <w:tcW w:w="100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Aircraft</w:t>
            </w:r>
          </w:p>
        </w:tc>
        <w:tc>
          <w:tcPr>
            <w:tcW w:w="100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8"/>
              </w:rPr>
              <w:t>(Airframe)</w:t>
            </w:r>
          </w:p>
        </w:tc>
        <w:tc>
          <w:tcPr>
            <w:tcW w:w="114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4"/>
              </w:rPr>
              <w:t>Number</w:t>
            </w:r>
          </w:p>
        </w:tc>
        <w:tc>
          <w:tcPr>
            <w:tcW w:w="11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5"/>
              </w:rPr>
              <w:t>Price Per A/P</w:t>
            </w:r>
          </w:p>
        </w:tc>
        <w:tc>
          <w:tcPr>
            <w:tcW w:w="1180" w:type="dxa"/>
            <w:vAlign w:val="bottom"/>
            <w:gridSpan w:val="2"/>
          </w:tcPr>
          <w:p>
            <w:pPr>
              <w:jc w:val="center"/>
              <w:ind w:right="260"/>
              <w:spacing w:after="0" w:line="129" w:lineRule="exact"/>
              <w:rPr>
                <w:sz w:val="20"/>
                <w:szCs w:val="20"/>
                <w:color w:val="auto"/>
              </w:rPr>
            </w:pPr>
            <w:r>
              <w:rPr>
                <w:rFonts w:ascii="Arial" w:cs="Arial" w:eastAsia="Arial" w:hAnsi="Arial"/>
                <w:sz w:val="14"/>
                <w:szCs w:val="14"/>
                <w:color w:val="auto"/>
              </w:rPr>
              <w:t>[*CTR]</w:t>
            </w:r>
          </w:p>
        </w:tc>
        <w:tc>
          <w:tcPr>
            <w:tcW w:w="1180" w:type="dxa"/>
            <w:vAlign w:val="bottom"/>
            <w:gridSpan w:val="2"/>
          </w:tcPr>
          <w:p>
            <w:pPr>
              <w:jc w:val="center"/>
              <w:ind w:right="260"/>
              <w:spacing w:after="0" w:line="129" w:lineRule="exact"/>
              <w:rPr>
                <w:sz w:val="20"/>
                <w:szCs w:val="20"/>
                <w:color w:val="auto"/>
              </w:rPr>
            </w:pPr>
            <w:r>
              <w:rPr>
                <w:rFonts w:ascii="Arial" w:cs="Arial" w:eastAsia="Arial" w:hAnsi="Arial"/>
                <w:sz w:val="14"/>
                <w:szCs w:val="14"/>
                <w:color w:val="auto"/>
              </w:rPr>
              <w:t>[*CTR]</w:t>
            </w:r>
          </w:p>
        </w:tc>
        <w:tc>
          <w:tcPr>
            <w:tcW w:w="1160" w:type="dxa"/>
            <w:vAlign w:val="bottom"/>
            <w:gridSpan w:val="2"/>
          </w:tcPr>
          <w:p>
            <w:pPr>
              <w:jc w:val="center"/>
              <w:ind w:right="260"/>
              <w:spacing w:after="0" w:line="129" w:lineRule="exact"/>
              <w:rPr>
                <w:sz w:val="20"/>
                <w:szCs w:val="20"/>
                <w:color w:val="auto"/>
              </w:rPr>
            </w:pPr>
            <w:r>
              <w:rPr>
                <w:rFonts w:ascii="Arial" w:cs="Arial" w:eastAsia="Arial" w:hAnsi="Arial"/>
                <w:sz w:val="14"/>
                <w:szCs w:val="14"/>
                <w:color w:val="auto"/>
              </w:rPr>
              <w:t>[*CTR]</w:t>
            </w:r>
          </w:p>
        </w:tc>
        <w:tc>
          <w:tcPr>
            <w:tcW w:w="940" w:type="dxa"/>
            <w:vAlign w:val="bottom"/>
          </w:tcPr>
          <w:p>
            <w:pPr>
              <w:jc w:val="center"/>
              <w:spacing w:after="0" w:line="129"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[*CTR]-2017</w:t>
            </w:r>
          </w:p>
        </w:tc>
        <w:tc>
          <w:tcPr>
            <w:tcW w:w="6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[*CTR]</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[*CTR]-2017</w:t>
            </w:r>
          </w:p>
        </w:tc>
        <w:tc>
          <w:tcPr>
            <w:tcW w:w="680" w:type="dxa"/>
            <w:vAlign w:val="bottom"/>
          </w:tcPr>
          <w:p>
            <w:pPr>
              <w:jc w:val="right"/>
              <w:ind w:right="175"/>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940" w:type="dxa"/>
            <w:vAlign w:val="bottom"/>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[*CTR]-2017</w:t>
            </w:r>
          </w:p>
        </w:tc>
        <w:tc>
          <w:tcPr>
            <w:tcW w:w="6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[*CTR]</w:t>
            </w:r>
          </w:p>
        </w:tc>
        <w:tc>
          <w:tcPr>
            <w:tcW w:w="11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[*CTR]</w:t>
            </w:r>
          </w:p>
        </w:tc>
        <w:tc>
          <w:tcPr>
            <w:tcW w:w="11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[*CTR]</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[*CTR]-2017</w:t>
            </w:r>
          </w:p>
        </w:tc>
        <w:tc>
          <w:tcPr>
            <w:tcW w:w="680" w:type="dxa"/>
            <w:vAlign w:val="bottom"/>
          </w:tcPr>
          <w:p>
            <w:pPr>
              <w:jc w:val="right"/>
              <w:ind w:right="175"/>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rPr>
              <w:t>[*CTR]</w:t>
            </w: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940" w:type="dxa"/>
            <w:vAlign w:val="bottom"/>
          </w:tcPr>
          <w:p>
            <w:pPr>
              <w:jc w:val="center"/>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Total:</w:t>
            </w: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100</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right="20" w:hanging="452"/>
        <w:spacing w:after="0" w:line="282" w:lineRule="auto"/>
        <w:tabs>
          <w:tab w:leader="none" w:pos="4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Per SA-37, originally a [CTR] 2015 delivery, revised to [*CTR] 2015, [*CTR], Advance Payment Price based on [*CTR] Advance Payment Base Price.</w:t>
      </w:r>
    </w:p>
    <w:p>
      <w:pPr>
        <w:sectPr>
          <w:pgSz w:w="11900" w:h="16838" w:orient="portrait"/>
          <w:cols w:equalWidth="0" w:num="1">
            <w:col w:w="11420"/>
          </w:cols>
          <w:pgMar w:left="240" w:top="270" w:right="239" w:bottom="1440" w:gutter="0" w:footer="0" w:header="0"/>
        </w:sect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AAL-PA-01977 57184-1F.TXT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center"/>
        <w:ind w:right="3700"/>
        <w:spacing w:after="0"/>
        <w:rPr>
          <w:sz w:val="20"/>
          <w:szCs w:val="20"/>
          <w:color w:val="auto"/>
        </w:rPr>
      </w:pPr>
      <w:r>
        <w:rPr>
          <w:rFonts w:ascii="Arial" w:cs="Arial" w:eastAsia="Arial" w:hAnsi="Arial"/>
          <w:sz w:val="16"/>
          <w:szCs w:val="16"/>
          <w:b w:val="1"/>
          <w:bCs w:val="1"/>
          <w:color w:val="auto"/>
        </w:rPr>
        <w:t>Boeing Proprietary</w:t>
      </w:r>
    </w:p>
    <w:p>
      <w:pPr>
        <w:spacing w:after="0" w:line="50" w:lineRule="exact"/>
        <w:rPr>
          <w:sz w:val="20"/>
          <w:szCs w:val="20"/>
          <w:color w:val="auto"/>
        </w:rPr>
      </w:pPr>
    </w:p>
    <w:p>
      <w:pPr>
        <w:jc w:val="center"/>
        <w:ind w:right="3700"/>
        <w:spacing w:after="0"/>
        <w:rPr>
          <w:sz w:val="20"/>
          <w:szCs w:val="20"/>
          <w:color w:val="auto"/>
        </w:rPr>
      </w:pPr>
      <w:r>
        <w:rPr>
          <w:rFonts w:ascii="Arial" w:cs="Arial" w:eastAsia="Arial" w:hAnsi="Arial"/>
          <w:sz w:val="18"/>
          <w:szCs w:val="18"/>
          <w:b w:val="1"/>
          <w:bCs w:val="1"/>
          <w:color w:val="auto"/>
        </w:rPr>
        <w:t>SA-37</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Arial" w:cs="Arial" w:eastAsia="Arial" w:hAnsi="Arial"/>
          <w:sz w:val="15"/>
          <w:szCs w:val="15"/>
          <w:color w:val="auto"/>
        </w:rPr>
        <w:t>Page 5</w:t>
      </w:r>
    </w:p>
    <w:p>
      <w:pPr>
        <w:spacing w:after="0" w:line="235" w:lineRule="exact"/>
        <w:rPr>
          <w:sz w:val="20"/>
          <w:szCs w:val="20"/>
          <w:color w:val="auto"/>
        </w:rPr>
      </w:pPr>
    </w:p>
    <w:p>
      <w:pPr>
        <w:sectPr>
          <w:pgSz w:w="11900" w:h="16838" w:orient="portrait"/>
          <w:cols w:equalWidth="0" w:num="3">
            <w:col w:w="4320" w:space="720"/>
            <w:col w:w="5180" w:space="720"/>
            <w:col w:w="480"/>
          </w:cols>
          <w:pgMar w:left="240" w:top="270" w:right="239" w:bottom="1440" w:gutter="0" w:footer="0" w:header="0"/>
          <w:type w:val="continuous"/>
        </w:sectPr>
      </w:pPr>
    </w:p>
    <w:p>
      <w:pPr>
        <w:spacing w:after="0" w:line="2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type w:val="continuous"/>
        </w:sectPr>
      </w:pPr>
    </w:p>
    <w:bookmarkStart w:id="141" w:name="page142"/>
    <w:bookmarkEnd w:id="141"/>
    <w:p>
      <w:pPr>
        <w:ind w:left="10480"/>
        <w:spacing w:after="0"/>
        <w:rPr>
          <w:sz w:val="20"/>
          <w:szCs w:val="20"/>
          <w:color w:val="auto"/>
        </w:rPr>
      </w:pPr>
      <w:r>
        <w:rPr>
          <w:rFonts w:ascii="Arial" w:cs="Arial" w:eastAsia="Arial" w:hAnsi="Arial"/>
          <w:sz w:val="16"/>
          <w:szCs w:val="16"/>
          <w:b w:val="1"/>
          <w:bCs w:val="1"/>
          <w:color w:val="auto"/>
        </w:rPr>
        <w:t>Exhibit 10.5</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Agreement No. 36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Agreement No. 1980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Boeing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AMERICAN AIRLINES,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Relating to Boeing Model 777 Aircraft</w:t>
      </w:r>
    </w:p>
    <w:p>
      <w:pPr>
        <w:spacing w:after="0" w:line="221"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color w:val="auto"/>
        </w:rPr>
        <w:t xml:space="preserve">THIS SUPPLEMENTAL AGREEMENT No. 36, entered into this 30th day of April 2014,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SA-36</w:t>
      </w:r>
      <w:r>
        <w:rPr>
          <w:rFonts w:ascii="Arial" w:cs="Arial" w:eastAsia="Arial" w:hAnsi="Arial"/>
          <w:sz w:val="18"/>
          <w:szCs w:val="18"/>
          <w:b w:val="1"/>
          <w:bCs w:val="1"/>
          <w:color w:val="auto"/>
        </w:rPr>
        <w:t>)</w:t>
      </w:r>
      <w:r>
        <w:rPr>
          <w:rFonts w:ascii="Arial" w:cs="Arial" w:eastAsia="Arial" w:hAnsi="Arial"/>
          <w:sz w:val="18"/>
          <w:szCs w:val="18"/>
          <w:color w:val="auto"/>
        </w:rPr>
        <w:t xml:space="preserve"> by and between THE BOEING COMPANY, a Delaware corporation with offices in Seattle, Washington,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Boeing</w:t>
      </w:r>
      <w:r>
        <w:rPr>
          <w:rFonts w:ascii="Arial" w:cs="Arial" w:eastAsia="Arial" w:hAnsi="Arial"/>
          <w:sz w:val="18"/>
          <w:szCs w:val="18"/>
          <w:i w:val="1"/>
          <w:iCs w:val="1"/>
          <w:color w:val="auto"/>
        </w:rPr>
        <w:t>)</w:t>
      </w:r>
      <w:r>
        <w:rPr>
          <w:rFonts w:ascii="Arial" w:cs="Arial" w:eastAsia="Arial" w:hAnsi="Arial"/>
          <w:sz w:val="18"/>
          <w:szCs w:val="18"/>
          <w:color w:val="auto"/>
        </w:rPr>
        <w:t xml:space="preserve"> and American Airlines, Inc., a Delaware corporation with offices in Fort Worth, Texas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Customer</w:t>
      </w:r>
      <w:r>
        <w:rPr>
          <w:rFonts w:ascii="Arial" w:cs="Arial" w:eastAsia="Arial" w:hAnsi="Arial"/>
          <w:sz w:val="18"/>
          <w:szCs w:val="18"/>
          <w:i w:val="1"/>
          <w:iCs w:val="1"/>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WHEREAS, Boeing and Customer entered into Purchase Agreement No. 1980 dated as of October 31, 1997, as amended and supplemented relating to Boeing Model 777 aircraft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Purchase Agreement</w:t>
      </w:r>
      <w:r>
        <w:rPr>
          <w:rFonts w:ascii="Arial" w:cs="Arial" w:eastAsia="Arial" w:hAnsi="Arial"/>
          <w:sz w:val="18"/>
          <w:szCs w:val="18"/>
          <w:i w:val="1"/>
          <w:iCs w:val="1"/>
          <w:color w:val="auto"/>
        </w:rPr>
        <w:t>)</w:t>
      </w:r>
      <w:r>
        <w:rPr>
          <w:rFonts w:ascii="Arial" w:cs="Arial" w:eastAsia="Arial" w:hAnsi="Arial"/>
          <w:sz w:val="18"/>
          <w:szCs w:val="18"/>
          <w:color w:val="auto"/>
        </w:rPr>
        <w:t xml:space="preserve"> (and capitalized terms used herein without definition shall have the meanings specified therefore in such Purchase Agreement); and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Boeing and Customer desire to [*CTR] the delivery of the 777-323ER Aircraft scheduled for delivery in [*CTR] 2016 to [*CTR] 2016;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WHEREAS, Boeing and Customer desire to revise the MADP right for [*CTR] ([*CTR]) 777-323ER Aircraft and the QADP rights of [*CTR] ([*CTR]) 777-323ER Aircraft scheduled for delivery in [*CTR] to [*CTR], [*CTR], [*CTR], and [*CTR].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NOW THEREFORE</w:t>
      </w:r>
      <w:r>
        <w:rPr>
          <w:rFonts w:ascii="Arial" w:cs="Arial" w:eastAsia="Arial" w:hAnsi="Arial"/>
          <w:sz w:val="17"/>
          <w:szCs w:val="17"/>
          <w:color w:val="auto"/>
        </w:rPr>
        <w:t>, In consideration of the mutual covenants herein contained, the parties agree to amend the Purchase Agreement as follows: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u w:val="single" w:color="auto"/>
          <w:color w:val="auto"/>
        </w:rPr>
        <w:t>Table of Contents</w:t>
      </w:r>
      <w:r>
        <w:rPr>
          <w:rFonts w:ascii="Arial" w:cs="Arial" w:eastAsia="Arial" w:hAnsi="Arial"/>
          <w:sz w:val="18"/>
          <w:szCs w:val="18"/>
          <w:color w:val="auto"/>
        </w:rPr>
        <w:t>:</w:t>
      </w:r>
    </w:p>
    <w:p>
      <w:pPr>
        <w:spacing w:after="0" w:line="117"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Table of Contents</w:t>
      </w:r>
      <w:r>
        <w:rPr>
          <w:rFonts w:ascii="Arial" w:cs="Arial" w:eastAsia="Arial" w:hAnsi="Arial"/>
          <w:sz w:val="18"/>
          <w:szCs w:val="18"/>
          <w:color w:val="auto"/>
        </w:rPr>
        <w:t>” to the Purchase Agreement is deleted in its entirety and a revised “</w:t>
      </w:r>
      <w:r>
        <w:rPr>
          <w:rFonts w:ascii="Arial" w:cs="Arial" w:eastAsia="Arial" w:hAnsi="Arial"/>
          <w:sz w:val="18"/>
          <w:szCs w:val="18"/>
          <w:u w:val="single" w:color="auto"/>
          <w:color w:val="auto"/>
        </w:rPr>
        <w:t>Table of Contents,</w:t>
      </w:r>
      <w:r>
        <w:rPr>
          <w:rFonts w:ascii="Arial" w:cs="Arial" w:eastAsia="Arial" w:hAnsi="Arial"/>
          <w:sz w:val="18"/>
          <w:szCs w:val="18"/>
          <w:color w:val="auto"/>
        </w:rPr>
        <w:t>” attached hereto and identified with an “SA-36” legend is substituted in lieu thereof to reflect the changes made by this SA-36.</w:t>
      </w:r>
    </w:p>
    <w:p>
      <w:pPr>
        <w:spacing w:after="0" w:line="62" w:lineRule="exact"/>
        <w:rPr>
          <w:sz w:val="20"/>
          <w:szCs w:val="20"/>
          <w:color w:val="auto"/>
        </w:rPr>
      </w:pPr>
    </w:p>
    <w:p>
      <w:pPr>
        <w:ind w:left="180" w:hanging="172"/>
        <w:spacing w:after="0"/>
        <w:tabs>
          <w:tab w:leader="none" w:pos="18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Table l-8</w:t>
      </w:r>
    </w:p>
    <w:p>
      <w:pPr>
        <w:spacing w:after="0" w:line="11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Table 1-8 entitled “</w:t>
      </w:r>
      <w:r>
        <w:rPr>
          <w:rFonts w:ascii="Arial" w:cs="Arial" w:eastAsia="Arial" w:hAnsi="Arial"/>
          <w:sz w:val="18"/>
          <w:szCs w:val="18"/>
          <w:u w:val="single" w:color="auto"/>
          <w:color w:val="auto"/>
        </w:rPr>
        <w:t>777-323ER Aircraft Delivery, Description, Price and Advance Payments</w:t>
      </w:r>
      <w:r>
        <w:rPr>
          <w:rFonts w:ascii="Arial" w:cs="Arial" w:eastAsia="Arial" w:hAnsi="Arial"/>
          <w:sz w:val="18"/>
          <w:szCs w:val="18"/>
          <w:color w:val="auto"/>
        </w:rPr>
        <w:t>” is deleted in its entirety and a revised Table 1-8 to revise the [*CTR] 2016 delivery to [*CTR] 2016, attached hereto and identified with an “SA-36” legend is substituted in lieu thereof to reflect the changes made by this SA-36.</w:t>
      </w:r>
    </w:p>
    <w:p>
      <w:pPr>
        <w:spacing w:after="0" w:line="114" w:lineRule="exact"/>
        <w:rPr>
          <w:sz w:val="20"/>
          <w:szCs w:val="20"/>
          <w:color w:val="auto"/>
        </w:rPr>
      </w:pPr>
    </w:p>
    <w:p>
      <w:pPr>
        <w:spacing w:after="0"/>
        <w:tabs>
          <w:tab w:leader="none" w:pos="5580" w:val="left"/>
          <w:tab w:leader="none" w:pos="10940" w:val="left"/>
        </w:tabs>
        <w:rPr>
          <w:sz w:val="20"/>
          <w:szCs w:val="20"/>
          <w:color w:val="auto"/>
        </w:rPr>
      </w:pPr>
      <w:r>
        <w:rPr>
          <w:rFonts w:ascii="Arial" w:cs="Arial" w:eastAsia="Arial" w:hAnsi="Arial"/>
          <w:sz w:val="18"/>
          <w:szCs w:val="18"/>
          <w:color w:val="auto"/>
        </w:rPr>
        <w:t>PA No. 1980</w:t>
      </w:r>
      <w:r>
        <w:rPr>
          <w:sz w:val="20"/>
          <w:szCs w:val="20"/>
          <w:color w:val="auto"/>
        </w:rPr>
        <w:tab/>
      </w:r>
      <w:r>
        <w:rPr>
          <w:rFonts w:ascii="Arial" w:cs="Arial" w:eastAsia="Arial" w:hAnsi="Arial"/>
          <w:sz w:val="18"/>
          <w:szCs w:val="18"/>
          <w:color w:val="auto"/>
        </w:rPr>
        <w:t>Page 1</w:t>
      </w:r>
      <w:r>
        <w:rPr>
          <w:sz w:val="20"/>
          <w:szCs w:val="20"/>
          <w:color w:val="auto"/>
        </w:rPr>
        <w:tab/>
      </w:r>
      <w:r>
        <w:rPr>
          <w:rFonts w:ascii="Arial" w:cs="Arial" w:eastAsia="Arial" w:hAnsi="Arial"/>
          <w:sz w:val="16"/>
          <w:szCs w:val="16"/>
          <w:color w:val="auto"/>
        </w:rPr>
        <w:t>SA 36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21" w:right="239" w:bottom="1440" w:gutter="0" w:footer="0" w:header="0"/>
        </w:sectPr>
      </w:pPr>
    </w:p>
    <w:bookmarkStart w:id="142" w:name="page143"/>
    <w:bookmarkEnd w:id="142"/>
    <w:p>
      <w:pPr>
        <w:ind w:left="180" w:hanging="172"/>
        <w:spacing w:after="0"/>
        <w:tabs>
          <w:tab w:leader="none" w:pos="18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Letter Agreement No. 6-1162-AKP-110R3</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Attachment B entitled “</w:t>
      </w:r>
      <w:r>
        <w:rPr>
          <w:rFonts w:ascii="Arial" w:cs="Arial" w:eastAsia="Arial" w:hAnsi="Arial"/>
          <w:sz w:val="18"/>
          <w:szCs w:val="18"/>
          <w:u w:val="single" w:color="auto"/>
          <w:color w:val="auto"/>
        </w:rPr>
        <w:t>Information Regarding MADP Rights to Letter Agreement No. 6-1162-AKP-110R3</w:t>
      </w:r>
      <w:r>
        <w:rPr>
          <w:rFonts w:ascii="Arial" w:cs="Arial" w:eastAsia="Arial" w:hAnsi="Arial"/>
          <w:sz w:val="18"/>
          <w:szCs w:val="18"/>
          <w:color w:val="auto"/>
        </w:rPr>
        <w:t xml:space="preserve">” is deleted in its entirety and a revised Attachment B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Revised Attachment B</w:t>
      </w:r>
      <w:r>
        <w:rPr>
          <w:rFonts w:ascii="Arial" w:cs="Arial" w:eastAsia="Arial" w:hAnsi="Arial"/>
          <w:sz w:val="18"/>
          <w:szCs w:val="18"/>
          <w:i w:val="1"/>
          <w:iCs w:val="1"/>
          <w:color w:val="auto"/>
        </w:rPr>
        <w:t>)</w:t>
      </w:r>
      <w:r>
        <w:rPr>
          <w:rFonts w:ascii="Arial" w:cs="Arial" w:eastAsia="Arial" w:hAnsi="Arial"/>
          <w:sz w:val="18"/>
          <w:szCs w:val="18"/>
          <w:color w:val="auto"/>
        </w:rPr>
        <w:t xml:space="preserve"> is substituted which revises the [*CTR] MADP Delivery to [*CTR].</w:t>
      </w:r>
    </w:p>
    <w:p>
      <w:pPr>
        <w:spacing w:after="0" w:line="62" w:lineRule="exact"/>
        <w:rPr>
          <w:sz w:val="20"/>
          <w:szCs w:val="20"/>
          <w:color w:val="auto"/>
        </w:rPr>
      </w:pPr>
    </w:p>
    <w:p>
      <w:pPr>
        <w:ind w:left="180" w:hanging="172"/>
        <w:spacing w:after="0"/>
        <w:tabs>
          <w:tab w:leader="none" w:pos="18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Revision of Attachment C to Letter Agreement No. 6-1162-AKP-110R3:</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Attachment C entitled “</w:t>
      </w:r>
      <w:r>
        <w:rPr>
          <w:rFonts w:ascii="Arial" w:cs="Arial" w:eastAsia="Arial" w:hAnsi="Arial"/>
          <w:sz w:val="18"/>
          <w:szCs w:val="18"/>
          <w:u w:val="single" w:color="auto"/>
          <w:color w:val="auto"/>
        </w:rPr>
        <w:t>Information Regarding QADP Rights to Letter Agreement No. 6-1162-AKP-110R3</w:t>
      </w:r>
      <w:r>
        <w:rPr>
          <w:rFonts w:ascii="Arial" w:cs="Arial" w:eastAsia="Arial" w:hAnsi="Arial"/>
          <w:sz w:val="18"/>
          <w:szCs w:val="18"/>
          <w:color w:val="auto"/>
        </w:rPr>
        <w:t xml:space="preserve">” is deleted in its entirety and a revised Attachment C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Revised Attachment C</w:t>
      </w:r>
      <w:r>
        <w:rPr>
          <w:rFonts w:ascii="Arial" w:cs="Arial" w:eastAsia="Arial" w:hAnsi="Arial"/>
          <w:sz w:val="18"/>
          <w:szCs w:val="18"/>
          <w:i w:val="1"/>
          <w:iCs w:val="1"/>
          <w:color w:val="auto"/>
        </w:rPr>
        <w:t>)</w:t>
      </w:r>
      <w:r>
        <w:rPr>
          <w:rFonts w:ascii="Arial" w:cs="Arial" w:eastAsia="Arial" w:hAnsi="Arial"/>
          <w:sz w:val="18"/>
          <w:szCs w:val="18"/>
          <w:color w:val="auto"/>
        </w:rPr>
        <w:t xml:space="preserve"> is substituted which revises the [*CTR] ([*CTR]) [*CTR] QADP Delivery Aircraft to deliveries in [*CTR] ([*CTR]) [*CTR], [*CTR], [*CTR], [*CTR], and [*CTR].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EXECUTED IN DUPLICATE as of the day and year first above written.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3"/>
          </w:tcPr>
          <w:p>
            <w:pPr>
              <w:spacing w:after="0"/>
              <w:rPr>
                <w:sz w:val="20"/>
                <w:szCs w:val="20"/>
                <w:color w:val="auto"/>
              </w:rPr>
            </w:pPr>
            <w:r>
              <w:rPr>
                <w:rFonts w:ascii="Arial" w:cs="Arial" w:eastAsia="Arial" w:hAnsi="Arial"/>
                <w:sz w:val="18"/>
                <w:szCs w:val="18"/>
                <w:b w:val="1"/>
                <w:bCs w:val="1"/>
                <w:color w:val="auto"/>
              </w:rPr>
              <w:t>THE BOEING COMPANY</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AMERICAN AIRLINES, INC.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gridSpan w:val="2"/>
          </w:tcPr>
          <w:p>
            <w:pPr>
              <w:ind w:left="60"/>
              <w:spacing w:after="0"/>
              <w:rPr>
                <w:sz w:val="20"/>
                <w:szCs w:val="20"/>
                <w:color w:val="auto"/>
              </w:rPr>
            </w:pPr>
            <w:r>
              <w:rPr>
                <w:rFonts w:ascii="Arial" w:cs="Arial" w:eastAsia="Arial" w:hAnsi="Arial"/>
                <w:sz w:val="18"/>
                <w:szCs w:val="18"/>
                <w:color w:val="auto"/>
              </w:rPr>
              <w:t>/s/ THE BOEING COMPANY</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Pr>
          <w:p>
            <w:pPr>
              <w:spacing w:after="0"/>
              <w:rPr>
                <w:sz w:val="20"/>
                <w:szCs w:val="20"/>
                <w:color w:val="auto"/>
              </w:rPr>
            </w:pPr>
            <w:r>
              <w:rPr>
                <w:rFonts w:ascii="Arial" w:cs="Arial" w:eastAsia="Arial" w:hAnsi="Arial"/>
                <w:sz w:val="18"/>
                <w:szCs w:val="18"/>
                <w:color w:val="auto"/>
              </w:rPr>
              <w:t>/s/ AMERICAN AIRLINES, INC.</w:t>
            </w:r>
          </w:p>
        </w:tc>
      </w:tr>
      <w:tr>
        <w:trPr>
          <w:trHeight w:val="209"/>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60" w:type="dxa"/>
            <w:vAlign w:val="bottom"/>
          </w:tcPr>
          <w:p>
            <w:pPr>
              <w:spacing w:after="0"/>
              <w:rPr>
                <w:sz w:val="18"/>
                <w:szCs w:val="18"/>
                <w:color w:val="auto"/>
              </w:rPr>
            </w:pPr>
          </w:p>
        </w:tc>
        <w:tc>
          <w:tcPr>
            <w:tcW w:w="4780" w:type="dxa"/>
            <w:vAlign w:val="bottom"/>
            <w:tcBorders>
              <w:top w:val="single" w:sz="8" w:color="auto"/>
            </w:tcBorders>
          </w:tcPr>
          <w:p>
            <w:pPr>
              <w:spacing w:after="0"/>
              <w:rPr>
                <w:sz w:val="18"/>
                <w:szCs w:val="18"/>
                <w:color w:val="auto"/>
              </w:rPr>
            </w:pPr>
          </w:p>
        </w:tc>
        <w:tc>
          <w:tcPr>
            <w:tcW w:w="126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Borders>
              <w:top w:val="single" w:sz="8" w:color="auto"/>
            </w:tcBorders>
          </w:tcPr>
          <w:p>
            <w:pPr>
              <w:spacing w:after="0"/>
              <w:rPr>
                <w:sz w:val="18"/>
                <w:szCs w:val="18"/>
                <w:color w:val="auto"/>
              </w:rPr>
            </w:pP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4840" w:type="dxa"/>
            <w:vAlign w:val="bottom"/>
            <w:gridSpan w:val="2"/>
          </w:tcPr>
          <w:p>
            <w:pPr>
              <w:ind w:left="60"/>
              <w:spacing w:after="0"/>
              <w:rPr>
                <w:sz w:val="20"/>
                <w:szCs w:val="20"/>
                <w:color w:val="auto"/>
              </w:rPr>
            </w:pPr>
            <w:r>
              <w:rPr>
                <w:rFonts w:ascii="Arial" w:cs="Arial" w:eastAsia="Arial" w:hAnsi="Arial"/>
                <w:sz w:val="18"/>
                <w:szCs w:val="18"/>
                <w:color w:val="auto"/>
              </w:rPr>
              <w:t>Attorney-In-Fact</w:t>
            </w:r>
          </w:p>
        </w:tc>
        <w:tc>
          <w:tcPr>
            <w:tcW w:w="1260" w:type="dxa"/>
            <w:vAlign w:val="bottom"/>
          </w:tcPr>
          <w:p>
            <w:pPr>
              <w:ind w:left="660"/>
              <w:spacing w:after="0"/>
              <w:rPr>
                <w:sz w:val="20"/>
                <w:szCs w:val="20"/>
                <w:color w:val="auto"/>
              </w:rPr>
            </w:pPr>
            <w:r>
              <w:rPr>
                <w:rFonts w:ascii="Arial" w:cs="Arial" w:eastAsia="Arial" w:hAnsi="Arial"/>
                <w:sz w:val="18"/>
                <w:szCs w:val="18"/>
                <w:color w:val="auto"/>
              </w:rPr>
              <w:t>Its:</w:t>
            </w:r>
          </w:p>
        </w:tc>
        <w:tc>
          <w:tcPr>
            <w:tcW w:w="4780" w:type="dxa"/>
            <w:vAlign w:val="bottom"/>
          </w:tcPr>
          <w:p>
            <w:pPr>
              <w:spacing w:after="0"/>
              <w:rPr>
                <w:sz w:val="20"/>
                <w:szCs w:val="20"/>
                <w:color w:val="auto"/>
              </w:rPr>
            </w:pPr>
            <w:r>
              <w:rPr>
                <w:rFonts w:ascii="Arial" w:cs="Arial" w:eastAsia="Arial" w:hAnsi="Arial"/>
                <w:sz w:val="18"/>
                <w:szCs w:val="18"/>
                <w:color w:val="auto"/>
              </w:rPr>
              <w:t>Vice President – Fleet Planning</w:t>
            </w:r>
          </w:p>
        </w:tc>
      </w:tr>
    </w:tbl>
    <w:p>
      <w:pPr>
        <w:spacing w:after="0" w:line="148" w:lineRule="exact"/>
        <w:rPr>
          <w:sz w:val="20"/>
          <w:szCs w:val="20"/>
          <w:color w:val="auto"/>
        </w:rPr>
      </w:pPr>
    </w:p>
    <w:p>
      <w:pPr>
        <w:spacing w:after="0"/>
        <w:tabs>
          <w:tab w:leader="none" w:pos="5280" w:val="left"/>
          <w:tab w:leader="none" w:pos="10940" w:val="left"/>
        </w:tabs>
        <w:rPr>
          <w:sz w:val="20"/>
          <w:szCs w:val="20"/>
          <w:color w:val="auto"/>
        </w:rPr>
      </w:pPr>
      <w:r>
        <w:rPr>
          <w:rFonts w:ascii="Arial" w:cs="Arial" w:eastAsia="Arial" w:hAnsi="Arial"/>
          <w:sz w:val="18"/>
          <w:szCs w:val="18"/>
          <w:color w:val="auto"/>
        </w:rPr>
        <w:t>PA No. 1980</w:t>
      </w:r>
      <w:r>
        <w:rPr>
          <w:sz w:val="20"/>
          <w:szCs w:val="20"/>
          <w:color w:val="auto"/>
        </w:rPr>
        <w:tab/>
      </w:r>
      <w:r>
        <w:rPr>
          <w:rFonts w:ascii="Arial" w:cs="Arial" w:eastAsia="Arial" w:hAnsi="Arial"/>
          <w:sz w:val="18"/>
          <w:szCs w:val="18"/>
          <w:color w:val="auto"/>
        </w:rPr>
        <w:t>Signature Page</w:t>
      </w:r>
      <w:r>
        <w:rPr>
          <w:sz w:val="20"/>
          <w:szCs w:val="20"/>
          <w:color w:val="auto"/>
        </w:rPr>
        <w:tab/>
      </w:r>
      <w:r>
        <w:rPr>
          <w:rFonts w:ascii="Arial" w:cs="Arial" w:eastAsia="Arial" w:hAnsi="Arial"/>
          <w:sz w:val="16"/>
          <w:szCs w:val="16"/>
          <w:color w:val="auto"/>
        </w:rPr>
        <w:t>SA 36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320" w:type="dxa"/>
            <w:vAlign w:val="bottom"/>
          </w:tcPr>
          <w:p>
            <w:pPr>
              <w:ind w:left="1120"/>
              <w:spacing w:after="0"/>
              <w:rPr>
                <w:sz w:val="20"/>
                <w:szCs w:val="20"/>
                <w:color w:val="auto"/>
              </w:rPr>
            </w:pPr>
            <w:r>
              <w:rPr>
                <w:rFonts w:ascii="Arial" w:cs="Arial" w:eastAsia="Arial" w:hAnsi="Arial"/>
                <w:sz w:val="18"/>
                <w:szCs w:val="18"/>
                <w:color w:val="auto"/>
              </w:rPr>
              <w:t>TABLE OF CONTENTS</w:t>
            </w:r>
          </w:p>
        </w:tc>
        <w:tc>
          <w:tcPr>
            <w:tcW w:w="120" w:type="dxa"/>
            <w:vAlign w:val="bottom"/>
          </w:tcPr>
          <w:p>
            <w:pPr>
              <w:spacing w:after="0"/>
              <w:rPr>
                <w:sz w:val="20"/>
                <w:szCs w:val="20"/>
                <w:color w:val="auto"/>
              </w:rPr>
            </w:pPr>
          </w:p>
        </w:tc>
        <w:tc>
          <w:tcPr>
            <w:tcW w:w="1300" w:type="dxa"/>
            <w:vAlign w:val="bottom"/>
            <w:vMerge w:val="restart"/>
          </w:tcPr>
          <w:p>
            <w:pPr>
              <w:jc w:val="center"/>
              <w:ind w:right="173"/>
              <w:spacing w:after="0"/>
              <w:rPr>
                <w:sz w:val="20"/>
                <w:szCs w:val="20"/>
                <w:color w:val="auto"/>
              </w:rPr>
            </w:pPr>
            <w:r>
              <w:rPr>
                <w:rFonts w:ascii="Arial" w:cs="Arial" w:eastAsia="Arial" w:hAnsi="Arial"/>
                <w:sz w:val="14"/>
                <w:szCs w:val="14"/>
                <w:color w:val="auto"/>
                <w:w w:val="96"/>
              </w:rPr>
              <w:t>PAGE &amp; SA</w:t>
            </w:r>
          </w:p>
        </w:tc>
        <w:tc>
          <w:tcPr>
            <w:tcW w:w="0" w:type="dxa"/>
            <w:vAlign w:val="bottom"/>
          </w:tcPr>
          <w:p>
            <w:pPr>
              <w:spacing w:after="0"/>
              <w:rPr>
                <w:sz w:val="1"/>
                <w:szCs w:val="1"/>
                <w:color w:val="auto"/>
              </w:rPr>
            </w:pPr>
          </w:p>
        </w:tc>
      </w:tr>
      <w:tr>
        <w:trPr>
          <w:trHeight w:val="130"/>
        </w:trPr>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60" w:type="dxa"/>
            <w:vAlign w:val="bottom"/>
          </w:tcPr>
          <w:p>
            <w:pPr>
              <w:spacing w:after="0" w:line="153" w:lineRule="exact"/>
              <w:rPr>
                <w:sz w:val="20"/>
                <w:szCs w:val="20"/>
                <w:color w:val="auto"/>
              </w:rPr>
            </w:pPr>
            <w:r>
              <w:rPr>
                <w:rFonts w:ascii="Arial" w:cs="Arial" w:eastAsia="Arial" w:hAnsi="Arial"/>
                <w:sz w:val="14"/>
                <w:szCs w:val="14"/>
                <w:color w:val="auto"/>
              </w:rPr>
              <w:t>ARTICLES</w:t>
            </w: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center"/>
              <w:ind w:right="193"/>
              <w:spacing w:after="0" w:line="153"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1.</w:t>
            </w:r>
          </w:p>
        </w:tc>
        <w:tc>
          <w:tcPr>
            <w:tcW w:w="8840" w:type="dxa"/>
            <w:vAlign w:val="bottom"/>
            <w:gridSpan w:val="5"/>
          </w:tcPr>
          <w:p>
            <w:pPr>
              <w:spacing w:after="0"/>
              <w:rPr>
                <w:sz w:val="20"/>
                <w:szCs w:val="20"/>
                <w:color w:val="auto"/>
              </w:rPr>
            </w:pPr>
            <w:r>
              <w:rPr>
                <w:rFonts w:ascii="Arial" w:cs="Arial" w:eastAsia="Arial" w:hAnsi="Arial"/>
                <w:sz w:val="18"/>
                <w:szCs w:val="18"/>
                <w:color w:val="auto"/>
              </w:rPr>
              <w:t>Quantity, Model and Description</w:t>
            </w:r>
          </w:p>
        </w:tc>
        <w:tc>
          <w:tcPr>
            <w:tcW w:w="12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 SA-20</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2.</w:t>
            </w:r>
          </w:p>
        </w:tc>
        <w:tc>
          <w:tcPr>
            <w:tcW w:w="8840" w:type="dxa"/>
            <w:vAlign w:val="bottom"/>
            <w:gridSpan w:val="5"/>
          </w:tcPr>
          <w:p>
            <w:pPr>
              <w:spacing w:after="0"/>
              <w:rPr>
                <w:sz w:val="20"/>
                <w:szCs w:val="20"/>
                <w:color w:val="auto"/>
              </w:rPr>
            </w:pPr>
            <w:r>
              <w:rPr>
                <w:rFonts w:ascii="Arial" w:cs="Arial" w:eastAsia="Arial" w:hAnsi="Arial"/>
                <w:sz w:val="18"/>
                <w:szCs w:val="18"/>
                <w:color w:val="auto"/>
              </w:rPr>
              <w:t>Delivery Schedule</w:t>
            </w:r>
          </w:p>
        </w:tc>
        <w:tc>
          <w:tcPr>
            <w:tcW w:w="120" w:type="dxa"/>
            <w:vAlign w:val="bottom"/>
          </w:tcPr>
          <w:p>
            <w:pPr>
              <w:spacing w:after="0"/>
              <w:rPr>
                <w:sz w:val="24"/>
                <w:szCs w:val="24"/>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 SA-20</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3.</w:t>
            </w:r>
          </w:p>
        </w:tc>
        <w:tc>
          <w:tcPr>
            <w:tcW w:w="8840" w:type="dxa"/>
            <w:vAlign w:val="bottom"/>
            <w:gridSpan w:val="5"/>
          </w:tcPr>
          <w:p>
            <w:pPr>
              <w:spacing w:after="0"/>
              <w:rPr>
                <w:sz w:val="20"/>
                <w:szCs w:val="20"/>
                <w:color w:val="auto"/>
              </w:rPr>
            </w:pPr>
            <w:r>
              <w:rPr>
                <w:rFonts w:ascii="Arial" w:cs="Arial" w:eastAsia="Arial" w:hAnsi="Arial"/>
                <w:sz w:val="18"/>
                <w:szCs w:val="18"/>
                <w:color w:val="auto"/>
              </w:rPr>
              <w:t>Price</w:t>
            </w:r>
          </w:p>
        </w:tc>
        <w:tc>
          <w:tcPr>
            <w:tcW w:w="120" w:type="dxa"/>
            <w:vAlign w:val="bottom"/>
          </w:tcPr>
          <w:p>
            <w:pPr>
              <w:spacing w:after="0"/>
              <w:rPr>
                <w:sz w:val="24"/>
                <w:szCs w:val="24"/>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 SA-20</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4.</w:t>
            </w:r>
          </w:p>
        </w:tc>
        <w:tc>
          <w:tcPr>
            <w:tcW w:w="8840" w:type="dxa"/>
            <w:vAlign w:val="bottom"/>
            <w:gridSpan w:val="5"/>
          </w:tcPr>
          <w:p>
            <w:pPr>
              <w:spacing w:after="0"/>
              <w:rPr>
                <w:sz w:val="20"/>
                <w:szCs w:val="20"/>
                <w:color w:val="auto"/>
              </w:rPr>
            </w:pPr>
            <w:r>
              <w:rPr>
                <w:rFonts w:ascii="Arial" w:cs="Arial" w:eastAsia="Arial" w:hAnsi="Arial"/>
                <w:sz w:val="18"/>
                <w:szCs w:val="18"/>
                <w:color w:val="auto"/>
              </w:rPr>
              <w:t>Payment</w:t>
            </w:r>
          </w:p>
        </w:tc>
        <w:tc>
          <w:tcPr>
            <w:tcW w:w="120" w:type="dxa"/>
            <w:vAlign w:val="bottom"/>
          </w:tcPr>
          <w:p>
            <w:pPr>
              <w:spacing w:after="0"/>
              <w:rPr>
                <w:sz w:val="24"/>
                <w:szCs w:val="24"/>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 SA-20</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0"/>
                <w:szCs w:val="20"/>
                <w:color w:val="auto"/>
              </w:rPr>
            </w:pPr>
            <w:r>
              <w:rPr>
                <w:rFonts w:ascii="Arial" w:cs="Arial" w:eastAsia="Arial" w:hAnsi="Arial"/>
                <w:sz w:val="18"/>
                <w:szCs w:val="18"/>
                <w:color w:val="auto"/>
              </w:rPr>
              <w:t>5.</w:t>
            </w:r>
          </w:p>
        </w:tc>
        <w:tc>
          <w:tcPr>
            <w:tcW w:w="8840" w:type="dxa"/>
            <w:vAlign w:val="bottom"/>
            <w:gridSpan w:val="5"/>
          </w:tcPr>
          <w:p>
            <w:pPr>
              <w:spacing w:after="0"/>
              <w:rPr>
                <w:sz w:val="20"/>
                <w:szCs w:val="20"/>
                <w:color w:val="auto"/>
              </w:rPr>
            </w:pPr>
            <w:r>
              <w:rPr>
                <w:rFonts w:ascii="Arial" w:cs="Arial" w:eastAsia="Arial" w:hAnsi="Arial"/>
                <w:sz w:val="18"/>
                <w:szCs w:val="18"/>
                <w:color w:val="auto"/>
              </w:rPr>
              <w:t>Miscellaneous</w:t>
            </w:r>
          </w:p>
        </w:tc>
        <w:tc>
          <w:tcPr>
            <w:tcW w:w="120" w:type="dxa"/>
            <w:vAlign w:val="bottom"/>
          </w:tcPr>
          <w:p>
            <w:pPr>
              <w:spacing w:after="0"/>
              <w:rPr>
                <w:sz w:val="24"/>
                <w:szCs w:val="24"/>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 SA-20</w:t>
            </w:r>
          </w:p>
        </w:tc>
        <w:tc>
          <w:tcPr>
            <w:tcW w:w="0" w:type="dxa"/>
            <w:vAlign w:val="bottom"/>
          </w:tcPr>
          <w:p>
            <w:pPr>
              <w:spacing w:after="0"/>
              <w:rPr>
                <w:sz w:val="1"/>
                <w:szCs w:val="1"/>
                <w:color w:val="auto"/>
              </w:rPr>
            </w:pPr>
          </w:p>
        </w:tc>
      </w:tr>
      <w:tr>
        <w:trPr>
          <w:trHeight w:val="447"/>
        </w:trPr>
        <w:tc>
          <w:tcPr>
            <w:tcW w:w="1160" w:type="dxa"/>
            <w:vAlign w:val="bottom"/>
          </w:tcPr>
          <w:p>
            <w:pPr>
              <w:spacing w:after="0"/>
              <w:rPr>
                <w:sz w:val="20"/>
                <w:szCs w:val="20"/>
                <w:color w:val="auto"/>
              </w:rPr>
            </w:pPr>
            <w:r>
              <w:rPr>
                <w:rFonts w:ascii="Arial" w:cs="Arial" w:eastAsia="Arial" w:hAnsi="Arial"/>
                <w:sz w:val="14"/>
                <w:szCs w:val="14"/>
                <w:color w:val="auto"/>
              </w:rPr>
              <w:t>TABLE</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center"/>
              <w:ind w:right="173"/>
              <w:spacing w:after="0"/>
              <w:rPr>
                <w:sz w:val="20"/>
                <w:szCs w:val="20"/>
                <w:color w:val="auto"/>
              </w:rPr>
            </w:pPr>
            <w:r>
              <w:rPr>
                <w:rFonts w:ascii="Arial" w:cs="Arial" w:eastAsia="Arial" w:hAnsi="Arial"/>
                <w:sz w:val="14"/>
                <w:szCs w:val="14"/>
                <w:color w:val="auto"/>
              </w:rPr>
              <w:t>SA NUMBER</w:t>
            </w:r>
          </w:p>
        </w:tc>
        <w:tc>
          <w:tcPr>
            <w:tcW w:w="0" w:type="dxa"/>
            <w:vAlign w:val="bottom"/>
          </w:tcPr>
          <w:p>
            <w:pPr>
              <w:spacing w:after="0"/>
              <w:rPr>
                <w:sz w:val="1"/>
                <w:szCs w:val="1"/>
                <w:color w:val="auto"/>
              </w:rPr>
            </w:pPr>
          </w:p>
        </w:tc>
      </w:tr>
      <w:tr>
        <w:trPr>
          <w:trHeight w:val="403"/>
        </w:trPr>
        <w:tc>
          <w:tcPr>
            <w:tcW w:w="1160" w:type="dxa"/>
            <w:vAlign w:val="bottom"/>
          </w:tcPr>
          <w:p>
            <w:pPr>
              <w:spacing w:after="0"/>
              <w:rPr>
                <w:sz w:val="20"/>
                <w:szCs w:val="20"/>
                <w:color w:val="auto"/>
              </w:rPr>
            </w:pPr>
            <w:r>
              <w:rPr>
                <w:rFonts w:ascii="Arial" w:cs="Arial" w:eastAsia="Arial" w:hAnsi="Arial"/>
                <w:sz w:val="18"/>
                <w:szCs w:val="18"/>
                <w:color w:val="auto"/>
                <w:strike w:val="1"/>
              </w:rPr>
              <w:t>1.</w:t>
            </w:r>
          </w:p>
        </w:tc>
        <w:tc>
          <w:tcPr>
            <w:tcW w:w="8840" w:type="dxa"/>
            <w:vAlign w:val="bottom"/>
            <w:gridSpan w:val="5"/>
          </w:tcPr>
          <w:p>
            <w:pPr>
              <w:spacing w:after="0"/>
              <w:rPr>
                <w:sz w:val="20"/>
                <w:szCs w:val="20"/>
                <w:color w:val="auto"/>
              </w:rPr>
            </w:pPr>
            <w:r>
              <w:rPr>
                <w:rFonts w:ascii="Arial" w:cs="Arial" w:eastAsia="Arial" w:hAnsi="Arial"/>
                <w:sz w:val="18"/>
                <w:szCs w:val="18"/>
                <w:color w:val="auto"/>
                <w:strike w:val="1"/>
              </w:rPr>
              <w:t>777 200ER Aircraft Delivery, Description, Price and Advance Payments</w:t>
            </w:r>
          </w:p>
        </w:tc>
        <w:tc>
          <w:tcPr>
            <w:tcW w:w="1420" w:type="dxa"/>
            <w:vAlign w:val="bottom"/>
            <w:gridSpan w:val="2"/>
          </w:tcPr>
          <w:p>
            <w:pPr>
              <w:jc w:val="right"/>
              <w:ind w:right="13"/>
              <w:spacing w:after="0"/>
              <w:rPr>
                <w:sz w:val="20"/>
                <w:szCs w:val="20"/>
                <w:color w:val="auto"/>
              </w:rPr>
            </w:pPr>
            <w:r>
              <w:rPr>
                <w:rFonts w:ascii="Arial" w:cs="Arial" w:eastAsia="Arial" w:hAnsi="Arial"/>
                <w:sz w:val="18"/>
                <w:szCs w:val="18"/>
                <w:color w:val="auto"/>
                <w:strike w:val="1"/>
                <w:w w:val="90"/>
              </w:rPr>
              <w:t>Original Purchase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40" w:type="dxa"/>
            <w:vAlign w:val="bottom"/>
            <w:gridSpan w:val="2"/>
          </w:tcPr>
          <w:p>
            <w:pPr>
              <w:ind w:left="180"/>
              <w:spacing w:after="0"/>
              <w:rPr>
                <w:sz w:val="20"/>
                <w:szCs w:val="20"/>
                <w:color w:val="auto"/>
              </w:rPr>
            </w:pPr>
            <w:r>
              <w:rPr>
                <w:rFonts w:ascii="Arial" w:cs="Arial" w:eastAsia="Arial" w:hAnsi="Arial"/>
                <w:sz w:val="18"/>
                <w:szCs w:val="18"/>
                <w:color w:val="auto"/>
                <w:strike w:val="1"/>
              </w:rPr>
              <w:t>(</w:t>
            </w:r>
            <w:r>
              <w:rPr>
                <w:rFonts w:ascii="Arial" w:cs="Arial" w:eastAsia="Arial" w:hAnsi="Arial"/>
                <w:sz w:val="18"/>
                <w:szCs w:val="18"/>
                <w:color w:val="auto"/>
              </w:rPr>
              <w:t>[*CTR]</w:t>
            </w:r>
          </w:p>
        </w:tc>
        <w:tc>
          <w:tcPr>
            <w:tcW w:w="1680" w:type="dxa"/>
            <w:vAlign w:val="bottom"/>
            <w:gridSpan w:val="2"/>
          </w:tcPr>
          <w:p>
            <w:pPr>
              <w:spacing w:after="0"/>
              <w:rPr>
                <w:sz w:val="20"/>
                <w:szCs w:val="20"/>
                <w:color w:val="auto"/>
              </w:rPr>
            </w:pPr>
            <w:r>
              <w:rPr>
                <w:rFonts w:ascii="Arial" w:cs="Arial" w:eastAsia="Arial" w:hAnsi="Arial"/>
                <w:sz w:val="18"/>
                <w:szCs w:val="18"/>
                <w:color w:val="auto"/>
                <w:strike w:val="1"/>
              </w:rPr>
              <w:t>Deliveries)</w:t>
            </w:r>
          </w:p>
        </w:tc>
        <w:tc>
          <w:tcPr>
            <w:tcW w:w="6320" w:type="dxa"/>
            <w:vAlign w:val="bottom"/>
          </w:tcPr>
          <w:p>
            <w:pPr>
              <w:spacing w:after="0"/>
              <w:rPr>
                <w:sz w:val="18"/>
                <w:szCs w:val="18"/>
                <w:color w:val="auto"/>
              </w:rPr>
            </w:pPr>
          </w:p>
        </w:tc>
        <w:tc>
          <w:tcPr>
            <w:tcW w:w="1420" w:type="dxa"/>
            <w:vAlign w:val="bottom"/>
            <w:gridSpan w:val="2"/>
          </w:tcPr>
          <w:p>
            <w:pPr>
              <w:jc w:val="right"/>
              <w:ind w:right="13"/>
              <w:spacing w:after="0"/>
              <w:rPr>
                <w:sz w:val="20"/>
                <w:szCs w:val="20"/>
                <w:color w:val="auto"/>
              </w:rPr>
            </w:pPr>
            <w:r>
              <w:rPr>
                <w:rFonts w:ascii="Arial" w:cs="Arial" w:eastAsia="Arial" w:hAnsi="Arial"/>
                <w:sz w:val="18"/>
                <w:szCs w:val="18"/>
                <w:color w:val="auto"/>
                <w:strike w:val="1"/>
                <w:w w:val="90"/>
              </w:rPr>
              <w:t>Agreement, SA-3,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strike w:val="1"/>
                <w:w w:val="85"/>
              </w:rPr>
              <w:t>Jul.</w:t>
            </w:r>
          </w:p>
        </w:tc>
        <w:tc>
          <w:tcPr>
            <w:tcW w:w="640" w:type="dxa"/>
            <w:vAlign w:val="bottom"/>
            <w:gridSpan w:val="2"/>
          </w:tcPr>
          <w:p>
            <w:pPr>
              <w:ind w:left="40"/>
              <w:spacing w:after="0"/>
              <w:rPr>
                <w:sz w:val="20"/>
                <w:szCs w:val="20"/>
                <w:color w:val="auto"/>
              </w:rPr>
            </w:pPr>
            <w:r>
              <w:rPr>
                <w:rFonts w:ascii="Arial" w:cs="Arial" w:eastAsia="Arial" w:hAnsi="Arial"/>
                <w:sz w:val="18"/>
                <w:szCs w:val="18"/>
                <w:color w:val="auto"/>
              </w:rPr>
              <w:t>[*CTR]</w:t>
            </w:r>
          </w:p>
        </w:tc>
        <w:tc>
          <w:tcPr>
            <w:tcW w:w="1440" w:type="dxa"/>
            <w:vAlign w:val="bottom"/>
          </w:tcPr>
          <w:p>
            <w:pPr>
              <w:spacing w:after="0"/>
              <w:rPr>
                <w:sz w:val="20"/>
                <w:szCs w:val="20"/>
                <w:color w:val="auto"/>
              </w:rPr>
            </w:pPr>
            <w:r>
              <w:rPr>
                <w:rFonts w:ascii="Arial" w:cs="Arial" w:eastAsia="Arial" w:hAnsi="Arial"/>
                <w:sz w:val="18"/>
                <w:szCs w:val="18"/>
                <w:color w:val="auto"/>
                <w:strike w:val="1"/>
                <w:w w:val="90"/>
              </w:rPr>
              <w:t>Airframe Base Year</w:t>
            </w:r>
          </w:p>
        </w:tc>
        <w:tc>
          <w:tcPr>
            <w:tcW w:w="6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right="133"/>
              <w:spacing w:after="0"/>
              <w:rPr>
                <w:sz w:val="20"/>
                <w:szCs w:val="20"/>
                <w:color w:val="auto"/>
              </w:rPr>
            </w:pPr>
            <w:r>
              <w:rPr>
                <w:rFonts w:ascii="Arial" w:cs="Arial" w:eastAsia="Arial" w:hAnsi="Arial"/>
                <w:sz w:val="18"/>
                <w:szCs w:val="18"/>
                <w:color w:val="auto"/>
                <w:strike w:val="1"/>
                <w:w w:val="93"/>
              </w:rPr>
              <w:t>SA-17, SA-18,</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strike w:val="1"/>
                <w:w w:val="85"/>
              </w:rPr>
              <w:t>Jul.</w:t>
            </w:r>
          </w:p>
        </w:tc>
        <w:tc>
          <w:tcPr>
            <w:tcW w:w="640" w:type="dxa"/>
            <w:vAlign w:val="bottom"/>
            <w:gridSpan w:val="2"/>
          </w:tcPr>
          <w:p>
            <w:pPr>
              <w:ind w:left="40"/>
              <w:spacing w:after="0"/>
              <w:rPr>
                <w:sz w:val="20"/>
                <w:szCs w:val="20"/>
                <w:color w:val="auto"/>
              </w:rPr>
            </w:pPr>
            <w:r>
              <w:rPr>
                <w:rFonts w:ascii="Arial" w:cs="Arial" w:eastAsia="Arial" w:hAnsi="Arial"/>
                <w:sz w:val="18"/>
                <w:szCs w:val="18"/>
                <w:color w:val="auto"/>
              </w:rPr>
              <w:t>[*CTR]</w:t>
            </w:r>
          </w:p>
        </w:tc>
        <w:tc>
          <w:tcPr>
            <w:tcW w:w="1440" w:type="dxa"/>
            <w:vAlign w:val="bottom"/>
          </w:tcPr>
          <w:p>
            <w:pPr>
              <w:spacing w:after="0"/>
              <w:rPr>
                <w:sz w:val="20"/>
                <w:szCs w:val="20"/>
                <w:color w:val="auto"/>
              </w:rPr>
            </w:pPr>
            <w:r>
              <w:rPr>
                <w:rFonts w:ascii="Arial" w:cs="Arial" w:eastAsia="Arial" w:hAnsi="Arial"/>
                <w:sz w:val="18"/>
                <w:szCs w:val="18"/>
                <w:color w:val="auto"/>
                <w:strike w:val="1"/>
                <w:w w:val="97"/>
              </w:rPr>
              <w:t>Engine Base Year</w:t>
            </w:r>
          </w:p>
        </w:tc>
        <w:tc>
          <w:tcPr>
            <w:tcW w:w="6320" w:type="dxa"/>
            <w:vAlign w:val="bottom"/>
          </w:tcPr>
          <w:p>
            <w:pPr>
              <w:spacing w:after="0"/>
              <w:rPr>
                <w:sz w:val="20"/>
                <w:szCs w:val="20"/>
                <w:color w:val="auto"/>
              </w:rPr>
            </w:pPr>
          </w:p>
        </w:tc>
        <w:tc>
          <w:tcPr>
            <w:tcW w:w="1420" w:type="dxa"/>
            <w:vAlign w:val="bottom"/>
            <w:gridSpan w:val="2"/>
          </w:tcPr>
          <w:p>
            <w:pPr>
              <w:jc w:val="center"/>
              <w:ind w:right="13"/>
              <w:spacing w:after="0"/>
              <w:rPr>
                <w:sz w:val="20"/>
                <w:szCs w:val="20"/>
                <w:color w:val="auto"/>
              </w:rPr>
            </w:pPr>
            <w:r>
              <w:rPr>
                <w:rFonts w:ascii="Arial" w:cs="Arial" w:eastAsia="Arial" w:hAnsi="Arial"/>
                <w:sz w:val="18"/>
                <w:szCs w:val="18"/>
                <w:color w:val="auto"/>
                <w:strike w:val="1"/>
                <w:w w:val="94"/>
              </w:rPr>
              <w:t>SA-26 &amp; SA-31</w:t>
            </w:r>
          </w:p>
        </w:tc>
        <w:tc>
          <w:tcPr>
            <w:tcW w:w="0" w:type="dxa"/>
            <w:vAlign w:val="bottom"/>
          </w:tcPr>
          <w:p>
            <w:pPr>
              <w:spacing w:after="0"/>
              <w:rPr>
                <w:sz w:val="1"/>
                <w:szCs w:val="1"/>
                <w:color w:val="auto"/>
              </w:rPr>
            </w:pPr>
          </w:p>
        </w:tc>
      </w:tr>
      <w:tr>
        <w:trPr>
          <w:trHeight w:val="338"/>
        </w:trPr>
        <w:tc>
          <w:tcPr>
            <w:tcW w:w="1160" w:type="dxa"/>
            <w:vAlign w:val="bottom"/>
          </w:tcPr>
          <w:p>
            <w:pPr>
              <w:spacing w:after="0"/>
              <w:rPr>
                <w:sz w:val="24"/>
                <w:szCs w:val="24"/>
                <w:color w:val="auto"/>
              </w:rPr>
            </w:pPr>
          </w:p>
        </w:tc>
        <w:tc>
          <w:tcPr>
            <w:tcW w:w="8840" w:type="dxa"/>
            <w:vAlign w:val="bottom"/>
            <w:gridSpan w:val="5"/>
          </w:tcPr>
          <w:p>
            <w:pPr>
              <w:spacing w:after="0"/>
              <w:rPr>
                <w:sz w:val="20"/>
                <w:szCs w:val="20"/>
                <w:color w:val="auto"/>
              </w:rPr>
            </w:pPr>
            <w:r>
              <w:rPr>
                <w:rFonts w:ascii="Arial" w:cs="Arial" w:eastAsia="Arial" w:hAnsi="Arial"/>
                <w:sz w:val="18"/>
                <w:szCs w:val="18"/>
                <w:color w:val="auto"/>
              </w:rPr>
              <w:t>Terminated</w:t>
            </w:r>
          </w:p>
        </w:tc>
        <w:tc>
          <w:tcPr>
            <w:tcW w:w="120" w:type="dxa"/>
            <w:vAlign w:val="bottom"/>
          </w:tcPr>
          <w:p>
            <w:pPr>
              <w:spacing w:after="0"/>
              <w:rPr>
                <w:sz w:val="24"/>
                <w:szCs w:val="24"/>
                <w:color w:val="auto"/>
              </w:rPr>
            </w:pPr>
          </w:p>
        </w:tc>
        <w:tc>
          <w:tcPr>
            <w:tcW w:w="1300" w:type="dxa"/>
            <w:vAlign w:val="bottom"/>
          </w:tcPr>
          <w:p>
            <w:pPr>
              <w:jc w:val="center"/>
              <w:ind w:right="133"/>
              <w:spacing w:after="0"/>
              <w:rPr>
                <w:sz w:val="20"/>
                <w:szCs w:val="20"/>
                <w:color w:val="auto"/>
              </w:rPr>
            </w:pPr>
            <w:r>
              <w:rPr>
                <w:rFonts w:ascii="Arial" w:cs="Arial" w:eastAsia="Arial" w:hAnsi="Arial"/>
                <w:sz w:val="18"/>
                <w:szCs w:val="18"/>
                <w:color w:val="auto"/>
                <w:w w:val="95"/>
              </w:rPr>
              <w:t>SA-35</w:t>
            </w:r>
          </w:p>
        </w:tc>
        <w:tc>
          <w:tcPr>
            <w:tcW w:w="0" w:type="dxa"/>
            <w:vAlign w:val="bottom"/>
          </w:tcPr>
          <w:p>
            <w:pPr>
              <w:spacing w:after="0"/>
              <w:rPr>
                <w:sz w:val="1"/>
                <w:szCs w:val="1"/>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18"/>
                <w:szCs w:val="18"/>
                <w:color w:val="auto"/>
              </w:rPr>
              <w:t>1-1.</w:t>
            </w:r>
          </w:p>
        </w:tc>
        <w:tc>
          <w:tcPr>
            <w:tcW w:w="8840" w:type="dxa"/>
            <w:vAlign w:val="bottom"/>
            <w:gridSpan w:val="5"/>
          </w:tcPr>
          <w:p>
            <w:pPr>
              <w:spacing w:after="0"/>
              <w:rPr>
                <w:sz w:val="20"/>
                <w:szCs w:val="20"/>
                <w:color w:val="auto"/>
              </w:rPr>
            </w:pPr>
            <w:r>
              <w:rPr>
                <w:rFonts w:ascii="Arial" w:cs="Arial" w:eastAsia="Arial" w:hAnsi="Arial"/>
                <w:sz w:val="18"/>
                <w:szCs w:val="18"/>
                <w:color w:val="auto"/>
              </w:rPr>
              <w:t>777-200IGW Aircraft Information Table: 1999 Deliveries</w:t>
            </w:r>
          </w:p>
        </w:tc>
        <w:tc>
          <w:tcPr>
            <w:tcW w:w="120" w:type="dxa"/>
            <w:vAlign w:val="bottom"/>
          </w:tcPr>
          <w:p>
            <w:pPr>
              <w:spacing w:after="0"/>
              <w:rPr>
                <w:sz w:val="24"/>
                <w:szCs w:val="24"/>
                <w:color w:val="auto"/>
              </w:rPr>
            </w:pPr>
          </w:p>
        </w:tc>
        <w:tc>
          <w:tcPr>
            <w:tcW w:w="1300" w:type="dxa"/>
            <w:vAlign w:val="bottom"/>
          </w:tcPr>
          <w:p>
            <w:pPr>
              <w:jc w:val="center"/>
              <w:ind w:right="113"/>
              <w:spacing w:after="0"/>
              <w:rPr>
                <w:sz w:val="20"/>
                <w:szCs w:val="20"/>
                <w:color w:val="auto"/>
              </w:rPr>
            </w:pPr>
            <w:r>
              <w:rPr>
                <w:rFonts w:ascii="Arial" w:cs="Arial" w:eastAsia="Arial" w:hAnsi="Arial"/>
                <w:sz w:val="18"/>
                <w:szCs w:val="18"/>
                <w:color w:val="auto"/>
                <w:w w:val="97"/>
              </w:rPr>
              <w:t>SA- l</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8840" w:type="dxa"/>
            <w:vAlign w:val="bottom"/>
            <w:gridSpan w:val="5"/>
          </w:tcPr>
          <w:p>
            <w:pPr>
              <w:ind w:left="180"/>
              <w:spacing w:after="0"/>
              <w:rPr>
                <w:sz w:val="20"/>
                <w:szCs w:val="20"/>
                <w:color w:val="auto"/>
              </w:rPr>
            </w:pPr>
            <w:r>
              <w:rPr>
                <w:rFonts w:ascii="Arial" w:cs="Arial" w:eastAsia="Arial" w:hAnsi="Arial"/>
                <w:sz w:val="18"/>
                <w:szCs w:val="18"/>
                <w:color w:val="auto"/>
              </w:rPr>
              <w:t>Jul. 1995 Airframe &amp; Engine Base Year</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18"/>
                <w:szCs w:val="18"/>
                <w:color w:val="auto"/>
              </w:rPr>
              <w:t>1-2.</w:t>
            </w:r>
          </w:p>
        </w:tc>
        <w:tc>
          <w:tcPr>
            <w:tcW w:w="8840" w:type="dxa"/>
            <w:vAlign w:val="bottom"/>
            <w:gridSpan w:val="5"/>
          </w:tcPr>
          <w:p>
            <w:pPr>
              <w:spacing w:after="0"/>
              <w:rPr>
                <w:sz w:val="20"/>
                <w:szCs w:val="20"/>
                <w:color w:val="auto"/>
              </w:rPr>
            </w:pPr>
            <w:r>
              <w:rPr>
                <w:rFonts w:ascii="Arial" w:cs="Arial" w:eastAsia="Arial" w:hAnsi="Arial"/>
                <w:sz w:val="18"/>
                <w:szCs w:val="18"/>
                <w:color w:val="auto"/>
              </w:rPr>
              <w:t>777-200IGW Aircraft Information Table: 2000-2001 Deliveries</w:t>
            </w:r>
          </w:p>
        </w:tc>
        <w:tc>
          <w:tcPr>
            <w:tcW w:w="120" w:type="dxa"/>
            <w:vAlign w:val="bottom"/>
          </w:tcPr>
          <w:p>
            <w:pPr>
              <w:spacing w:after="0"/>
              <w:rPr>
                <w:sz w:val="24"/>
                <w:szCs w:val="24"/>
                <w:color w:val="auto"/>
              </w:rPr>
            </w:pPr>
          </w:p>
        </w:tc>
        <w:tc>
          <w:tcPr>
            <w:tcW w:w="1300" w:type="dxa"/>
            <w:vAlign w:val="bottom"/>
          </w:tcPr>
          <w:p>
            <w:pPr>
              <w:jc w:val="center"/>
              <w:ind w:right="133"/>
              <w:spacing w:after="0"/>
              <w:rPr>
                <w:sz w:val="20"/>
                <w:szCs w:val="20"/>
                <w:color w:val="auto"/>
              </w:rPr>
            </w:pPr>
            <w:r>
              <w:rPr>
                <w:rFonts w:ascii="Arial" w:cs="Arial" w:eastAsia="Arial" w:hAnsi="Arial"/>
                <w:sz w:val="18"/>
                <w:szCs w:val="18"/>
                <w:color w:val="auto"/>
                <w:w w:val="97"/>
              </w:rPr>
              <w:t>SA-2 &amp; SA-6</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8840" w:type="dxa"/>
            <w:vAlign w:val="bottom"/>
            <w:gridSpan w:val="5"/>
          </w:tcPr>
          <w:p>
            <w:pPr>
              <w:ind w:left="180"/>
              <w:spacing w:after="0"/>
              <w:rPr>
                <w:sz w:val="20"/>
                <w:szCs w:val="20"/>
                <w:color w:val="auto"/>
              </w:rPr>
            </w:pPr>
            <w:r>
              <w:rPr>
                <w:rFonts w:ascii="Arial" w:cs="Arial" w:eastAsia="Arial" w:hAnsi="Arial"/>
                <w:sz w:val="18"/>
                <w:szCs w:val="18"/>
                <w:color w:val="auto"/>
              </w:rPr>
              <w:t>Jul. 1995 Airframe &amp; Engine Base Year</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18"/>
                <w:szCs w:val="18"/>
                <w:color w:val="auto"/>
              </w:rPr>
              <w:t>1-3.</w:t>
            </w:r>
          </w:p>
        </w:tc>
        <w:tc>
          <w:tcPr>
            <w:tcW w:w="8840" w:type="dxa"/>
            <w:vAlign w:val="bottom"/>
            <w:gridSpan w:val="5"/>
          </w:tcPr>
          <w:p>
            <w:pPr>
              <w:spacing w:after="0"/>
              <w:rPr>
                <w:sz w:val="20"/>
                <w:szCs w:val="20"/>
                <w:color w:val="auto"/>
              </w:rPr>
            </w:pPr>
            <w:r>
              <w:rPr>
                <w:rFonts w:ascii="Arial" w:cs="Arial" w:eastAsia="Arial" w:hAnsi="Arial"/>
                <w:sz w:val="18"/>
                <w:szCs w:val="18"/>
                <w:color w:val="auto"/>
              </w:rPr>
              <w:t>777-200IGW Aircraft Information Table: 2000-200 I Deliveries</w:t>
            </w:r>
          </w:p>
        </w:tc>
        <w:tc>
          <w:tcPr>
            <w:tcW w:w="1420" w:type="dxa"/>
            <w:vAlign w:val="bottom"/>
            <w:gridSpan w:val="2"/>
          </w:tcPr>
          <w:p>
            <w:pPr>
              <w:jc w:val="center"/>
              <w:ind w:right="13"/>
              <w:spacing w:after="0"/>
              <w:rPr>
                <w:sz w:val="20"/>
                <w:szCs w:val="20"/>
                <w:color w:val="auto"/>
              </w:rPr>
            </w:pPr>
            <w:r>
              <w:rPr>
                <w:rFonts w:ascii="Arial" w:cs="Arial" w:eastAsia="Arial" w:hAnsi="Arial"/>
                <w:sz w:val="18"/>
                <w:szCs w:val="18"/>
                <w:color w:val="auto"/>
                <w:w w:val="95"/>
              </w:rPr>
              <w:t>SA-4, SA-5, SA-</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840" w:type="dxa"/>
            <w:vAlign w:val="bottom"/>
            <w:gridSpan w:val="5"/>
          </w:tcPr>
          <w:p>
            <w:pPr>
              <w:ind w:left="180"/>
              <w:spacing w:after="0"/>
              <w:rPr>
                <w:sz w:val="20"/>
                <w:szCs w:val="20"/>
                <w:color w:val="auto"/>
              </w:rPr>
            </w:pPr>
            <w:r>
              <w:rPr>
                <w:rFonts w:ascii="Arial" w:cs="Arial" w:eastAsia="Arial" w:hAnsi="Arial"/>
                <w:sz w:val="18"/>
                <w:szCs w:val="18"/>
                <w:color w:val="auto"/>
              </w:rPr>
              <w:t>Jul. 1995 Airframe Base Year</w:t>
            </w:r>
          </w:p>
        </w:tc>
        <w:tc>
          <w:tcPr>
            <w:tcW w:w="1420" w:type="dxa"/>
            <w:vAlign w:val="bottom"/>
            <w:gridSpan w:val="2"/>
          </w:tcPr>
          <w:p>
            <w:pPr>
              <w:jc w:val="center"/>
              <w:ind w:right="13"/>
              <w:spacing w:after="0"/>
              <w:rPr>
                <w:sz w:val="20"/>
                <w:szCs w:val="20"/>
                <w:color w:val="auto"/>
              </w:rPr>
            </w:pPr>
            <w:r>
              <w:rPr>
                <w:rFonts w:ascii="Arial" w:cs="Arial" w:eastAsia="Arial" w:hAnsi="Arial"/>
                <w:sz w:val="18"/>
                <w:szCs w:val="18"/>
                <w:color w:val="auto"/>
                <w:w w:val="94"/>
              </w:rPr>
              <w:t>6, SA-7 &amp; SA-9</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8840" w:type="dxa"/>
            <w:vAlign w:val="bottom"/>
            <w:gridSpan w:val="5"/>
          </w:tcPr>
          <w:p>
            <w:pPr>
              <w:ind w:left="180"/>
              <w:spacing w:after="0"/>
              <w:rPr>
                <w:sz w:val="20"/>
                <w:szCs w:val="20"/>
                <w:color w:val="auto"/>
              </w:rPr>
            </w:pPr>
            <w:r>
              <w:rPr>
                <w:rFonts w:ascii="Arial" w:cs="Arial" w:eastAsia="Arial" w:hAnsi="Arial"/>
                <w:sz w:val="18"/>
                <w:szCs w:val="18"/>
                <w:color w:val="auto"/>
              </w:rPr>
              <w:t>Jul. 1997 Engine Base Year</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18"/>
                <w:szCs w:val="18"/>
                <w:color w:val="auto"/>
              </w:rPr>
              <w:t>1-4.</w:t>
            </w:r>
          </w:p>
        </w:tc>
        <w:tc>
          <w:tcPr>
            <w:tcW w:w="8840" w:type="dxa"/>
            <w:vAlign w:val="bottom"/>
            <w:gridSpan w:val="5"/>
          </w:tcPr>
          <w:p>
            <w:pPr>
              <w:spacing w:after="0"/>
              <w:rPr>
                <w:sz w:val="20"/>
                <w:szCs w:val="20"/>
                <w:color w:val="auto"/>
              </w:rPr>
            </w:pPr>
            <w:r>
              <w:rPr>
                <w:rFonts w:ascii="Arial" w:cs="Arial" w:eastAsia="Arial" w:hAnsi="Arial"/>
                <w:sz w:val="18"/>
                <w:szCs w:val="18"/>
                <w:color w:val="auto"/>
              </w:rPr>
              <w:t>777-200IGW Aircraft Information Table: 2000-200 I Deliveries</w:t>
            </w:r>
          </w:p>
        </w:tc>
        <w:tc>
          <w:tcPr>
            <w:tcW w:w="120" w:type="dxa"/>
            <w:vAlign w:val="bottom"/>
          </w:tcPr>
          <w:p>
            <w:pPr>
              <w:spacing w:after="0"/>
              <w:rPr>
                <w:sz w:val="24"/>
                <w:szCs w:val="24"/>
                <w:color w:val="auto"/>
              </w:rPr>
            </w:pPr>
          </w:p>
        </w:tc>
        <w:tc>
          <w:tcPr>
            <w:tcW w:w="1300" w:type="dxa"/>
            <w:vAlign w:val="bottom"/>
          </w:tcPr>
          <w:p>
            <w:pPr>
              <w:jc w:val="center"/>
              <w:ind w:right="133"/>
              <w:spacing w:after="0"/>
              <w:rPr>
                <w:sz w:val="20"/>
                <w:szCs w:val="20"/>
                <w:color w:val="auto"/>
              </w:rPr>
            </w:pPr>
            <w:r>
              <w:rPr>
                <w:rFonts w:ascii="Arial" w:cs="Arial" w:eastAsia="Arial" w:hAnsi="Arial"/>
                <w:sz w:val="18"/>
                <w:szCs w:val="18"/>
                <w:color w:val="auto"/>
                <w:w w:val="97"/>
              </w:rPr>
              <w:t>SA-5, SA-6 &amp;</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840" w:type="dxa"/>
            <w:vAlign w:val="bottom"/>
            <w:gridSpan w:val="5"/>
          </w:tcPr>
          <w:p>
            <w:pPr>
              <w:ind w:left="180"/>
              <w:spacing w:after="0"/>
              <w:rPr>
                <w:sz w:val="20"/>
                <w:szCs w:val="20"/>
                <w:color w:val="auto"/>
              </w:rPr>
            </w:pPr>
            <w:r>
              <w:rPr>
                <w:rFonts w:ascii="Arial" w:cs="Arial" w:eastAsia="Arial" w:hAnsi="Arial"/>
                <w:sz w:val="18"/>
                <w:szCs w:val="18"/>
                <w:color w:val="auto"/>
              </w:rPr>
              <w:t>Jul. 1995 Airframe Base Year</w:t>
            </w:r>
          </w:p>
        </w:tc>
        <w:tc>
          <w:tcPr>
            <w:tcW w:w="120" w:type="dxa"/>
            <w:vAlign w:val="bottom"/>
          </w:tcPr>
          <w:p>
            <w:pPr>
              <w:spacing w:after="0"/>
              <w:rPr>
                <w:sz w:val="18"/>
                <w:szCs w:val="18"/>
                <w:color w:val="auto"/>
              </w:rPr>
            </w:pPr>
          </w:p>
        </w:tc>
        <w:tc>
          <w:tcPr>
            <w:tcW w:w="1300" w:type="dxa"/>
            <w:vAlign w:val="bottom"/>
          </w:tcPr>
          <w:p>
            <w:pPr>
              <w:jc w:val="center"/>
              <w:ind w:right="113"/>
              <w:spacing w:after="0"/>
              <w:rPr>
                <w:sz w:val="20"/>
                <w:szCs w:val="20"/>
                <w:color w:val="auto"/>
              </w:rPr>
            </w:pPr>
            <w:r>
              <w:rPr>
                <w:rFonts w:ascii="Arial" w:cs="Arial" w:eastAsia="Arial" w:hAnsi="Arial"/>
                <w:sz w:val="18"/>
                <w:szCs w:val="18"/>
                <w:color w:val="auto"/>
                <w:w w:val="94"/>
              </w:rPr>
              <w:t>SA-9</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8840" w:type="dxa"/>
            <w:vAlign w:val="bottom"/>
            <w:gridSpan w:val="5"/>
          </w:tcPr>
          <w:p>
            <w:pPr>
              <w:ind w:left="180"/>
              <w:spacing w:after="0"/>
              <w:rPr>
                <w:sz w:val="20"/>
                <w:szCs w:val="20"/>
                <w:color w:val="auto"/>
              </w:rPr>
            </w:pPr>
            <w:r>
              <w:rPr>
                <w:rFonts w:ascii="Arial" w:cs="Arial" w:eastAsia="Arial" w:hAnsi="Arial"/>
                <w:sz w:val="18"/>
                <w:szCs w:val="18"/>
                <w:color w:val="auto"/>
              </w:rPr>
              <w:t>Jul. 1998 Engine Base Year</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18"/>
                <w:szCs w:val="18"/>
                <w:color w:val="auto"/>
              </w:rPr>
              <w:t>1 -5.</w:t>
            </w:r>
          </w:p>
        </w:tc>
        <w:tc>
          <w:tcPr>
            <w:tcW w:w="8840" w:type="dxa"/>
            <w:vAlign w:val="bottom"/>
            <w:gridSpan w:val="5"/>
          </w:tcPr>
          <w:p>
            <w:pPr>
              <w:spacing w:after="0"/>
              <w:rPr>
                <w:sz w:val="20"/>
                <w:szCs w:val="20"/>
                <w:color w:val="auto"/>
              </w:rPr>
            </w:pPr>
            <w:r>
              <w:rPr>
                <w:rFonts w:ascii="Arial" w:cs="Arial" w:eastAsia="Arial" w:hAnsi="Arial"/>
                <w:sz w:val="18"/>
                <w:szCs w:val="18"/>
                <w:color w:val="auto"/>
              </w:rPr>
              <w:t>777-223IGW Aircraft Information Table: 2001-2002 Deliveries</w:t>
            </w:r>
          </w:p>
        </w:tc>
        <w:tc>
          <w:tcPr>
            <w:tcW w:w="1420" w:type="dxa"/>
            <w:vAlign w:val="bottom"/>
            <w:gridSpan w:val="2"/>
          </w:tcPr>
          <w:p>
            <w:pPr>
              <w:jc w:val="center"/>
              <w:ind w:right="13"/>
              <w:spacing w:after="0"/>
              <w:rPr>
                <w:sz w:val="20"/>
                <w:szCs w:val="20"/>
                <w:color w:val="auto"/>
              </w:rPr>
            </w:pPr>
            <w:r>
              <w:rPr>
                <w:rFonts w:ascii="Arial" w:cs="Arial" w:eastAsia="Arial" w:hAnsi="Arial"/>
                <w:sz w:val="18"/>
                <w:szCs w:val="18"/>
                <w:color w:val="auto"/>
                <w:w w:val="93"/>
              </w:rPr>
              <w:t>SA-10, SA-11 ,</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840" w:type="dxa"/>
            <w:vAlign w:val="bottom"/>
            <w:gridSpan w:val="5"/>
          </w:tcPr>
          <w:p>
            <w:pPr>
              <w:ind w:left="180"/>
              <w:spacing w:after="0"/>
              <w:rPr>
                <w:sz w:val="20"/>
                <w:szCs w:val="20"/>
                <w:color w:val="auto"/>
              </w:rPr>
            </w:pPr>
            <w:r>
              <w:rPr>
                <w:rFonts w:ascii="Arial" w:cs="Arial" w:eastAsia="Arial" w:hAnsi="Arial"/>
                <w:sz w:val="18"/>
                <w:szCs w:val="18"/>
                <w:color w:val="auto"/>
              </w:rPr>
              <w:t>Jul. 1995 Airframe Base Year</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99"/>
              </w:rPr>
              <w:t>SA-12 &amp; SA-1 5</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8840" w:type="dxa"/>
            <w:vAlign w:val="bottom"/>
            <w:gridSpan w:val="5"/>
          </w:tcPr>
          <w:p>
            <w:pPr>
              <w:ind w:left="180"/>
              <w:spacing w:after="0"/>
              <w:rPr>
                <w:sz w:val="20"/>
                <w:szCs w:val="20"/>
                <w:color w:val="auto"/>
              </w:rPr>
            </w:pPr>
            <w:r>
              <w:rPr>
                <w:rFonts w:ascii="Arial" w:cs="Arial" w:eastAsia="Arial" w:hAnsi="Arial"/>
                <w:sz w:val="18"/>
                <w:szCs w:val="18"/>
                <w:color w:val="auto"/>
              </w:rPr>
              <w:t>Jul. 1999 Engine Base Year</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18"/>
                <w:szCs w:val="18"/>
                <w:color w:val="auto"/>
              </w:rPr>
              <w:t>l -6.</w:t>
            </w:r>
          </w:p>
        </w:tc>
        <w:tc>
          <w:tcPr>
            <w:tcW w:w="8840" w:type="dxa"/>
            <w:vAlign w:val="bottom"/>
            <w:gridSpan w:val="5"/>
          </w:tcPr>
          <w:p>
            <w:pPr>
              <w:spacing w:after="0"/>
              <w:rPr>
                <w:sz w:val="20"/>
                <w:szCs w:val="20"/>
                <w:color w:val="auto"/>
              </w:rPr>
            </w:pPr>
            <w:r>
              <w:rPr>
                <w:rFonts w:ascii="Arial" w:cs="Arial" w:eastAsia="Arial" w:hAnsi="Arial"/>
                <w:sz w:val="18"/>
                <w:szCs w:val="18"/>
                <w:color w:val="auto"/>
              </w:rPr>
              <w:t>777-200IGW Aircraft Information Table: 2003 Deliveries</w:t>
            </w:r>
          </w:p>
        </w:tc>
        <w:tc>
          <w:tcPr>
            <w:tcW w:w="120" w:type="dxa"/>
            <w:vAlign w:val="bottom"/>
          </w:tcPr>
          <w:p>
            <w:pPr>
              <w:spacing w:after="0"/>
              <w:rPr>
                <w:sz w:val="24"/>
                <w:szCs w:val="24"/>
                <w:color w:val="auto"/>
              </w:rPr>
            </w:pPr>
          </w:p>
        </w:tc>
        <w:tc>
          <w:tcPr>
            <w:tcW w:w="1300" w:type="dxa"/>
            <w:vAlign w:val="bottom"/>
          </w:tcPr>
          <w:p>
            <w:pPr>
              <w:jc w:val="center"/>
              <w:ind w:right="133"/>
              <w:spacing w:after="0"/>
              <w:rPr>
                <w:sz w:val="20"/>
                <w:szCs w:val="20"/>
                <w:color w:val="auto"/>
              </w:rPr>
            </w:pPr>
            <w:r>
              <w:rPr>
                <w:rFonts w:ascii="Arial" w:cs="Arial" w:eastAsia="Arial" w:hAnsi="Arial"/>
                <w:sz w:val="18"/>
                <w:szCs w:val="18"/>
                <w:color w:val="auto"/>
                <w:w w:val="95"/>
              </w:rPr>
              <w:t>SA-13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840" w:type="dxa"/>
            <w:vAlign w:val="bottom"/>
            <w:gridSpan w:val="5"/>
          </w:tcPr>
          <w:p>
            <w:pPr>
              <w:ind w:left="180"/>
              <w:spacing w:after="0"/>
              <w:rPr>
                <w:sz w:val="20"/>
                <w:szCs w:val="20"/>
                <w:color w:val="auto"/>
              </w:rPr>
            </w:pPr>
            <w:r>
              <w:rPr>
                <w:rFonts w:ascii="Arial" w:cs="Arial" w:eastAsia="Arial" w:hAnsi="Arial"/>
                <w:sz w:val="18"/>
                <w:szCs w:val="18"/>
                <w:color w:val="auto"/>
              </w:rPr>
              <w:t>Jul. 1995 Airframe Base Year</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8840" w:type="dxa"/>
            <w:vAlign w:val="bottom"/>
            <w:gridSpan w:val="5"/>
          </w:tcPr>
          <w:p>
            <w:pPr>
              <w:ind w:left="180"/>
              <w:spacing w:after="0"/>
              <w:rPr>
                <w:sz w:val="20"/>
                <w:szCs w:val="20"/>
                <w:color w:val="auto"/>
              </w:rPr>
            </w:pPr>
            <w:r>
              <w:rPr>
                <w:rFonts w:ascii="Arial" w:cs="Arial" w:eastAsia="Arial" w:hAnsi="Arial"/>
                <w:sz w:val="18"/>
                <w:szCs w:val="18"/>
                <w:color w:val="auto"/>
              </w:rPr>
              <w:t>Jul. 1995 Engine Base Year</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18"/>
                <w:szCs w:val="18"/>
                <w:color w:val="auto"/>
              </w:rPr>
              <w:t>l -7.</w:t>
            </w:r>
          </w:p>
        </w:tc>
        <w:tc>
          <w:tcPr>
            <w:tcW w:w="8840" w:type="dxa"/>
            <w:vAlign w:val="bottom"/>
            <w:gridSpan w:val="5"/>
          </w:tcPr>
          <w:p>
            <w:pPr>
              <w:spacing w:after="0"/>
              <w:rPr>
                <w:sz w:val="20"/>
                <w:szCs w:val="20"/>
                <w:color w:val="auto"/>
              </w:rPr>
            </w:pPr>
            <w:r>
              <w:rPr>
                <w:rFonts w:ascii="Arial" w:cs="Arial" w:eastAsia="Arial" w:hAnsi="Arial"/>
                <w:sz w:val="18"/>
                <w:szCs w:val="18"/>
                <w:color w:val="auto"/>
              </w:rPr>
              <w:t>777-323ER Aircraft Delivery, Description, Price and Advance Payments</w:t>
            </w:r>
          </w:p>
        </w:tc>
        <w:tc>
          <w:tcPr>
            <w:tcW w:w="120" w:type="dxa"/>
            <w:vAlign w:val="bottom"/>
          </w:tcPr>
          <w:p>
            <w:pPr>
              <w:spacing w:after="0"/>
              <w:rPr>
                <w:sz w:val="24"/>
                <w:szCs w:val="24"/>
                <w:color w:val="auto"/>
              </w:rPr>
            </w:pPr>
          </w:p>
        </w:tc>
        <w:tc>
          <w:tcPr>
            <w:tcW w:w="1300" w:type="dxa"/>
            <w:vAlign w:val="bottom"/>
          </w:tcPr>
          <w:p>
            <w:pPr>
              <w:jc w:val="center"/>
              <w:ind w:right="133"/>
              <w:spacing w:after="0"/>
              <w:rPr>
                <w:sz w:val="20"/>
                <w:szCs w:val="20"/>
                <w:color w:val="auto"/>
              </w:rPr>
            </w:pPr>
            <w:r>
              <w:rPr>
                <w:rFonts w:ascii="Arial" w:cs="Arial" w:eastAsia="Arial" w:hAnsi="Arial"/>
                <w:sz w:val="18"/>
                <w:szCs w:val="18"/>
                <w:color w:val="auto"/>
                <w:w w:val="93"/>
              </w:rPr>
              <w:t>SA-25, SA-26,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840" w:type="dxa"/>
            <w:vAlign w:val="bottom"/>
            <w:gridSpan w:val="5"/>
          </w:tcPr>
          <w:p>
            <w:pPr>
              <w:ind w:left="180"/>
              <w:spacing w:after="0"/>
              <w:rPr>
                <w:sz w:val="20"/>
                <w:szCs w:val="20"/>
                <w:color w:val="auto"/>
              </w:rPr>
            </w:pPr>
            <w:r>
              <w:rPr>
                <w:rFonts w:ascii="Arial" w:cs="Arial" w:eastAsia="Arial" w:hAnsi="Arial"/>
                <w:sz w:val="18"/>
                <w:szCs w:val="18"/>
                <w:color w:val="auto"/>
              </w:rPr>
              <w:t>(November 2012—July 2013 Deliveries)</w:t>
            </w:r>
          </w:p>
        </w:tc>
        <w:tc>
          <w:tcPr>
            <w:tcW w:w="120" w:type="dxa"/>
            <w:vAlign w:val="bottom"/>
          </w:tcPr>
          <w:p>
            <w:pPr>
              <w:spacing w:after="0"/>
              <w:rPr>
                <w:sz w:val="18"/>
                <w:szCs w:val="18"/>
                <w:color w:val="auto"/>
              </w:rPr>
            </w:pPr>
          </w:p>
        </w:tc>
        <w:tc>
          <w:tcPr>
            <w:tcW w:w="1300" w:type="dxa"/>
            <w:vAlign w:val="bottom"/>
          </w:tcPr>
          <w:p>
            <w:pPr>
              <w:jc w:val="center"/>
              <w:ind w:right="133"/>
              <w:spacing w:after="0"/>
              <w:rPr>
                <w:sz w:val="20"/>
                <w:szCs w:val="20"/>
                <w:color w:val="auto"/>
              </w:rPr>
            </w:pPr>
            <w:r>
              <w:rPr>
                <w:rFonts w:ascii="Arial" w:cs="Arial" w:eastAsia="Arial" w:hAnsi="Arial"/>
                <w:sz w:val="18"/>
                <w:szCs w:val="18"/>
                <w:color w:val="auto"/>
                <w:w w:val="94"/>
              </w:rPr>
              <w:t>SA-28, SA-31</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8840" w:type="dxa"/>
            <w:vAlign w:val="bottom"/>
            <w:gridSpan w:val="5"/>
          </w:tcPr>
          <w:p>
            <w:pPr>
              <w:ind w:left="180"/>
              <w:spacing w:after="0"/>
              <w:rPr>
                <w:sz w:val="20"/>
                <w:szCs w:val="20"/>
                <w:color w:val="auto"/>
              </w:rPr>
            </w:pPr>
            <w:r>
              <w:rPr>
                <w:rFonts w:ascii="Arial" w:cs="Arial" w:eastAsia="Arial" w:hAnsi="Arial"/>
                <w:sz w:val="18"/>
                <w:szCs w:val="18"/>
                <w:color w:val="auto"/>
              </w:rPr>
              <w:t>Jul. [*CTR] Airframe Base Year</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60" w:type="dxa"/>
            <w:vAlign w:val="bottom"/>
          </w:tcPr>
          <w:p>
            <w:pPr>
              <w:spacing w:after="0"/>
              <w:rPr>
                <w:sz w:val="20"/>
                <w:szCs w:val="20"/>
                <w:color w:val="auto"/>
              </w:rPr>
            </w:pPr>
            <w:r>
              <w:rPr>
                <w:rFonts w:ascii="Arial" w:cs="Arial" w:eastAsia="Arial" w:hAnsi="Arial"/>
                <w:sz w:val="18"/>
                <w:szCs w:val="18"/>
                <w:color w:val="auto"/>
              </w:rPr>
              <w:t>1 -8.</w:t>
            </w:r>
          </w:p>
        </w:tc>
        <w:tc>
          <w:tcPr>
            <w:tcW w:w="8840" w:type="dxa"/>
            <w:vAlign w:val="bottom"/>
            <w:gridSpan w:val="5"/>
          </w:tcPr>
          <w:p>
            <w:pPr>
              <w:spacing w:after="0"/>
              <w:rPr>
                <w:sz w:val="20"/>
                <w:szCs w:val="20"/>
                <w:color w:val="auto"/>
              </w:rPr>
            </w:pPr>
            <w:r>
              <w:rPr>
                <w:rFonts w:ascii="Arial" w:cs="Arial" w:eastAsia="Arial" w:hAnsi="Arial"/>
                <w:sz w:val="18"/>
                <w:szCs w:val="18"/>
                <w:color w:val="auto"/>
              </w:rPr>
              <w:t>777-323ER Aircraft Delivery, Description, Price and Advance</w:t>
            </w:r>
          </w:p>
        </w:tc>
        <w:tc>
          <w:tcPr>
            <w:tcW w:w="120" w:type="dxa"/>
            <w:vAlign w:val="bottom"/>
          </w:tcPr>
          <w:p>
            <w:pPr>
              <w:spacing w:after="0"/>
              <w:rPr>
                <w:sz w:val="24"/>
                <w:szCs w:val="24"/>
                <w:color w:val="auto"/>
              </w:rPr>
            </w:pPr>
          </w:p>
        </w:tc>
        <w:tc>
          <w:tcPr>
            <w:tcW w:w="1300" w:type="dxa"/>
            <w:vAlign w:val="bottom"/>
          </w:tcPr>
          <w:p>
            <w:pPr>
              <w:jc w:val="center"/>
              <w:ind w:right="133"/>
              <w:spacing w:after="0"/>
              <w:rPr>
                <w:sz w:val="20"/>
                <w:szCs w:val="20"/>
                <w:color w:val="auto"/>
              </w:rPr>
            </w:pPr>
            <w:r>
              <w:rPr>
                <w:rFonts w:ascii="Arial" w:cs="Arial" w:eastAsia="Arial" w:hAnsi="Arial"/>
                <w:sz w:val="18"/>
                <w:szCs w:val="18"/>
                <w:color w:val="auto"/>
                <w:w w:val="95"/>
              </w:rPr>
              <w:t>SA-36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840" w:type="dxa"/>
            <w:vAlign w:val="bottom"/>
            <w:gridSpan w:val="5"/>
          </w:tcPr>
          <w:p>
            <w:pPr>
              <w:ind w:left="180"/>
              <w:spacing w:after="0"/>
              <w:rPr>
                <w:sz w:val="20"/>
                <w:szCs w:val="20"/>
                <w:color w:val="auto"/>
              </w:rPr>
            </w:pPr>
            <w:r>
              <w:rPr>
                <w:rFonts w:ascii="Arial" w:cs="Arial" w:eastAsia="Arial" w:hAnsi="Arial"/>
                <w:sz w:val="18"/>
                <w:szCs w:val="18"/>
                <w:color w:val="auto"/>
              </w:rPr>
              <w:t>Payments (December [*CTR] and [*CTR] Deliveries)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8840" w:type="dxa"/>
            <w:vAlign w:val="bottom"/>
            <w:gridSpan w:val="5"/>
          </w:tcPr>
          <w:p>
            <w:pPr>
              <w:ind w:left="180"/>
              <w:spacing w:after="0"/>
              <w:rPr>
                <w:sz w:val="20"/>
                <w:szCs w:val="20"/>
                <w:color w:val="auto"/>
              </w:rPr>
            </w:pPr>
            <w:r>
              <w:rPr>
                <w:rFonts w:ascii="Arial" w:cs="Arial" w:eastAsia="Arial" w:hAnsi="Arial"/>
                <w:sz w:val="18"/>
                <w:szCs w:val="18"/>
                <w:color w:val="auto"/>
              </w:rPr>
              <w:t>Jul. [*CTR] Airframe Base Year</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160" w:type="dxa"/>
            <w:vAlign w:val="bottom"/>
          </w:tcPr>
          <w:p>
            <w:pPr>
              <w:spacing w:after="0"/>
              <w:rPr>
                <w:sz w:val="20"/>
                <w:szCs w:val="20"/>
                <w:color w:val="auto"/>
              </w:rPr>
            </w:pPr>
            <w:r>
              <w:rPr>
                <w:rFonts w:ascii="Arial" w:cs="Arial" w:eastAsia="Arial" w:hAnsi="Arial"/>
                <w:sz w:val="18"/>
                <w:szCs w:val="18"/>
                <w:color w:val="auto"/>
              </w:rPr>
              <w:t>PA No. 1980</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320" w:type="dxa"/>
            <w:vAlign w:val="bottom"/>
          </w:tcPr>
          <w:p>
            <w:pPr>
              <w:ind w:left="1280"/>
              <w:spacing w:after="0"/>
              <w:rPr>
                <w:sz w:val="20"/>
                <w:szCs w:val="20"/>
                <w:color w:val="auto"/>
              </w:rPr>
            </w:pPr>
            <w:r>
              <w:rPr>
                <w:rFonts w:ascii="Arial" w:cs="Arial" w:eastAsia="Arial" w:hAnsi="Arial"/>
                <w:sz w:val="18"/>
                <w:szCs w:val="18"/>
                <w:color w:val="auto"/>
              </w:rPr>
              <w:t>Table of Contents Page i</w:t>
            </w: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SA 36</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320" w:type="dxa"/>
            <w:vAlign w:val="bottom"/>
          </w:tcPr>
          <w:p>
            <w:pPr>
              <w:ind w:left="1300"/>
              <w:spacing w:after="0"/>
              <w:rPr>
                <w:sz w:val="20"/>
                <w:szCs w:val="20"/>
                <w:color w:val="auto"/>
              </w:rPr>
            </w:pPr>
            <w:r>
              <w:rPr>
                <w:rFonts w:ascii="Arial" w:cs="Arial" w:eastAsia="Arial" w:hAnsi="Arial"/>
                <w:sz w:val="18"/>
                <w:szCs w:val="18"/>
                <w:b w:val="1"/>
                <w:bCs w:val="1"/>
                <w:color w:val="auto"/>
              </w:rPr>
              <w:t>Boeing Proprietary</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-4493260</wp:posOffset>
            </wp:positionV>
            <wp:extent cx="285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-4493260</wp:posOffset>
            </wp:positionV>
            <wp:extent cx="285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 continued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20"/>
                <w:szCs w:val="20"/>
                <w:color w:val="auto"/>
              </w:rPr>
            </w:pPr>
            <w:r>
              <w:rPr>
                <w:rFonts w:ascii="Arial" w:cs="Arial" w:eastAsia="Arial" w:hAnsi="Arial"/>
                <w:sz w:val="14"/>
                <w:szCs w:val="14"/>
                <w:color w:val="auto"/>
              </w:rPr>
              <w:t>TABLE</w:t>
            </w:r>
          </w:p>
        </w:tc>
        <w:tc>
          <w:tcPr>
            <w:tcW w:w="104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3520" w:type="dxa"/>
            <w:vAlign w:val="bottom"/>
          </w:tcPr>
          <w:p>
            <w:pPr>
              <w:jc w:val="center"/>
              <w:ind w:left="2219"/>
              <w:spacing w:after="0"/>
              <w:rPr>
                <w:sz w:val="20"/>
                <w:szCs w:val="20"/>
                <w:color w:val="auto"/>
              </w:rPr>
            </w:pPr>
            <w:r>
              <w:rPr>
                <w:rFonts w:ascii="Arial" w:cs="Arial" w:eastAsia="Arial" w:hAnsi="Arial"/>
                <w:sz w:val="14"/>
                <w:szCs w:val="14"/>
                <w:color w:val="auto"/>
                <w:w w:val="98"/>
              </w:rPr>
              <w:t>SA NUMBER</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2.</w:t>
            </w:r>
          </w:p>
        </w:tc>
        <w:tc>
          <w:tcPr>
            <w:tcW w:w="7080" w:type="dxa"/>
            <w:vAlign w:val="bottom"/>
            <w:gridSpan w:val="2"/>
          </w:tcPr>
          <w:p>
            <w:pPr>
              <w:ind w:left="180"/>
              <w:spacing w:after="0"/>
              <w:rPr>
                <w:sz w:val="20"/>
                <w:szCs w:val="20"/>
                <w:color w:val="auto"/>
              </w:rPr>
            </w:pPr>
            <w:r>
              <w:rPr>
                <w:rFonts w:ascii="Arial" w:cs="Arial" w:eastAsia="Arial" w:hAnsi="Arial"/>
                <w:sz w:val="18"/>
                <w:szCs w:val="18"/>
                <w:color w:val="auto"/>
              </w:rPr>
              <w:t>777-223IGW Aircraft Information Table: 2009-2010 Deliveries</w:t>
            </w:r>
          </w:p>
        </w:tc>
        <w:tc>
          <w:tcPr>
            <w:tcW w:w="3520" w:type="dxa"/>
            <w:vAlign w:val="bottom"/>
          </w:tcPr>
          <w:p>
            <w:pPr>
              <w:jc w:val="center"/>
              <w:ind w:left="2219"/>
              <w:spacing w:after="0"/>
              <w:rPr>
                <w:sz w:val="20"/>
                <w:szCs w:val="20"/>
                <w:color w:val="auto"/>
              </w:rPr>
            </w:pPr>
            <w:r>
              <w:rPr>
                <w:rFonts w:ascii="Arial" w:cs="Arial" w:eastAsia="Arial" w:hAnsi="Arial"/>
                <w:sz w:val="18"/>
                <w:szCs w:val="18"/>
                <w:color w:val="auto"/>
                <w:w w:val="95"/>
              </w:rPr>
              <w:t>SA-15 &amp; SA-1 6</w:t>
            </w:r>
          </w:p>
        </w:tc>
      </w:tr>
      <w:tr>
        <w:trPr>
          <w:trHeight w:val="216"/>
        </w:trPr>
        <w:tc>
          <w:tcPr>
            <w:tcW w:w="740" w:type="dxa"/>
            <w:vAlign w:val="bottom"/>
          </w:tcPr>
          <w:p>
            <w:pPr>
              <w:spacing w:after="0"/>
              <w:rPr>
                <w:sz w:val="18"/>
                <w:szCs w:val="18"/>
                <w:color w:val="auto"/>
              </w:rPr>
            </w:pPr>
          </w:p>
        </w:tc>
        <w:tc>
          <w:tcPr>
            <w:tcW w:w="1040" w:type="dxa"/>
            <w:vAlign w:val="bottom"/>
          </w:tcPr>
          <w:p>
            <w:pPr>
              <w:ind w:left="360"/>
              <w:spacing w:after="0"/>
              <w:rPr>
                <w:sz w:val="20"/>
                <w:szCs w:val="20"/>
                <w:color w:val="auto"/>
              </w:rPr>
            </w:pPr>
            <w:r>
              <w:rPr>
                <w:rFonts w:ascii="Arial" w:cs="Arial" w:eastAsia="Arial" w:hAnsi="Arial"/>
                <w:sz w:val="18"/>
                <w:szCs w:val="18"/>
                <w:color w:val="auto"/>
                <w:w w:val="90"/>
              </w:rPr>
              <w:t>Jul. 1995</w:t>
            </w:r>
          </w:p>
        </w:tc>
        <w:tc>
          <w:tcPr>
            <w:tcW w:w="6040" w:type="dxa"/>
            <w:vAlign w:val="bottom"/>
          </w:tcPr>
          <w:p>
            <w:pPr>
              <w:ind w:left="20"/>
              <w:spacing w:after="0"/>
              <w:rPr>
                <w:sz w:val="20"/>
                <w:szCs w:val="20"/>
                <w:color w:val="auto"/>
              </w:rPr>
            </w:pPr>
            <w:r>
              <w:rPr>
                <w:rFonts w:ascii="Arial" w:cs="Arial" w:eastAsia="Arial" w:hAnsi="Arial"/>
                <w:sz w:val="18"/>
                <w:szCs w:val="18"/>
                <w:color w:val="auto"/>
              </w:rPr>
              <w:t>Airframe Base Year</w:t>
            </w:r>
          </w:p>
        </w:tc>
        <w:tc>
          <w:tcPr>
            <w:tcW w:w="3520" w:type="dxa"/>
            <w:vAlign w:val="bottom"/>
          </w:tcPr>
          <w:p>
            <w:pPr>
              <w:spacing w:after="0"/>
              <w:rPr>
                <w:sz w:val="18"/>
                <w:szCs w:val="18"/>
                <w:color w:val="auto"/>
              </w:rPr>
            </w:pPr>
          </w:p>
        </w:tc>
      </w:tr>
      <w:tr>
        <w:trPr>
          <w:trHeight w:val="230"/>
        </w:trPr>
        <w:tc>
          <w:tcPr>
            <w:tcW w:w="740" w:type="dxa"/>
            <w:vAlign w:val="bottom"/>
          </w:tcPr>
          <w:p>
            <w:pPr>
              <w:spacing w:after="0"/>
              <w:rPr>
                <w:sz w:val="20"/>
                <w:szCs w:val="20"/>
                <w:color w:val="auto"/>
              </w:rPr>
            </w:pPr>
          </w:p>
        </w:tc>
        <w:tc>
          <w:tcPr>
            <w:tcW w:w="1040" w:type="dxa"/>
            <w:vAlign w:val="bottom"/>
          </w:tcPr>
          <w:p>
            <w:pPr>
              <w:ind w:left="360"/>
              <w:spacing w:after="0"/>
              <w:rPr>
                <w:sz w:val="20"/>
                <w:szCs w:val="20"/>
                <w:color w:val="auto"/>
              </w:rPr>
            </w:pPr>
            <w:r>
              <w:rPr>
                <w:rFonts w:ascii="Arial" w:cs="Arial" w:eastAsia="Arial" w:hAnsi="Arial"/>
                <w:sz w:val="18"/>
                <w:szCs w:val="18"/>
                <w:color w:val="auto"/>
                <w:w w:val="90"/>
              </w:rPr>
              <w:t>Jul. 2001</w:t>
            </w:r>
          </w:p>
        </w:tc>
        <w:tc>
          <w:tcPr>
            <w:tcW w:w="6040" w:type="dxa"/>
            <w:vAlign w:val="bottom"/>
          </w:tcPr>
          <w:p>
            <w:pPr>
              <w:ind w:left="20"/>
              <w:spacing w:after="0"/>
              <w:rPr>
                <w:sz w:val="20"/>
                <w:szCs w:val="20"/>
                <w:color w:val="auto"/>
              </w:rPr>
            </w:pPr>
            <w:r>
              <w:rPr>
                <w:rFonts w:ascii="Arial" w:cs="Arial" w:eastAsia="Arial" w:hAnsi="Arial"/>
                <w:sz w:val="18"/>
                <w:szCs w:val="18"/>
                <w:color w:val="auto"/>
              </w:rPr>
              <w:t>Engine Base Year</w:t>
            </w:r>
          </w:p>
        </w:tc>
        <w:tc>
          <w:tcPr>
            <w:tcW w:w="3520" w:type="dxa"/>
            <w:vAlign w:val="bottom"/>
          </w:tcPr>
          <w:p>
            <w:pPr>
              <w:spacing w:after="0"/>
              <w:rPr>
                <w:sz w:val="20"/>
                <w:szCs w:val="20"/>
                <w:color w:val="auto"/>
              </w:rPr>
            </w:pPr>
          </w:p>
        </w:tc>
      </w:tr>
      <w:tr>
        <w:trPr>
          <w:trHeight w:val="310"/>
        </w:trPr>
        <w:tc>
          <w:tcPr>
            <w:tcW w:w="740" w:type="dxa"/>
            <w:vAlign w:val="bottom"/>
          </w:tcPr>
          <w:p>
            <w:pPr>
              <w:spacing w:after="0"/>
              <w:rPr>
                <w:sz w:val="20"/>
                <w:szCs w:val="20"/>
                <w:color w:val="auto"/>
              </w:rPr>
            </w:pPr>
            <w:r>
              <w:rPr>
                <w:rFonts w:ascii="Arial" w:cs="Arial" w:eastAsia="Arial" w:hAnsi="Arial"/>
                <w:sz w:val="18"/>
                <w:szCs w:val="18"/>
                <w:color w:val="auto"/>
              </w:rPr>
              <w:t>3.</w:t>
            </w:r>
          </w:p>
        </w:tc>
        <w:tc>
          <w:tcPr>
            <w:tcW w:w="7080" w:type="dxa"/>
            <w:vAlign w:val="bottom"/>
            <w:gridSpan w:val="2"/>
          </w:tcPr>
          <w:p>
            <w:pPr>
              <w:ind w:left="180"/>
              <w:spacing w:after="0"/>
              <w:rPr>
                <w:sz w:val="20"/>
                <w:szCs w:val="20"/>
                <w:color w:val="auto"/>
              </w:rPr>
            </w:pPr>
            <w:r>
              <w:rPr>
                <w:rFonts w:ascii="Arial" w:cs="Arial" w:eastAsia="Arial" w:hAnsi="Arial"/>
                <w:sz w:val="18"/>
                <w:szCs w:val="18"/>
                <w:color w:val="auto"/>
              </w:rPr>
              <w:t>777-2231GW Aircraft Information Table: 2006-2010 Deliveries</w:t>
            </w:r>
          </w:p>
        </w:tc>
        <w:tc>
          <w:tcPr>
            <w:tcW w:w="3520" w:type="dxa"/>
            <w:vAlign w:val="bottom"/>
          </w:tcPr>
          <w:p>
            <w:pPr>
              <w:jc w:val="center"/>
              <w:ind w:left="2199"/>
              <w:spacing w:after="0"/>
              <w:rPr>
                <w:sz w:val="20"/>
                <w:szCs w:val="20"/>
                <w:color w:val="auto"/>
              </w:rPr>
            </w:pPr>
            <w:r>
              <w:rPr>
                <w:rFonts w:ascii="Arial" w:cs="Arial" w:eastAsia="Arial" w:hAnsi="Arial"/>
                <w:sz w:val="18"/>
                <w:szCs w:val="18"/>
                <w:color w:val="auto"/>
                <w:w w:val="94"/>
              </w:rPr>
              <w:t>SA-15 &amp; SA-16</w:t>
            </w:r>
          </w:p>
        </w:tc>
      </w:tr>
      <w:tr>
        <w:trPr>
          <w:trHeight w:val="216"/>
        </w:trPr>
        <w:tc>
          <w:tcPr>
            <w:tcW w:w="740" w:type="dxa"/>
            <w:vAlign w:val="bottom"/>
          </w:tcPr>
          <w:p>
            <w:pPr>
              <w:spacing w:after="0"/>
              <w:rPr>
                <w:sz w:val="18"/>
                <w:szCs w:val="18"/>
                <w:color w:val="auto"/>
              </w:rPr>
            </w:pPr>
          </w:p>
        </w:tc>
        <w:tc>
          <w:tcPr>
            <w:tcW w:w="1040" w:type="dxa"/>
            <w:vAlign w:val="bottom"/>
          </w:tcPr>
          <w:p>
            <w:pPr>
              <w:ind w:left="360"/>
              <w:spacing w:after="0"/>
              <w:rPr>
                <w:sz w:val="20"/>
                <w:szCs w:val="20"/>
                <w:color w:val="auto"/>
              </w:rPr>
            </w:pPr>
            <w:r>
              <w:rPr>
                <w:rFonts w:ascii="Arial" w:cs="Arial" w:eastAsia="Arial" w:hAnsi="Arial"/>
                <w:sz w:val="18"/>
                <w:szCs w:val="18"/>
                <w:color w:val="auto"/>
                <w:w w:val="90"/>
              </w:rPr>
              <w:t>Jul. 1995</w:t>
            </w:r>
          </w:p>
        </w:tc>
        <w:tc>
          <w:tcPr>
            <w:tcW w:w="6040" w:type="dxa"/>
            <w:vAlign w:val="bottom"/>
          </w:tcPr>
          <w:p>
            <w:pPr>
              <w:ind w:left="20"/>
              <w:spacing w:after="0"/>
              <w:rPr>
                <w:sz w:val="20"/>
                <w:szCs w:val="20"/>
                <w:color w:val="auto"/>
              </w:rPr>
            </w:pPr>
            <w:r>
              <w:rPr>
                <w:rFonts w:ascii="Arial" w:cs="Arial" w:eastAsia="Arial" w:hAnsi="Arial"/>
                <w:sz w:val="18"/>
                <w:szCs w:val="18"/>
                <w:color w:val="auto"/>
              </w:rPr>
              <w:t>Airframe Base Year [*CTR]</w:t>
            </w:r>
          </w:p>
        </w:tc>
        <w:tc>
          <w:tcPr>
            <w:tcW w:w="3520" w:type="dxa"/>
            <w:vAlign w:val="bottom"/>
          </w:tcPr>
          <w:p>
            <w:pPr>
              <w:spacing w:after="0"/>
              <w:rPr>
                <w:sz w:val="18"/>
                <w:szCs w:val="18"/>
                <w:color w:val="auto"/>
              </w:rPr>
            </w:pPr>
          </w:p>
        </w:tc>
      </w:tr>
      <w:tr>
        <w:trPr>
          <w:trHeight w:val="230"/>
        </w:trPr>
        <w:tc>
          <w:tcPr>
            <w:tcW w:w="740" w:type="dxa"/>
            <w:vAlign w:val="bottom"/>
          </w:tcPr>
          <w:p>
            <w:pPr>
              <w:spacing w:after="0"/>
              <w:rPr>
                <w:sz w:val="20"/>
                <w:szCs w:val="20"/>
                <w:color w:val="auto"/>
              </w:rPr>
            </w:pPr>
          </w:p>
        </w:tc>
        <w:tc>
          <w:tcPr>
            <w:tcW w:w="1040" w:type="dxa"/>
            <w:vAlign w:val="bottom"/>
          </w:tcPr>
          <w:p>
            <w:pPr>
              <w:ind w:left="360"/>
              <w:spacing w:after="0"/>
              <w:rPr>
                <w:sz w:val="20"/>
                <w:szCs w:val="20"/>
                <w:color w:val="auto"/>
              </w:rPr>
            </w:pPr>
            <w:r>
              <w:rPr>
                <w:rFonts w:ascii="Arial" w:cs="Arial" w:eastAsia="Arial" w:hAnsi="Arial"/>
                <w:sz w:val="18"/>
                <w:szCs w:val="18"/>
                <w:color w:val="auto"/>
                <w:w w:val="90"/>
              </w:rPr>
              <w:t>Jul. 2001</w:t>
            </w:r>
          </w:p>
        </w:tc>
        <w:tc>
          <w:tcPr>
            <w:tcW w:w="6040" w:type="dxa"/>
            <w:vAlign w:val="bottom"/>
          </w:tcPr>
          <w:p>
            <w:pPr>
              <w:ind w:left="20"/>
              <w:spacing w:after="0"/>
              <w:rPr>
                <w:sz w:val="20"/>
                <w:szCs w:val="20"/>
                <w:color w:val="auto"/>
              </w:rPr>
            </w:pPr>
            <w:r>
              <w:rPr>
                <w:rFonts w:ascii="Arial" w:cs="Arial" w:eastAsia="Arial" w:hAnsi="Arial"/>
                <w:sz w:val="18"/>
                <w:szCs w:val="18"/>
                <w:color w:val="auto"/>
              </w:rPr>
              <w:t>Engine Base Year</w:t>
            </w:r>
          </w:p>
        </w:tc>
        <w:tc>
          <w:tcPr>
            <w:tcW w:w="3520" w:type="dxa"/>
            <w:vAlign w:val="bottom"/>
          </w:tcPr>
          <w:p>
            <w:pPr>
              <w:spacing w:after="0"/>
              <w:rPr>
                <w:sz w:val="20"/>
                <w:szCs w:val="20"/>
                <w:color w:val="auto"/>
              </w:rPr>
            </w:pPr>
          </w:p>
        </w:tc>
      </w:tr>
      <w:tr>
        <w:trPr>
          <w:trHeight w:val="366"/>
        </w:trPr>
        <w:tc>
          <w:tcPr>
            <w:tcW w:w="740" w:type="dxa"/>
            <w:vAlign w:val="bottom"/>
          </w:tcPr>
          <w:p>
            <w:pPr>
              <w:spacing w:after="0"/>
              <w:rPr>
                <w:sz w:val="20"/>
                <w:szCs w:val="20"/>
                <w:color w:val="auto"/>
              </w:rPr>
            </w:pPr>
            <w:r>
              <w:rPr>
                <w:rFonts w:ascii="Arial" w:cs="Arial" w:eastAsia="Arial" w:hAnsi="Arial"/>
                <w:sz w:val="14"/>
                <w:szCs w:val="14"/>
                <w:color w:val="auto"/>
              </w:rPr>
              <w:t>EXHIBIT</w:t>
            </w:r>
          </w:p>
        </w:tc>
        <w:tc>
          <w:tcPr>
            <w:tcW w:w="104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3520" w:type="dxa"/>
            <w:vAlign w:val="bottom"/>
          </w:tcPr>
          <w:p>
            <w:pPr>
              <w:jc w:val="center"/>
              <w:ind w:left="2199"/>
              <w:spacing w:after="0"/>
              <w:rPr>
                <w:sz w:val="20"/>
                <w:szCs w:val="20"/>
                <w:color w:val="auto"/>
              </w:rPr>
            </w:pPr>
            <w:r>
              <w:rPr>
                <w:rFonts w:ascii="Arial" w:cs="Arial" w:eastAsia="Arial" w:hAnsi="Arial"/>
                <w:sz w:val="14"/>
                <w:szCs w:val="14"/>
                <w:color w:val="auto"/>
              </w:rPr>
              <w:t>SA NUMBER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6368415</wp:posOffset>
            </wp:positionH>
            <wp:positionV relativeFrom="paragraph">
              <wp:posOffset>-635</wp:posOffset>
            </wp:positionV>
            <wp:extent cx="88328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ind w:left="920" w:hanging="912"/>
        <w:spacing w:after="0"/>
        <w:tabs>
          <w:tab w:leader="none" w:pos="9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Aircraft Configuration</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Al.</w:t>
            </w:r>
          </w:p>
        </w:tc>
        <w:tc>
          <w:tcPr>
            <w:tcW w:w="3540" w:type="dxa"/>
            <w:vAlign w:val="bottom"/>
            <w:gridSpan w:val="3"/>
          </w:tcPr>
          <w:p>
            <w:pPr>
              <w:ind w:left="180"/>
              <w:spacing w:after="0"/>
              <w:rPr>
                <w:sz w:val="20"/>
                <w:szCs w:val="20"/>
                <w:color w:val="auto"/>
              </w:rPr>
            </w:pPr>
            <w:r>
              <w:rPr>
                <w:rFonts w:ascii="Arial" w:cs="Arial" w:eastAsia="Arial" w:hAnsi="Arial"/>
                <w:sz w:val="18"/>
                <w:szCs w:val="18"/>
                <w:color w:val="auto"/>
              </w:rPr>
              <w:t>Aircraft Configuration - 777-323ER</w:t>
            </w:r>
          </w:p>
        </w:tc>
        <w:tc>
          <w:tcPr>
            <w:tcW w:w="5740" w:type="dxa"/>
            <w:vAlign w:val="bottom"/>
          </w:tcPr>
          <w:p>
            <w:pPr>
              <w:ind w:left="180"/>
              <w:spacing w:after="0"/>
              <w:rPr>
                <w:sz w:val="20"/>
                <w:szCs w:val="20"/>
                <w:color w:val="auto"/>
              </w:rPr>
            </w:pPr>
            <w:r>
              <w:rPr>
                <w:rFonts w:ascii="Arial" w:cs="Arial" w:eastAsia="Arial" w:hAnsi="Arial"/>
                <w:sz w:val="18"/>
                <w:szCs w:val="18"/>
                <w:color w:val="auto"/>
              </w:rPr>
              <w:t>WITHDRAWN</w:t>
            </w:r>
          </w:p>
        </w:tc>
        <w:tc>
          <w:tcPr>
            <w:tcW w:w="142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SA-31</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A2.</w:t>
            </w:r>
          </w:p>
        </w:tc>
        <w:tc>
          <w:tcPr>
            <w:tcW w:w="3540" w:type="dxa"/>
            <w:vAlign w:val="bottom"/>
            <w:gridSpan w:val="3"/>
          </w:tcPr>
          <w:p>
            <w:pPr>
              <w:ind w:left="180"/>
              <w:spacing w:after="0"/>
              <w:rPr>
                <w:sz w:val="20"/>
                <w:szCs w:val="20"/>
                <w:color w:val="auto"/>
              </w:rPr>
            </w:pPr>
            <w:r>
              <w:rPr>
                <w:rFonts w:ascii="Arial" w:cs="Arial" w:eastAsia="Arial" w:hAnsi="Arial"/>
                <w:sz w:val="18"/>
                <w:szCs w:val="18"/>
                <w:color w:val="auto"/>
              </w:rPr>
              <w:t>Aircraft Configuration - 777-323ER</w:t>
            </w:r>
          </w:p>
        </w:tc>
        <w:tc>
          <w:tcPr>
            <w:tcW w:w="5740" w:type="dxa"/>
            <w:vAlign w:val="bottom"/>
          </w:tcPr>
          <w:p>
            <w:pPr>
              <w:spacing w:after="0"/>
              <w:rPr>
                <w:sz w:val="24"/>
                <w:szCs w:val="24"/>
                <w:color w:val="auto"/>
              </w:rPr>
            </w:pPr>
          </w:p>
        </w:tc>
        <w:tc>
          <w:tcPr>
            <w:tcW w:w="142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SA-28</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B.</w:t>
            </w:r>
          </w:p>
        </w:tc>
        <w:tc>
          <w:tcPr>
            <w:tcW w:w="9280" w:type="dxa"/>
            <w:vAlign w:val="bottom"/>
            <w:gridSpan w:val="4"/>
          </w:tcPr>
          <w:p>
            <w:pPr>
              <w:ind w:left="180"/>
              <w:spacing w:after="0"/>
              <w:rPr>
                <w:sz w:val="20"/>
                <w:szCs w:val="20"/>
                <w:color w:val="auto"/>
              </w:rPr>
            </w:pPr>
            <w:r>
              <w:rPr>
                <w:rFonts w:ascii="Arial" w:cs="Arial" w:eastAsia="Arial" w:hAnsi="Arial"/>
                <w:sz w:val="18"/>
                <w:szCs w:val="18"/>
                <w:color w:val="auto"/>
              </w:rPr>
              <w:t>Aircraft Delivery Requirements and Responsibilities</w:t>
            </w:r>
          </w:p>
        </w:tc>
        <w:tc>
          <w:tcPr>
            <w:tcW w:w="142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SA-20</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c.</w:t>
            </w:r>
          </w:p>
        </w:tc>
        <w:tc>
          <w:tcPr>
            <w:tcW w:w="3540" w:type="dxa"/>
            <w:vAlign w:val="bottom"/>
            <w:gridSpan w:val="3"/>
          </w:tcPr>
          <w:p>
            <w:pPr>
              <w:ind w:left="180"/>
              <w:spacing w:after="0"/>
              <w:rPr>
                <w:sz w:val="20"/>
                <w:szCs w:val="20"/>
                <w:color w:val="auto"/>
              </w:rPr>
            </w:pPr>
            <w:r>
              <w:rPr>
                <w:rFonts w:ascii="Arial" w:cs="Arial" w:eastAsia="Arial" w:hAnsi="Arial"/>
                <w:sz w:val="18"/>
                <w:szCs w:val="18"/>
                <w:color w:val="auto"/>
              </w:rPr>
              <w:t>Defined Terms</w:t>
            </w:r>
          </w:p>
        </w:tc>
        <w:tc>
          <w:tcPr>
            <w:tcW w:w="5740" w:type="dxa"/>
            <w:vAlign w:val="bottom"/>
          </w:tcPr>
          <w:p>
            <w:pPr>
              <w:spacing w:after="0"/>
              <w:rPr>
                <w:sz w:val="24"/>
                <w:szCs w:val="24"/>
                <w:color w:val="auto"/>
              </w:rPr>
            </w:pPr>
          </w:p>
        </w:tc>
        <w:tc>
          <w:tcPr>
            <w:tcW w:w="142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SA-20</w:t>
            </w:r>
          </w:p>
        </w:tc>
        <w:tc>
          <w:tcPr>
            <w:tcW w:w="0" w:type="dxa"/>
            <w:vAlign w:val="bottom"/>
          </w:tcPr>
          <w:p>
            <w:pPr>
              <w:spacing w:after="0"/>
              <w:rPr>
                <w:sz w:val="1"/>
                <w:szCs w:val="1"/>
                <w:color w:val="auto"/>
              </w:rPr>
            </w:pPr>
          </w:p>
        </w:tc>
      </w:tr>
      <w:tr>
        <w:trPr>
          <w:trHeight w:val="365"/>
        </w:trPr>
        <w:tc>
          <w:tcPr>
            <w:tcW w:w="1820" w:type="dxa"/>
            <w:vAlign w:val="bottom"/>
            <w:gridSpan w:val="3"/>
          </w:tcPr>
          <w:p>
            <w:pPr>
              <w:spacing w:after="0"/>
              <w:rPr>
                <w:sz w:val="20"/>
                <w:szCs w:val="20"/>
                <w:color w:val="auto"/>
              </w:rPr>
            </w:pPr>
            <w:r>
              <w:rPr>
                <w:rFonts w:ascii="Arial" w:cs="Arial" w:eastAsia="Arial" w:hAnsi="Arial"/>
                <w:sz w:val="14"/>
                <w:szCs w:val="14"/>
                <w:color w:val="auto"/>
              </w:rPr>
              <w:t>SUPPLEMENTAL EXHIBITS</w:t>
            </w:r>
          </w:p>
        </w:tc>
        <w:tc>
          <w:tcPr>
            <w:tcW w:w="24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420" w:type="dxa"/>
            <w:vAlign w:val="bottom"/>
            <w:gridSpan w:val="3"/>
          </w:tcPr>
          <w:p>
            <w:pPr>
              <w:jc w:val="center"/>
              <w:ind w:right="20"/>
              <w:spacing w:after="0"/>
              <w:rPr>
                <w:sz w:val="20"/>
                <w:szCs w:val="20"/>
                <w:color w:val="auto"/>
              </w:rPr>
            </w:pPr>
            <w:r>
              <w:rPr>
                <w:rFonts w:ascii="Arial" w:cs="Arial" w:eastAsia="Arial" w:hAnsi="Arial"/>
                <w:sz w:val="14"/>
                <w:szCs w:val="14"/>
                <w:color w:val="auto"/>
              </w:rPr>
              <w:t>SA NUMBER</w:t>
            </w:r>
          </w:p>
        </w:tc>
        <w:tc>
          <w:tcPr>
            <w:tcW w:w="0" w:type="dxa"/>
            <w:vAlign w:val="bottom"/>
          </w:tcPr>
          <w:p>
            <w:pPr>
              <w:spacing w:after="0"/>
              <w:rPr>
                <w:sz w:val="1"/>
                <w:szCs w:val="1"/>
                <w:color w:val="auto"/>
              </w:rPr>
            </w:pPr>
          </w:p>
        </w:tc>
      </w:tr>
      <w:tr>
        <w:trPr>
          <w:trHeight w:val="182"/>
        </w:trPr>
        <w:tc>
          <w:tcPr>
            <w:tcW w:w="740" w:type="dxa"/>
            <w:vAlign w:val="bottom"/>
          </w:tcPr>
          <w:p>
            <w:pPr>
              <w:spacing w:after="0" w:line="182" w:lineRule="exact"/>
              <w:rPr>
                <w:sz w:val="20"/>
                <w:szCs w:val="20"/>
                <w:color w:val="auto"/>
              </w:rPr>
            </w:pPr>
            <w:r>
              <w:rPr>
                <w:rFonts w:ascii="Arial" w:cs="Arial" w:eastAsia="Arial" w:hAnsi="Arial"/>
                <w:sz w:val="18"/>
                <w:szCs w:val="18"/>
                <w:color w:val="auto"/>
              </w:rPr>
              <w:t>AEI.</w:t>
            </w:r>
          </w:p>
        </w:tc>
        <w:tc>
          <w:tcPr>
            <w:tcW w:w="9280" w:type="dxa"/>
            <w:vAlign w:val="bottom"/>
            <w:gridSpan w:val="4"/>
          </w:tcPr>
          <w:p>
            <w:pPr>
              <w:ind w:left="180"/>
              <w:spacing w:after="0" w:line="182" w:lineRule="exact"/>
              <w:rPr>
                <w:sz w:val="20"/>
                <w:szCs w:val="20"/>
                <w:color w:val="auto"/>
              </w:rPr>
            </w:pPr>
            <w:r>
              <w:rPr>
                <w:rFonts w:ascii="Arial" w:cs="Arial" w:eastAsia="Arial" w:hAnsi="Arial"/>
                <w:sz w:val="18"/>
                <w:szCs w:val="18"/>
                <w:color w:val="auto"/>
              </w:rPr>
              <w:t>Escalation Adjustment Airframe and Optional Features -</w:t>
            </w:r>
          </w:p>
        </w:tc>
        <w:tc>
          <w:tcPr>
            <w:tcW w:w="1400" w:type="dxa"/>
            <w:vAlign w:val="bottom"/>
            <w:tcBorders>
              <w:top w:val="single" w:sz="8" w:color="auto"/>
            </w:tcBorders>
            <w:gridSpan w:val="2"/>
          </w:tcPr>
          <w:p>
            <w:pPr>
              <w:jc w:val="center"/>
              <w:spacing w:after="0" w:line="182" w:lineRule="exact"/>
              <w:rPr>
                <w:sz w:val="20"/>
                <w:szCs w:val="20"/>
                <w:color w:val="auto"/>
              </w:rPr>
            </w:pPr>
            <w:r>
              <w:rPr>
                <w:rFonts w:ascii="Arial" w:cs="Arial" w:eastAsia="Arial" w:hAnsi="Arial"/>
                <w:sz w:val="18"/>
                <w:szCs w:val="18"/>
                <w:color w:val="auto"/>
                <w:w w:val="95"/>
              </w:rPr>
              <w:t>SA-20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3540" w:type="dxa"/>
            <w:vAlign w:val="bottom"/>
            <w:gridSpan w:val="3"/>
          </w:tcPr>
          <w:p>
            <w:pPr>
              <w:ind w:left="360"/>
              <w:spacing w:after="0"/>
              <w:rPr>
                <w:sz w:val="20"/>
                <w:szCs w:val="20"/>
                <w:color w:val="auto"/>
              </w:rPr>
            </w:pPr>
            <w:r>
              <w:rPr>
                <w:rFonts w:ascii="Arial" w:cs="Arial" w:eastAsia="Arial" w:hAnsi="Arial"/>
                <w:sz w:val="18"/>
                <w:szCs w:val="18"/>
                <w:color w:val="auto"/>
              </w:rPr>
              <w:t>777-323ER</w:t>
            </w:r>
          </w:p>
        </w:tc>
        <w:tc>
          <w:tcPr>
            <w:tcW w:w="5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BFEl .</w:t>
            </w:r>
          </w:p>
        </w:tc>
        <w:tc>
          <w:tcPr>
            <w:tcW w:w="3540" w:type="dxa"/>
            <w:vAlign w:val="bottom"/>
            <w:gridSpan w:val="3"/>
          </w:tcPr>
          <w:p>
            <w:pPr>
              <w:ind w:left="180"/>
              <w:spacing w:after="0"/>
              <w:rPr>
                <w:sz w:val="20"/>
                <w:szCs w:val="20"/>
                <w:color w:val="auto"/>
              </w:rPr>
            </w:pPr>
            <w:r>
              <w:rPr>
                <w:rFonts w:ascii="Arial" w:cs="Arial" w:eastAsia="Arial" w:hAnsi="Arial"/>
                <w:sz w:val="18"/>
                <w:szCs w:val="18"/>
                <w:color w:val="auto"/>
              </w:rPr>
              <w:t>BFE Variables</w:t>
            </w:r>
          </w:p>
        </w:tc>
        <w:tc>
          <w:tcPr>
            <w:tcW w:w="5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40" w:type="dxa"/>
            <w:vAlign w:val="bottom"/>
          </w:tcPr>
          <w:p>
            <w:pPr>
              <w:spacing w:after="0"/>
              <w:rPr>
                <w:sz w:val="20"/>
                <w:szCs w:val="20"/>
                <w:color w:val="auto"/>
              </w:rPr>
            </w:pPr>
            <w:r>
              <w:rPr>
                <w:rFonts w:ascii="Arial" w:cs="Arial" w:eastAsia="Arial" w:hAnsi="Arial"/>
                <w:sz w:val="18"/>
                <w:szCs w:val="18"/>
                <w:color w:val="auto"/>
              </w:rPr>
              <w:t>BFEl-2.</w:t>
            </w:r>
          </w:p>
        </w:tc>
        <w:tc>
          <w:tcPr>
            <w:tcW w:w="3540" w:type="dxa"/>
            <w:vAlign w:val="bottom"/>
            <w:gridSpan w:val="3"/>
          </w:tcPr>
          <w:p>
            <w:pPr>
              <w:ind w:left="180"/>
              <w:spacing w:after="0"/>
              <w:rPr>
                <w:sz w:val="20"/>
                <w:szCs w:val="20"/>
                <w:color w:val="auto"/>
              </w:rPr>
            </w:pPr>
            <w:r>
              <w:rPr>
                <w:rFonts w:ascii="Arial" w:cs="Arial" w:eastAsia="Arial" w:hAnsi="Arial"/>
                <w:sz w:val="18"/>
                <w:szCs w:val="18"/>
                <w:color w:val="auto"/>
              </w:rPr>
              <w:t>BFE Variables- 777-323ER</w:t>
            </w:r>
          </w:p>
        </w:tc>
        <w:tc>
          <w:tcPr>
            <w:tcW w:w="5740" w:type="dxa"/>
            <w:vAlign w:val="bottom"/>
          </w:tcPr>
          <w:p>
            <w:pPr>
              <w:spacing w:after="0"/>
              <w:rPr>
                <w:sz w:val="24"/>
                <w:szCs w:val="24"/>
                <w:color w:val="auto"/>
              </w:rPr>
            </w:pPr>
          </w:p>
        </w:tc>
        <w:tc>
          <w:tcPr>
            <w:tcW w:w="142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SA-25, SA-26,</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42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SA-28</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CSI.</w:t>
            </w:r>
          </w:p>
        </w:tc>
        <w:tc>
          <w:tcPr>
            <w:tcW w:w="3540" w:type="dxa"/>
            <w:vAlign w:val="bottom"/>
            <w:gridSpan w:val="3"/>
          </w:tcPr>
          <w:p>
            <w:pPr>
              <w:ind w:left="180"/>
              <w:spacing w:after="0"/>
              <w:rPr>
                <w:sz w:val="20"/>
                <w:szCs w:val="20"/>
                <w:color w:val="auto"/>
              </w:rPr>
            </w:pPr>
            <w:r>
              <w:rPr>
                <w:rFonts w:ascii="Arial" w:cs="Arial" w:eastAsia="Arial" w:hAnsi="Arial"/>
                <w:sz w:val="18"/>
                <w:szCs w:val="18"/>
                <w:color w:val="auto"/>
              </w:rPr>
              <w:t>Customer Support Variables</w:t>
            </w:r>
          </w:p>
        </w:tc>
        <w:tc>
          <w:tcPr>
            <w:tcW w:w="5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CS l -2</w:t>
            </w:r>
          </w:p>
        </w:tc>
        <w:tc>
          <w:tcPr>
            <w:tcW w:w="3540" w:type="dxa"/>
            <w:vAlign w:val="bottom"/>
            <w:gridSpan w:val="3"/>
          </w:tcPr>
          <w:p>
            <w:pPr>
              <w:ind w:left="180"/>
              <w:spacing w:after="0"/>
              <w:rPr>
                <w:sz w:val="20"/>
                <w:szCs w:val="20"/>
                <w:color w:val="auto"/>
              </w:rPr>
            </w:pPr>
            <w:r>
              <w:rPr>
                <w:rFonts w:ascii="Arial" w:cs="Arial" w:eastAsia="Arial" w:hAnsi="Arial"/>
                <w:sz w:val="18"/>
                <w:szCs w:val="18"/>
                <w:color w:val="auto"/>
              </w:rPr>
              <w:t>Customer Support Variables - 777-323ER</w:t>
            </w:r>
          </w:p>
        </w:tc>
        <w:tc>
          <w:tcPr>
            <w:tcW w:w="5740" w:type="dxa"/>
            <w:vAlign w:val="bottom"/>
          </w:tcPr>
          <w:p>
            <w:pPr>
              <w:spacing w:after="0"/>
              <w:rPr>
                <w:sz w:val="24"/>
                <w:szCs w:val="24"/>
                <w:color w:val="auto"/>
              </w:rPr>
            </w:pPr>
          </w:p>
        </w:tc>
        <w:tc>
          <w:tcPr>
            <w:tcW w:w="142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SA-20</w:t>
            </w:r>
          </w:p>
        </w:tc>
        <w:tc>
          <w:tcPr>
            <w:tcW w:w="0" w:type="dxa"/>
            <w:vAlign w:val="bottom"/>
          </w:tcPr>
          <w:p>
            <w:pPr>
              <w:spacing w:after="0"/>
              <w:rPr>
                <w:sz w:val="1"/>
                <w:szCs w:val="1"/>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SLP l</w:t>
            </w:r>
          </w:p>
        </w:tc>
        <w:tc>
          <w:tcPr>
            <w:tcW w:w="3540" w:type="dxa"/>
            <w:vAlign w:val="bottom"/>
            <w:gridSpan w:val="3"/>
          </w:tcPr>
          <w:p>
            <w:pPr>
              <w:ind w:left="180"/>
              <w:spacing w:after="0"/>
              <w:rPr>
                <w:sz w:val="20"/>
                <w:szCs w:val="20"/>
                <w:color w:val="auto"/>
              </w:rPr>
            </w:pPr>
            <w:r>
              <w:rPr>
                <w:rFonts w:ascii="Arial" w:cs="Arial" w:eastAsia="Arial" w:hAnsi="Arial"/>
                <w:sz w:val="18"/>
                <w:szCs w:val="18"/>
                <w:color w:val="auto"/>
              </w:rPr>
              <w:t>Service Life Policy Components</w:t>
            </w:r>
          </w:p>
        </w:tc>
        <w:tc>
          <w:tcPr>
            <w:tcW w:w="5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80" w:type="dxa"/>
            <w:vAlign w:val="bottom"/>
            <w:gridSpan w:val="4"/>
          </w:tcPr>
          <w:p>
            <w:pPr>
              <w:spacing w:after="0"/>
              <w:rPr>
                <w:sz w:val="20"/>
                <w:szCs w:val="20"/>
                <w:color w:val="auto"/>
              </w:rPr>
            </w:pPr>
            <w:r>
              <w:rPr>
                <w:rFonts w:ascii="Arial" w:cs="Arial" w:eastAsia="Arial" w:hAnsi="Arial"/>
                <w:sz w:val="18"/>
                <w:szCs w:val="18"/>
                <w:color w:val="auto"/>
              </w:rPr>
              <w:t>EE l-BR I.  Engine Escalation and Engine Warranty</w:t>
            </w:r>
          </w:p>
        </w:tc>
        <w:tc>
          <w:tcPr>
            <w:tcW w:w="5740" w:type="dxa"/>
            <w:vAlign w:val="bottom"/>
          </w:tcPr>
          <w:p>
            <w:pPr>
              <w:spacing w:after="0"/>
              <w:rPr>
                <w:sz w:val="24"/>
                <w:szCs w:val="24"/>
                <w:color w:val="auto"/>
              </w:rPr>
            </w:pPr>
          </w:p>
        </w:tc>
        <w:tc>
          <w:tcPr>
            <w:tcW w:w="142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SA-15</w:t>
            </w:r>
          </w:p>
        </w:tc>
        <w:tc>
          <w:tcPr>
            <w:tcW w:w="0" w:type="dxa"/>
            <w:vAlign w:val="bottom"/>
          </w:tcPr>
          <w:p>
            <w:pPr>
              <w:spacing w:after="0"/>
              <w:rPr>
                <w:sz w:val="1"/>
                <w:szCs w:val="1"/>
                <w:color w:val="auto"/>
              </w:rPr>
            </w:pPr>
          </w:p>
        </w:tc>
      </w:tr>
      <w:tr>
        <w:trPr>
          <w:trHeight w:val="310"/>
        </w:trPr>
        <w:tc>
          <w:tcPr>
            <w:tcW w:w="740" w:type="dxa"/>
            <w:vAlign w:val="bottom"/>
          </w:tcPr>
          <w:p>
            <w:pPr>
              <w:spacing w:after="0"/>
              <w:rPr>
                <w:sz w:val="20"/>
                <w:szCs w:val="20"/>
                <w:color w:val="auto"/>
              </w:rPr>
            </w:pPr>
            <w:r>
              <w:rPr>
                <w:rFonts w:ascii="Arial" w:cs="Arial" w:eastAsia="Arial" w:hAnsi="Arial"/>
                <w:sz w:val="18"/>
                <w:szCs w:val="18"/>
                <w:color w:val="auto"/>
              </w:rPr>
              <w:t>EE l-2.</w:t>
            </w:r>
          </w:p>
        </w:tc>
        <w:tc>
          <w:tcPr>
            <w:tcW w:w="9280" w:type="dxa"/>
            <w:vAlign w:val="bottom"/>
            <w:gridSpan w:val="4"/>
          </w:tcPr>
          <w:p>
            <w:pPr>
              <w:ind w:left="180"/>
              <w:spacing w:after="0"/>
              <w:rPr>
                <w:sz w:val="20"/>
                <w:szCs w:val="20"/>
                <w:color w:val="auto"/>
              </w:rPr>
            </w:pPr>
            <w:r>
              <w:rPr>
                <w:rFonts w:ascii="Arial" w:cs="Arial" w:eastAsia="Arial" w:hAnsi="Arial"/>
                <w:sz w:val="18"/>
                <w:szCs w:val="18"/>
                <w:color w:val="auto"/>
              </w:rPr>
              <w:t>Engine Escalation, Engine Warranty and Patent Indemnity -</w:t>
            </w: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3540" w:type="dxa"/>
            <w:vAlign w:val="bottom"/>
            <w:gridSpan w:val="3"/>
          </w:tcPr>
          <w:p>
            <w:pPr>
              <w:ind w:left="360"/>
              <w:spacing w:after="0"/>
              <w:rPr>
                <w:sz w:val="20"/>
                <w:szCs w:val="20"/>
                <w:color w:val="auto"/>
              </w:rPr>
            </w:pPr>
            <w:r>
              <w:rPr>
                <w:rFonts w:ascii="Arial" w:cs="Arial" w:eastAsia="Arial" w:hAnsi="Arial"/>
                <w:sz w:val="18"/>
                <w:szCs w:val="18"/>
                <w:color w:val="auto"/>
              </w:rPr>
              <w:t>777-323ER</w:t>
            </w:r>
          </w:p>
        </w:tc>
        <w:tc>
          <w:tcPr>
            <w:tcW w:w="5740" w:type="dxa"/>
            <w:vAlign w:val="bottom"/>
          </w:tcPr>
          <w:p>
            <w:pPr>
              <w:spacing w:after="0"/>
              <w:rPr>
                <w:sz w:val="20"/>
                <w:szCs w:val="20"/>
                <w:color w:val="auto"/>
              </w:rPr>
            </w:pPr>
          </w:p>
        </w:tc>
        <w:tc>
          <w:tcPr>
            <w:tcW w:w="142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SA-20</w:t>
            </w:r>
          </w:p>
        </w:tc>
        <w:tc>
          <w:tcPr>
            <w:tcW w:w="0" w:type="dxa"/>
            <w:vAlign w:val="bottom"/>
          </w:tcPr>
          <w:p>
            <w:pPr>
              <w:spacing w:after="0"/>
              <w:rPr>
                <w:sz w:val="1"/>
                <w:szCs w:val="1"/>
                <w:color w:val="auto"/>
              </w:rPr>
            </w:pPr>
          </w:p>
        </w:tc>
      </w:tr>
      <w:tr>
        <w:trPr>
          <w:trHeight w:val="346"/>
        </w:trPr>
        <w:tc>
          <w:tcPr>
            <w:tcW w:w="1820" w:type="dxa"/>
            <w:vAlign w:val="bottom"/>
            <w:gridSpan w:val="3"/>
            <w:vMerge w:val="restart"/>
          </w:tcPr>
          <w:p>
            <w:pPr>
              <w:spacing w:after="0"/>
              <w:rPr>
                <w:sz w:val="20"/>
                <w:szCs w:val="20"/>
                <w:color w:val="auto"/>
              </w:rPr>
            </w:pPr>
            <w:r>
              <w:rPr>
                <w:rFonts w:ascii="Arial" w:cs="Arial" w:eastAsia="Arial" w:hAnsi="Arial"/>
                <w:sz w:val="14"/>
                <w:szCs w:val="14"/>
                <w:color w:val="auto"/>
              </w:rPr>
              <w:t>LETTER AGREEMENTS</w:t>
            </w:r>
          </w:p>
        </w:tc>
        <w:tc>
          <w:tcPr>
            <w:tcW w:w="24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color w:val="auto"/>
                <w:w w:val="93"/>
              </w:rPr>
              <w:t>PA or SA</w:t>
            </w:r>
          </w:p>
        </w:tc>
        <w:tc>
          <w:tcPr>
            <w:tcW w:w="0" w:type="dxa"/>
            <w:vAlign w:val="bottom"/>
          </w:tcPr>
          <w:p>
            <w:pPr>
              <w:spacing w:after="0"/>
              <w:rPr>
                <w:sz w:val="1"/>
                <w:szCs w:val="1"/>
                <w:color w:val="auto"/>
              </w:rPr>
            </w:pPr>
          </w:p>
        </w:tc>
      </w:tr>
      <w:tr>
        <w:trPr>
          <w:trHeight w:val="174"/>
        </w:trPr>
        <w:tc>
          <w:tcPr>
            <w:tcW w:w="1820" w:type="dxa"/>
            <w:vAlign w:val="bottom"/>
            <w:gridSpan w:val="3"/>
            <w:vMerge w:val="continue"/>
          </w:tcPr>
          <w:p>
            <w:pPr>
              <w:spacing w:after="0"/>
              <w:rPr>
                <w:sz w:val="15"/>
                <w:szCs w:val="15"/>
                <w:color w:val="auto"/>
              </w:rPr>
            </w:pPr>
          </w:p>
        </w:tc>
        <w:tc>
          <w:tcPr>
            <w:tcW w:w="8200" w:type="dxa"/>
            <w:vAlign w:val="bottom"/>
            <w:gridSpan w:val="2"/>
            <w:vMerge w:val="restart"/>
          </w:tcPr>
          <w:p>
            <w:pPr>
              <w:spacing w:after="0"/>
              <w:rPr>
                <w:sz w:val="20"/>
                <w:szCs w:val="20"/>
                <w:color w:val="auto"/>
              </w:rPr>
            </w:pPr>
            <w:r>
              <w:rPr>
                <w:rFonts w:ascii="Arial" w:cs="Arial" w:eastAsia="Arial" w:hAnsi="Arial"/>
                <w:sz w:val="18"/>
                <w:szCs w:val="18"/>
                <w:color w:val="auto"/>
              </w:rPr>
              <w:t>Miscellaneous Commitments for Model737, 757,</w:t>
            </w:r>
          </w:p>
        </w:tc>
        <w:tc>
          <w:tcPr>
            <w:tcW w:w="680" w:type="dxa"/>
            <w:vAlign w:val="bottom"/>
          </w:tcPr>
          <w:p>
            <w:pPr>
              <w:spacing w:after="0"/>
              <w:rPr>
                <w:sz w:val="15"/>
                <w:szCs w:val="15"/>
                <w:color w:val="auto"/>
              </w:rPr>
            </w:pPr>
          </w:p>
        </w:tc>
        <w:tc>
          <w:tcPr>
            <w:tcW w:w="740" w:type="dxa"/>
            <w:vAlign w:val="bottom"/>
            <w:gridSpan w:val="2"/>
          </w:tcPr>
          <w:p>
            <w:pPr>
              <w:jc w:val="center"/>
              <w:spacing w:after="0" w:line="154"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75"/>
        </w:trPr>
        <w:tc>
          <w:tcPr>
            <w:tcW w:w="1540" w:type="dxa"/>
            <w:vAlign w:val="bottom"/>
            <w:tcBorders>
              <w:top w:val="single" w:sz="8" w:color="auto"/>
            </w:tcBorders>
            <w:gridSpan w:val="2"/>
          </w:tcPr>
          <w:p>
            <w:pPr>
              <w:spacing w:after="0" w:line="176" w:lineRule="exact"/>
              <w:rPr>
                <w:sz w:val="20"/>
                <w:szCs w:val="20"/>
                <w:color w:val="auto"/>
              </w:rPr>
            </w:pPr>
            <w:r>
              <w:rPr>
                <w:rFonts w:ascii="Arial" w:cs="Arial" w:eastAsia="Arial" w:hAnsi="Arial"/>
                <w:sz w:val="18"/>
                <w:szCs w:val="18"/>
                <w:color w:val="auto"/>
              </w:rPr>
              <w:t>6-11 62-AKP-070</w:t>
            </w:r>
          </w:p>
        </w:tc>
        <w:tc>
          <w:tcPr>
            <w:tcW w:w="280" w:type="dxa"/>
            <w:vAlign w:val="bottom"/>
          </w:tcPr>
          <w:p>
            <w:pPr>
              <w:spacing w:after="0"/>
              <w:rPr>
                <w:sz w:val="15"/>
                <w:szCs w:val="15"/>
                <w:color w:val="auto"/>
              </w:rPr>
            </w:pPr>
          </w:p>
        </w:tc>
        <w:tc>
          <w:tcPr>
            <w:tcW w:w="820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tcPr>
          <w:p>
            <w:pPr>
              <w:ind w:left="180"/>
              <w:spacing w:after="0"/>
              <w:rPr>
                <w:sz w:val="20"/>
                <w:szCs w:val="20"/>
                <w:color w:val="auto"/>
              </w:rPr>
            </w:pPr>
            <w:r>
              <w:rPr>
                <w:rFonts w:ascii="Arial" w:cs="Arial" w:eastAsia="Arial" w:hAnsi="Arial"/>
                <w:sz w:val="18"/>
                <w:szCs w:val="18"/>
                <w:color w:val="auto"/>
              </w:rPr>
              <w:t>767 and 777 Aircraft</w:t>
            </w:r>
          </w:p>
        </w:tc>
        <w:tc>
          <w:tcPr>
            <w:tcW w:w="5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color w:val="auto"/>
                <w:strike w:val="1"/>
                <w:w w:val="93"/>
              </w:rPr>
              <w:t>6-11 62-AKP-071R1</w:t>
            </w:r>
          </w:p>
        </w:tc>
        <w:tc>
          <w:tcPr>
            <w:tcW w:w="2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strike w:val="1"/>
              </w:rPr>
              <w:t>Purchase Obligations</w:t>
            </w:r>
          </w:p>
        </w:tc>
        <w:tc>
          <w:tcPr>
            <w:tcW w:w="5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0" w:type="dxa"/>
            <w:vAlign w:val="bottom"/>
            <w:gridSpan w:val="2"/>
          </w:tcPr>
          <w:p>
            <w:pPr>
              <w:ind w:left="180"/>
              <w:spacing w:after="0"/>
              <w:rPr>
                <w:sz w:val="20"/>
                <w:szCs w:val="20"/>
                <w:color w:val="auto"/>
              </w:rPr>
            </w:pPr>
            <w:r>
              <w:rPr>
                <w:rFonts w:ascii="Arial" w:cs="Arial" w:eastAsia="Arial" w:hAnsi="Arial"/>
                <w:sz w:val="18"/>
                <w:szCs w:val="18"/>
                <w:color w:val="auto"/>
              </w:rPr>
              <w:t>Terminated Per AAL-PA-1977-LA-1105595</w:t>
            </w:r>
          </w:p>
        </w:tc>
        <w:tc>
          <w:tcPr>
            <w:tcW w:w="680" w:type="dxa"/>
            <w:vAlign w:val="bottom"/>
          </w:tcPr>
          <w:p>
            <w:pPr>
              <w:spacing w:after="0"/>
              <w:rPr>
                <w:sz w:val="18"/>
                <w:szCs w:val="18"/>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PA3219</w:t>
            </w:r>
          </w:p>
        </w:tc>
        <w:tc>
          <w:tcPr>
            <w:tcW w:w="0" w:type="dxa"/>
            <w:vAlign w:val="bottom"/>
          </w:tcPr>
          <w:p>
            <w:pPr>
              <w:spacing w:after="0"/>
              <w:rPr>
                <w:sz w:val="1"/>
                <w:szCs w:val="1"/>
                <w:color w:val="auto"/>
              </w:rPr>
            </w:pP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color w:val="auto"/>
                <w:strike w:val="1"/>
                <w:w w:val="93"/>
              </w:rPr>
              <w:t>6-11 62-AKP-072R3</w:t>
            </w:r>
          </w:p>
        </w:tc>
        <w:tc>
          <w:tcPr>
            <w:tcW w:w="2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[*CTR]</w:t>
            </w:r>
          </w:p>
        </w:tc>
        <w:tc>
          <w:tcPr>
            <w:tcW w:w="5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0" w:type="dxa"/>
            <w:vAlign w:val="bottom"/>
            <w:gridSpan w:val="2"/>
          </w:tcPr>
          <w:p>
            <w:pPr>
              <w:ind w:left="180"/>
              <w:spacing w:after="0"/>
              <w:rPr>
                <w:sz w:val="20"/>
                <w:szCs w:val="20"/>
                <w:color w:val="auto"/>
              </w:rPr>
            </w:pPr>
            <w:r>
              <w:rPr>
                <w:rFonts w:ascii="Arial" w:cs="Arial" w:eastAsia="Arial" w:hAnsi="Arial"/>
                <w:sz w:val="18"/>
                <w:szCs w:val="18"/>
                <w:color w:val="auto"/>
              </w:rPr>
              <w:t>Terminated Per AAL-PA-1977-LA-1105595</w:t>
            </w:r>
          </w:p>
        </w:tc>
        <w:tc>
          <w:tcPr>
            <w:tcW w:w="680" w:type="dxa"/>
            <w:vAlign w:val="bottom"/>
          </w:tcPr>
          <w:p>
            <w:pPr>
              <w:spacing w:after="0"/>
              <w:rPr>
                <w:sz w:val="18"/>
                <w:szCs w:val="18"/>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PA3219</w:t>
            </w:r>
          </w:p>
        </w:tc>
        <w:tc>
          <w:tcPr>
            <w:tcW w:w="0" w:type="dxa"/>
            <w:vAlign w:val="bottom"/>
          </w:tcPr>
          <w:p>
            <w:pPr>
              <w:spacing w:after="0"/>
              <w:rPr>
                <w:sz w:val="1"/>
                <w:szCs w:val="1"/>
                <w:color w:val="auto"/>
              </w:rPr>
            </w:pPr>
          </w:p>
        </w:tc>
      </w:tr>
      <w:tr>
        <w:trPr>
          <w:trHeight w:val="230"/>
        </w:trPr>
        <w:tc>
          <w:tcPr>
            <w:tcW w:w="4280" w:type="dxa"/>
            <w:vAlign w:val="bottom"/>
            <w:gridSpan w:val="4"/>
          </w:tcPr>
          <w:p>
            <w:pPr>
              <w:spacing w:after="0"/>
              <w:rPr>
                <w:sz w:val="20"/>
                <w:szCs w:val="20"/>
                <w:color w:val="auto"/>
              </w:rPr>
            </w:pPr>
            <w:r>
              <w:rPr>
                <w:rFonts w:ascii="Arial" w:cs="Arial" w:eastAsia="Arial" w:hAnsi="Arial"/>
                <w:sz w:val="18"/>
                <w:szCs w:val="18"/>
                <w:color w:val="auto"/>
              </w:rPr>
              <w:t>6-11 62-AKP-073R1    Accident Claims and Litigation</w:t>
            </w:r>
          </w:p>
        </w:tc>
        <w:tc>
          <w:tcPr>
            <w:tcW w:w="5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820" w:type="dxa"/>
            <w:vAlign w:val="bottom"/>
            <w:gridSpan w:val="3"/>
          </w:tcPr>
          <w:p>
            <w:pPr>
              <w:spacing w:after="0"/>
              <w:rPr>
                <w:sz w:val="20"/>
                <w:szCs w:val="20"/>
                <w:color w:val="auto"/>
              </w:rPr>
            </w:pPr>
            <w:r>
              <w:rPr>
                <w:rFonts w:ascii="Arial" w:cs="Arial" w:eastAsia="Arial" w:hAnsi="Arial"/>
                <w:sz w:val="18"/>
                <w:szCs w:val="18"/>
                <w:color w:val="auto"/>
              </w:rPr>
              <w:t>P.A. No. 1980</w:t>
            </w:r>
          </w:p>
        </w:tc>
        <w:tc>
          <w:tcPr>
            <w:tcW w:w="2460" w:type="dxa"/>
            <w:vAlign w:val="bottom"/>
          </w:tcPr>
          <w:p>
            <w:pPr>
              <w:spacing w:after="0"/>
              <w:rPr>
                <w:sz w:val="24"/>
                <w:szCs w:val="24"/>
                <w:color w:val="auto"/>
              </w:rPr>
            </w:pPr>
          </w:p>
        </w:tc>
        <w:tc>
          <w:tcPr>
            <w:tcW w:w="5740" w:type="dxa"/>
            <w:vAlign w:val="bottom"/>
          </w:tcPr>
          <w:p>
            <w:pPr>
              <w:ind w:left="660"/>
              <w:spacing w:after="0"/>
              <w:rPr>
                <w:sz w:val="20"/>
                <w:szCs w:val="20"/>
                <w:color w:val="auto"/>
              </w:rPr>
            </w:pPr>
            <w:r>
              <w:rPr>
                <w:rFonts w:ascii="Arial" w:cs="Arial" w:eastAsia="Arial" w:hAnsi="Arial"/>
                <w:sz w:val="18"/>
                <w:szCs w:val="18"/>
                <w:color w:val="auto"/>
              </w:rPr>
              <w:t>Table of Contents Page ii</w:t>
            </w:r>
          </w:p>
        </w:tc>
        <w:tc>
          <w:tcPr>
            <w:tcW w:w="680" w:type="dxa"/>
            <w:vAlign w:val="bottom"/>
          </w:tcPr>
          <w:p>
            <w:pPr>
              <w:spacing w:after="0"/>
              <w:rPr>
                <w:sz w:val="24"/>
                <w:szCs w:val="24"/>
                <w:color w:val="auto"/>
              </w:rPr>
            </w:pPr>
          </w:p>
        </w:tc>
        <w:tc>
          <w:tcPr>
            <w:tcW w:w="740" w:type="dxa"/>
            <w:vAlign w:val="bottom"/>
            <w:gridSpan w:val="2"/>
          </w:tcPr>
          <w:p>
            <w:pPr>
              <w:ind w:left="260"/>
              <w:spacing w:after="0"/>
              <w:rPr>
                <w:sz w:val="20"/>
                <w:szCs w:val="20"/>
                <w:color w:val="auto"/>
              </w:rPr>
            </w:pPr>
            <w:r>
              <w:rPr>
                <w:rFonts w:ascii="Arial" w:cs="Arial" w:eastAsia="Arial" w:hAnsi="Arial"/>
                <w:sz w:val="18"/>
                <w:szCs w:val="18"/>
                <w:color w:val="auto"/>
                <w:w w:val="93"/>
              </w:rPr>
              <w:t>SA 36</w:t>
            </w: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 continued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860" w:type="dxa"/>
            <w:vAlign w:val="bottom"/>
          </w:tcPr>
          <w:p>
            <w:pPr>
              <w:jc w:val="center"/>
              <w:ind w:left="1151"/>
              <w:spacing w:after="0"/>
              <w:rPr>
                <w:sz w:val="20"/>
                <w:szCs w:val="20"/>
                <w:color w:val="auto"/>
              </w:rPr>
            </w:pPr>
            <w:r>
              <w:rPr>
                <w:rFonts w:ascii="Arial" w:cs="Arial" w:eastAsia="Arial" w:hAnsi="Arial"/>
                <w:sz w:val="14"/>
                <w:szCs w:val="14"/>
                <w:color w:val="auto"/>
                <w:w w:val="93"/>
              </w:rPr>
              <w:t>PA or SA</w:t>
            </w:r>
          </w:p>
        </w:tc>
      </w:tr>
      <w:tr>
        <w:trPr>
          <w:trHeight w:val="182"/>
        </w:trPr>
        <w:tc>
          <w:tcPr>
            <w:tcW w:w="2600" w:type="dxa"/>
            <w:vAlign w:val="bottom"/>
          </w:tcPr>
          <w:p>
            <w:pPr>
              <w:spacing w:after="0"/>
              <w:rPr>
                <w:sz w:val="20"/>
                <w:szCs w:val="20"/>
                <w:color w:val="auto"/>
              </w:rPr>
            </w:pPr>
            <w:r>
              <w:rPr>
                <w:rFonts w:ascii="Arial" w:cs="Arial" w:eastAsia="Arial" w:hAnsi="Arial"/>
                <w:sz w:val="14"/>
                <w:szCs w:val="14"/>
                <w:color w:val="auto"/>
              </w:rPr>
              <w:t>LETTER AGREEMENTS</w:t>
            </w:r>
          </w:p>
        </w:tc>
        <w:tc>
          <w:tcPr>
            <w:tcW w:w="6960" w:type="dxa"/>
            <w:vAlign w:val="bottom"/>
          </w:tcPr>
          <w:p>
            <w:pPr>
              <w:spacing w:after="0"/>
              <w:rPr>
                <w:sz w:val="15"/>
                <w:szCs w:val="15"/>
                <w:color w:val="auto"/>
              </w:rPr>
            </w:pPr>
          </w:p>
        </w:tc>
        <w:tc>
          <w:tcPr>
            <w:tcW w:w="1860" w:type="dxa"/>
            <w:vAlign w:val="bottom"/>
          </w:tcPr>
          <w:p>
            <w:pPr>
              <w:jc w:val="center"/>
              <w:ind w:left="1151"/>
              <w:spacing w:after="0"/>
              <w:rPr>
                <w:sz w:val="20"/>
                <w:szCs w:val="20"/>
                <w:color w:val="auto"/>
              </w:rPr>
            </w:pPr>
            <w:r>
              <w:rPr>
                <w:rFonts w:ascii="Arial" w:cs="Arial" w:eastAsia="Arial" w:hAnsi="Arial"/>
                <w:sz w:val="14"/>
                <w:szCs w:val="14"/>
                <w:color w:val="auto"/>
              </w:rPr>
              <w:t>NUMBER</w:t>
            </w:r>
          </w:p>
        </w:tc>
      </w:tr>
      <w:tr>
        <w:trPr>
          <w:trHeight w:val="309"/>
        </w:trPr>
        <w:tc>
          <w:tcPr>
            <w:tcW w:w="2600" w:type="dxa"/>
            <w:vAlign w:val="bottom"/>
          </w:tcPr>
          <w:p>
            <w:pPr>
              <w:spacing w:after="0"/>
              <w:rPr>
                <w:sz w:val="20"/>
                <w:szCs w:val="20"/>
                <w:color w:val="auto"/>
              </w:rPr>
            </w:pPr>
            <w:r>
              <w:rPr>
                <w:rFonts w:ascii="Arial" w:cs="Arial" w:eastAsia="Arial" w:hAnsi="Arial"/>
                <w:sz w:val="18"/>
                <w:szCs w:val="18"/>
                <w:color w:val="auto"/>
              </w:rPr>
              <w:t>6-1162-AKP-109R3</w:t>
            </w:r>
          </w:p>
        </w:tc>
        <w:tc>
          <w:tcPr>
            <w:tcW w:w="6960" w:type="dxa"/>
            <w:vAlign w:val="bottom"/>
          </w:tcPr>
          <w:p>
            <w:pPr>
              <w:ind w:left="240"/>
              <w:spacing w:after="0"/>
              <w:rPr>
                <w:sz w:val="20"/>
                <w:szCs w:val="20"/>
                <w:color w:val="auto"/>
              </w:rPr>
            </w:pPr>
            <w:r>
              <w:rPr>
                <w:rFonts w:ascii="Arial" w:cs="Arial" w:eastAsia="Arial" w:hAnsi="Arial"/>
                <w:sz w:val="18"/>
                <w:szCs w:val="18"/>
                <w:color w:val="auto"/>
              </w:rPr>
              <w:t>Business Considerations</w:t>
            </w:r>
          </w:p>
        </w:tc>
        <w:tc>
          <w:tcPr>
            <w:tcW w:w="1860" w:type="dxa"/>
            <w:vAlign w:val="bottom"/>
          </w:tcPr>
          <w:p>
            <w:pPr>
              <w:jc w:val="center"/>
              <w:ind w:left="1151"/>
              <w:spacing w:after="0"/>
              <w:rPr>
                <w:sz w:val="20"/>
                <w:szCs w:val="20"/>
                <w:color w:val="auto"/>
              </w:rPr>
            </w:pPr>
            <w:r>
              <w:rPr>
                <w:rFonts w:ascii="Arial" w:cs="Arial" w:eastAsia="Arial" w:hAnsi="Arial"/>
                <w:sz w:val="18"/>
                <w:szCs w:val="18"/>
                <w:color w:val="auto"/>
                <w:w w:val="91"/>
              </w:rPr>
              <w:t>SA-20</w:t>
            </w: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6-1 I 62-AKP-110R3</w:t>
            </w:r>
          </w:p>
        </w:tc>
        <w:tc>
          <w:tcPr>
            <w:tcW w:w="6960" w:type="dxa"/>
            <w:vAlign w:val="bottom"/>
          </w:tcPr>
          <w:p>
            <w:pPr>
              <w:ind w:left="240"/>
              <w:spacing w:after="0"/>
              <w:rPr>
                <w:sz w:val="20"/>
                <w:szCs w:val="20"/>
                <w:color w:val="auto"/>
              </w:rPr>
            </w:pPr>
            <w:r>
              <w:rPr>
                <w:rFonts w:ascii="Arial" w:cs="Arial" w:eastAsia="Arial" w:hAnsi="Arial"/>
                <w:sz w:val="18"/>
                <w:szCs w:val="18"/>
                <w:color w:val="auto"/>
              </w:rPr>
              <w:t>Aircraft Purchase Rights and Substitution Rights</w:t>
            </w:r>
          </w:p>
        </w:tc>
        <w:tc>
          <w:tcPr>
            <w:tcW w:w="1860" w:type="dxa"/>
            <w:vAlign w:val="bottom"/>
          </w:tcPr>
          <w:p>
            <w:pPr>
              <w:jc w:val="center"/>
              <w:ind w:left="1151"/>
              <w:spacing w:after="0"/>
              <w:rPr>
                <w:sz w:val="20"/>
                <w:szCs w:val="20"/>
                <w:color w:val="auto"/>
              </w:rPr>
            </w:pPr>
            <w:r>
              <w:rPr>
                <w:rFonts w:ascii="Arial" w:cs="Arial" w:eastAsia="Arial" w:hAnsi="Arial"/>
                <w:sz w:val="18"/>
                <w:szCs w:val="18"/>
                <w:color w:val="auto"/>
                <w:w w:val="91"/>
              </w:rPr>
              <w:t>SA-20</w:t>
            </w: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Attachment A</w:t>
            </w:r>
          </w:p>
        </w:tc>
        <w:tc>
          <w:tcPr>
            <w:tcW w:w="6960" w:type="dxa"/>
            <w:vAlign w:val="bottom"/>
          </w:tcPr>
          <w:p>
            <w:pPr>
              <w:ind w:left="240"/>
              <w:spacing w:after="0"/>
              <w:rPr>
                <w:sz w:val="20"/>
                <w:szCs w:val="20"/>
                <w:color w:val="auto"/>
              </w:rPr>
            </w:pPr>
            <w:r>
              <w:rPr>
                <w:rFonts w:ascii="Arial" w:cs="Arial" w:eastAsia="Arial" w:hAnsi="Arial"/>
                <w:sz w:val="18"/>
                <w:szCs w:val="18"/>
                <w:color w:val="auto"/>
              </w:rPr>
              <w:t>Description and Price for Eligible Models</w:t>
            </w:r>
          </w:p>
        </w:tc>
        <w:tc>
          <w:tcPr>
            <w:tcW w:w="1860" w:type="dxa"/>
            <w:vAlign w:val="bottom"/>
          </w:tcPr>
          <w:p>
            <w:pPr>
              <w:jc w:val="center"/>
              <w:ind w:left="1151"/>
              <w:spacing w:after="0"/>
              <w:rPr>
                <w:sz w:val="20"/>
                <w:szCs w:val="20"/>
                <w:color w:val="auto"/>
              </w:rPr>
            </w:pPr>
            <w:r>
              <w:rPr>
                <w:rFonts w:ascii="Arial" w:cs="Arial" w:eastAsia="Arial" w:hAnsi="Arial"/>
                <w:sz w:val="18"/>
                <w:szCs w:val="18"/>
                <w:color w:val="auto"/>
                <w:w w:val="91"/>
              </w:rPr>
              <w:t>SA-20</w:t>
            </w:r>
          </w:p>
        </w:tc>
      </w:tr>
      <w:tr>
        <w:trPr>
          <w:trHeight w:val="324"/>
        </w:trPr>
        <w:tc>
          <w:tcPr>
            <w:tcW w:w="2600" w:type="dxa"/>
            <w:vAlign w:val="bottom"/>
          </w:tcPr>
          <w:p>
            <w:pPr>
              <w:spacing w:after="0"/>
              <w:rPr>
                <w:sz w:val="20"/>
                <w:szCs w:val="20"/>
                <w:color w:val="auto"/>
              </w:rPr>
            </w:pPr>
            <w:r>
              <w:rPr>
                <w:rFonts w:ascii="Arial" w:cs="Arial" w:eastAsia="Arial" w:hAnsi="Arial"/>
                <w:sz w:val="18"/>
                <w:szCs w:val="18"/>
                <w:b w:val="1"/>
                <w:bCs w:val="1"/>
                <w:color w:val="auto"/>
              </w:rPr>
              <w:t>Attachment B</w:t>
            </w:r>
          </w:p>
        </w:tc>
        <w:tc>
          <w:tcPr>
            <w:tcW w:w="6960" w:type="dxa"/>
            <w:vAlign w:val="bottom"/>
          </w:tcPr>
          <w:p>
            <w:pPr>
              <w:ind w:left="240"/>
              <w:spacing w:after="0"/>
              <w:rPr>
                <w:sz w:val="20"/>
                <w:szCs w:val="20"/>
                <w:color w:val="auto"/>
              </w:rPr>
            </w:pPr>
            <w:r>
              <w:rPr>
                <w:rFonts w:ascii="Arial" w:cs="Arial" w:eastAsia="Arial" w:hAnsi="Arial"/>
                <w:sz w:val="18"/>
                <w:szCs w:val="18"/>
                <w:b w:val="1"/>
                <w:bCs w:val="1"/>
                <w:color w:val="auto"/>
              </w:rPr>
              <w:t>Information Regarding MADP Rights</w:t>
            </w:r>
          </w:p>
        </w:tc>
        <w:tc>
          <w:tcPr>
            <w:tcW w:w="1860" w:type="dxa"/>
            <w:vAlign w:val="bottom"/>
          </w:tcPr>
          <w:p>
            <w:pPr>
              <w:jc w:val="center"/>
              <w:ind w:left="1151"/>
              <w:spacing w:after="0"/>
              <w:rPr>
                <w:sz w:val="20"/>
                <w:szCs w:val="20"/>
                <w:color w:val="auto"/>
              </w:rPr>
            </w:pPr>
            <w:r>
              <w:rPr>
                <w:rFonts w:ascii="Arial" w:cs="Arial" w:eastAsia="Arial" w:hAnsi="Arial"/>
                <w:sz w:val="18"/>
                <w:szCs w:val="18"/>
                <w:b w:val="1"/>
                <w:bCs w:val="1"/>
                <w:color w:val="auto"/>
                <w:w w:val="90"/>
              </w:rPr>
              <w:t>SA-36</w:t>
            </w:r>
          </w:p>
        </w:tc>
      </w:tr>
      <w:tr>
        <w:trPr>
          <w:trHeight w:val="324"/>
        </w:trPr>
        <w:tc>
          <w:tcPr>
            <w:tcW w:w="2600" w:type="dxa"/>
            <w:vAlign w:val="bottom"/>
          </w:tcPr>
          <w:p>
            <w:pPr>
              <w:spacing w:after="0"/>
              <w:rPr>
                <w:sz w:val="20"/>
                <w:szCs w:val="20"/>
                <w:color w:val="auto"/>
              </w:rPr>
            </w:pPr>
            <w:r>
              <w:rPr>
                <w:rFonts w:ascii="Arial" w:cs="Arial" w:eastAsia="Arial" w:hAnsi="Arial"/>
                <w:sz w:val="18"/>
                <w:szCs w:val="18"/>
                <w:b w:val="1"/>
                <w:bCs w:val="1"/>
                <w:color w:val="auto"/>
              </w:rPr>
              <w:t>Attachment C</w:t>
            </w:r>
          </w:p>
        </w:tc>
        <w:tc>
          <w:tcPr>
            <w:tcW w:w="6960" w:type="dxa"/>
            <w:vAlign w:val="bottom"/>
          </w:tcPr>
          <w:p>
            <w:pPr>
              <w:ind w:left="240"/>
              <w:spacing w:after="0"/>
              <w:rPr>
                <w:sz w:val="20"/>
                <w:szCs w:val="20"/>
                <w:color w:val="auto"/>
              </w:rPr>
            </w:pPr>
            <w:r>
              <w:rPr>
                <w:rFonts w:ascii="Arial" w:cs="Arial" w:eastAsia="Arial" w:hAnsi="Arial"/>
                <w:sz w:val="18"/>
                <w:szCs w:val="18"/>
                <w:b w:val="1"/>
                <w:bCs w:val="1"/>
                <w:color w:val="auto"/>
              </w:rPr>
              <w:t>Information Regarding QADP Rights</w:t>
            </w:r>
          </w:p>
        </w:tc>
        <w:tc>
          <w:tcPr>
            <w:tcW w:w="1860" w:type="dxa"/>
            <w:vAlign w:val="bottom"/>
          </w:tcPr>
          <w:p>
            <w:pPr>
              <w:jc w:val="center"/>
              <w:ind w:left="1151"/>
              <w:spacing w:after="0"/>
              <w:rPr>
                <w:sz w:val="20"/>
                <w:szCs w:val="20"/>
                <w:color w:val="auto"/>
              </w:rPr>
            </w:pPr>
            <w:r>
              <w:rPr>
                <w:rFonts w:ascii="Arial" w:cs="Arial" w:eastAsia="Arial" w:hAnsi="Arial"/>
                <w:sz w:val="18"/>
                <w:szCs w:val="18"/>
                <w:b w:val="1"/>
                <w:bCs w:val="1"/>
                <w:color w:val="auto"/>
                <w:w w:val="90"/>
              </w:rPr>
              <w:t>SA-36</w:t>
            </w: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Attachment D</w:t>
            </w:r>
          </w:p>
        </w:tc>
        <w:tc>
          <w:tcPr>
            <w:tcW w:w="6960" w:type="dxa"/>
            <w:vAlign w:val="bottom"/>
          </w:tcPr>
          <w:p>
            <w:pPr>
              <w:ind w:left="240"/>
              <w:spacing w:after="0"/>
              <w:rPr>
                <w:sz w:val="20"/>
                <w:szCs w:val="20"/>
                <w:color w:val="auto"/>
              </w:rPr>
            </w:pPr>
            <w:r>
              <w:rPr>
                <w:rFonts w:ascii="Arial" w:cs="Arial" w:eastAsia="Arial" w:hAnsi="Arial"/>
                <w:sz w:val="18"/>
                <w:szCs w:val="18"/>
                <w:color w:val="auto"/>
              </w:rPr>
              <w:t>Forms of Purchase Agreement Supplement</w:t>
            </w:r>
          </w:p>
        </w:tc>
        <w:tc>
          <w:tcPr>
            <w:tcW w:w="1860" w:type="dxa"/>
            <w:vAlign w:val="bottom"/>
          </w:tcPr>
          <w:p>
            <w:pPr>
              <w:jc w:val="center"/>
              <w:ind w:left="1151"/>
              <w:spacing w:after="0"/>
              <w:rPr>
                <w:sz w:val="20"/>
                <w:szCs w:val="20"/>
                <w:color w:val="auto"/>
              </w:rPr>
            </w:pPr>
            <w:r>
              <w:rPr>
                <w:rFonts w:ascii="Arial" w:cs="Arial" w:eastAsia="Arial" w:hAnsi="Arial"/>
                <w:sz w:val="18"/>
                <w:szCs w:val="18"/>
                <w:color w:val="auto"/>
                <w:w w:val="91"/>
              </w:rPr>
              <w:t>SA-20</w:t>
            </w: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Attachment E</w:t>
            </w:r>
          </w:p>
        </w:tc>
        <w:tc>
          <w:tcPr>
            <w:tcW w:w="6960" w:type="dxa"/>
            <w:vAlign w:val="bottom"/>
          </w:tcPr>
          <w:p>
            <w:pPr>
              <w:ind w:left="240"/>
              <w:spacing w:after="0"/>
              <w:rPr>
                <w:sz w:val="20"/>
                <w:szCs w:val="20"/>
                <w:color w:val="auto"/>
              </w:rPr>
            </w:pPr>
            <w:r>
              <w:rPr>
                <w:rFonts w:ascii="Arial" w:cs="Arial" w:eastAsia="Arial" w:hAnsi="Arial"/>
                <w:sz w:val="18"/>
                <w:szCs w:val="18"/>
                <w:color w:val="auto"/>
              </w:rPr>
              <w:t>Letter Agreements</w:t>
            </w:r>
          </w:p>
        </w:tc>
        <w:tc>
          <w:tcPr>
            <w:tcW w:w="1860" w:type="dxa"/>
            <w:vAlign w:val="bottom"/>
          </w:tcPr>
          <w:p>
            <w:pPr>
              <w:jc w:val="center"/>
              <w:ind w:left="1151"/>
              <w:spacing w:after="0"/>
              <w:rPr>
                <w:sz w:val="20"/>
                <w:szCs w:val="20"/>
                <w:color w:val="auto"/>
              </w:rPr>
            </w:pPr>
            <w:r>
              <w:rPr>
                <w:rFonts w:ascii="Arial" w:cs="Arial" w:eastAsia="Arial" w:hAnsi="Arial"/>
                <w:sz w:val="18"/>
                <w:szCs w:val="18"/>
                <w:color w:val="auto"/>
                <w:w w:val="91"/>
              </w:rPr>
              <w:t>SA-20</w:t>
            </w: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Attachment F</w:t>
            </w:r>
          </w:p>
        </w:tc>
        <w:tc>
          <w:tcPr>
            <w:tcW w:w="6960" w:type="dxa"/>
            <w:vAlign w:val="bottom"/>
          </w:tcPr>
          <w:p>
            <w:pPr>
              <w:ind w:left="240"/>
              <w:spacing w:after="0"/>
              <w:rPr>
                <w:sz w:val="20"/>
                <w:szCs w:val="20"/>
                <w:color w:val="auto"/>
              </w:rPr>
            </w:pPr>
            <w:r>
              <w:rPr>
                <w:rFonts w:ascii="Arial" w:cs="Arial" w:eastAsia="Arial" w:hAnsi="Arial"/>
                <w:sz w:val="18"/>
                <w:szCs w:val="18"/>
                <w:color w:val="auto"/>
              </w:rPr>
              <w:t>Information regarding MADP and QADP Rights if no 787s are reconfirmed</w:t>
            </w:r>
          </w:p>
        </w:tc>
        <w:tc>
          <w:tcPr>
            <w:tcW w:w="1860" w:type="dxa"/>
            <w:vAlign w:val="bottom"/>
          </w:tcPr>
          <w:p>
            <w:pPr>
              <w:jc w:val="center"/>
              <w:ind w:left="1151"/>
              <w:spacing w:after="0"/>
              <w:rPr>
                <w:sz w:val="20"/>
                <w:szCs w:val="20"/>
                <w:color w:val="auto"/>
              </w:rPr>
            </w:pPr>
            <w:r>
              <w:rPr>
                <w:rFonts w:ascii="Arial" w:cs="Arial" w:eastAsia="Arial" w:hAnsi="Arial"/>
                <w:sz w:val="18"/>
                <w:szCs w:val="18"/>
                <w:color w:val="auto"/>
                <w:w w:val="91"/>
              </w:rPr>
              <w:t>SA-20</w:t>
            </w: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6-1162-AKP-111</w:t>
            </w:r>
          </w:p>
        </w:tc>
        <w:tc>
          <w:tcPr>
            <w:tcW w:w="6960" w:type="dxa"/>
            <w:vAlign w:val="bottom"/>
          </w:tcPr>
          <w:p>
            <w:pPr>
              <w:ind w:left="240"/>
              <w:spacing w:after="0"/>
              <w:rPr>
                <w:sz w:val="20"/>
                <w:szCs w:val="20"/>
                <w:color w:val="auto"/>
              </w:rPr>
            </w:pPr>
            <w:r>
              <w:rPr>
                <w:rFonts w:ascii="Arial" w:cs="Arial" w:eastAsia="Arial" w:hAnsi="Arial"/>
                <w:sz w:val="18"/>
                <w:szCs w:val="18"/>
                <w:color w:val="auto"/>
              </w:rPr>
              <w:t>Aircraft Performance Guarantees</w:t>
            </w:r>
          </w:p>
        </w:tc>
        <w:tc>
          <w:tcPr>
            <w:tcW w:w="1860" w:type="dxa"/>
            <w:vAlign w:val="bottom"/>
          </w:tcPr>
          <w:p>
            <w:pPr>
              <w:spacing w:after="0"/>
              <w:rPr>
                <w:sz w:val="24"/>
                <w:szCs w:val="24"/>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AAL-PA-I980-LA-1003346</w:t>
            </w:r>
          </w:p>
        </w:tc>
        <w:tc>
          <w:tcPr>
            <w:tcW w:w="6960" w:type="dxa"/>
            <w:vAlign w:val="bottom"/>
          </w:tcPr>
          <w:p>
            <w:pPr>
              <w:ind w:left="240"/>
              <w:spacing w:after="0"/>
              <w:rPr>
                <w:sz w:val="20"/>
                <w:szCs w:val="20"/>
                <w:color w:val="auto"/>
              </w:rPr>
            </w:pPr>
            <w:r>
              <w:rPr>
                <w:rFonts w:ascii="Arial" w:cs="Arial" w:eastAsia="Arial" w:hAnsi="Arial"/>
                <w:sz w:val="18"/>
                <w:szCs w:val="18"/>
                <w:color w:val="auto"/>
              </w:rPr>
              <w:t>Aircraft Performance Guarantees - 777-323ER</w:t>
            </w:r>
          </w:p>
        </w:tc>
        <w:tc>
          <w:tcPr>
            <w:tcW w:w="1860" w:type="dxa"/>
            <w:vAlign w:val="bottom"/>
          </w:tcPr>
          <w:p>
            <w:pPr>
              <w:jc w:val="center"/>
              <w:ind w:left="1151"/>
              <w:spacing w:after="0"/>
              <w:rPr>
                <w:sz w:val="20"/>
                <w:szCs w:val="20"/>
                <w:color w:val="auto"/>
              </w:rPr>
            </w:pPr>
            <w:r>
              <w:rPr>
                <w:rFonts w:ascii="Arial" w:cs="Arial" w:eastAsia="Arial" w:hAnsi="Arial"/>
                <w:sz w:val="18"/>
                <w:szCs w:val="18"/>
                <w:color w:val="auto"/>
                <w:w w:val="91"/>
              </w:rPr>
              <w:t>SA-20</w:t>
            </w: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AAL-PA-I980-LA-04205R4</w:t>
            </w:r>
          </w:p>
        </w:tc>
        <w:tc>
          <w:tcPr>
            <w:tcW w:w="6960" w:type="dxa"/>
            <w:vAlign w:val="bottom"/>
          </w:tcPr>
          <w:p>
            <w:pPr>
              <w:ind w:left="240"/>
              <w:spacing w:after="0"/>
              <w:rPr>
                <w:sz w:val="20"/>
                <w:szCs w:val="20"/>
                <w:color w:val="auto"/>
              </w:rPr>
            </w:pPr>
            <w:r>
              <w:rPr>
                <w:rFonts w:ascii="Arial" w:cs="Arial" w:eastAsia="Arial" w:hAnsi="Arial"/>
                <w:sz w:val="18"/>
                <w:szCs w:val="18"/>
                <w:color w:val="auto"/>
              </w:rPr>
              <w:t>Aircraft Performance Guarantees - 777-323ER</w:t>
            </w:r>
          </w:p>
        </w:tc>
        <w:tc>
          <w:tcPr>
            <w:tcW w:w="1860" w:type="dxa"/>
            <w:vAlign w:val="bottom"/>
          </w:tcPr>
          <w:p>
            <w:pPr>
              <w:jc w:val="center"/>
              <w:ind w:left="1151"/>
              <w:spacing w:after="0"/>
              <w:rPr>
                <w:sz w:val="20"/>
                <w:szCs w:val="20"/>
                <w:color w:val="auto"/>
              </w:rPr>
            </w:pPr>
            <w:r>
              <w:rPr>
                <w:rFonts w:ascii="Arial" w:cs="Arial" w:eastAsia="Arial" w:hAnsi="Arial"/>
                <w:sz w:val="18"/>
                <w:szCs w:val="18"/>
                <w:color w:val="auto"/>
                <w:w w:val="91"/>
              </w:rPr>
              <w:t>SA-28</w:t>
            </w: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6-1162-AKP-112</w:t>
            </w:r>
          </w:p>
        </w:tc>
        <w:tc>
          <w:tcPr>
            <w:tcW w:w="6960" w:type="dxa"/>
            <w:vAlign w:val="bottom"/>
          </w:tcPr>
          <w:p>
            <w:pPr>
              <w:ind w:left="240"/>
              <w:spacing w:after="0"/>
              <w:rPr>
                <w:sz w:val="20"/>
                <w:szCs w:val="20"/>
                <w:color w:val="auto"/>
              </w:rPr>
            </w:pPr>
            <w:r>
              <w:rPr>
                <w:rFonts w:ascii="Arial" w:cs="Arial" w:eastAsia="Arial" w:hAnsi="Arial"/>
                <w:sz w:val="18"/>
                <w:szCs w:val="18"/>
                <w:color w:val="auto"/>
              </w:rPr>
              <w:t>Spares Matters</w:t>
            </w:r>
          </w:p>
        </w:tc>
        <w:tc>
          <w:tcPr>
            <w:tcW w:w="1860" w:type="dxa"/>
            <w:vAlign w:val="bottom"/>
          </w:tcPr>
          <w:p>
            <w:pPr>
              <w:spacing w:after="0"/>
              <w:rPr>
                <w:sz w:val="24"/>
                <w:szCs w:val="24"/>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6-1162-AKP-113</w:t>
            </w:r>
          </w:p>
        </w:tc>
        <w:tc>
          <w:tcPr>
            <w:tcW w:w="6960" w:type="dxa"/>
            <w:vAlign w:val="bottom"/>
          </w:tcPr>
          <w:p>
            <w:pPr>
              <w:ind w:left="240"/>
              <w:spacing w:after="0"/>
              <w:rPr>
                <w:sz w:val="20"/>
                <w:szCs w:val="20"/>
                <w:color w:val="auto"/>
              </w:rPr>
            </w:pPr>
            <w:r>
              <w:rPr>
                <w:rFonts w:ascii="Arial" w:cs="Arial" w:eastAsia="Arial" w:hAnsi="Arial"/>
                <w:sz w:val="18"/>
                <w:szCs w:val="18"/>
                <w:color w:val="auto"/>
              </w:rPr>
              <w:t>Model 777 Miscellaneous Commitments</w:t>
            </w:r>
          </w:p>
        </w:tc>
        <w:tc>
          <w:tcPr>
            <w:tcW w:w="1860" w:type="dxa"/>
            <w:vAlign w:val="bottom"/>
          </w:tcPr>
          <w:p>
            <w:pPr>
              <w:spacing w:after="0"/>
              <w:rPr>
                <w:sz w:val="24"/>
                <w:szCs w:val="24"/>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6-l162-AKP-114RI</w:t>
            </w:r>
          </w:p>
        </w:tc>
        <w:tc>
          <w:tcPr>
            <w:tcW w:w="6960" w:type="dxa"/>
            <w:vAlign w:val="bottom"/>
          </w:tcPr>
          <w:p>
            <w:pPr>
              <w:ind w:left="240"/>
              <w:spacing w:after="0"/>
              <w:rPr>
                <w:sz w:val="20"/>
                <w:szCs w:val="20"/>
                <w:color w:val="auto"/>
              </w:rPr>
            </w:pPr>
            <w:r>
              <w:rPr>
                <w:rFonts w:ascii="Arial" w:cs="Arial" w:eastAsia="Arial" w:hAnsi="Arial"/>
                <w:sz w:val="18"/>
                <w:szCs w:val="18"/>
                <w:color w:val="auto"/>
              </w:rPr>
              <w:t>Installation of Cabin Systems Equipment</w:t>
            </w:r>
          </w:p>
        </w:tc>
        <w:tc>
          <w:tcPr>
            <w:tcW w:w="1860" w:type="dxa"/>
            <w:vAlign w:val="bottom"/>
          </w:tcPr>
          <w:p>
            <w:pPr>
              <w:jc w:val="center"/>
              <w:ind w:left="1151"/>
              <w:spacing w:after="0"/>
              <w:rPr>
                <w:sz w:val="20"/>
                <w:szCs w:val="20"/>
                <w:color w:val="auto"/>
              </w:rPr>
            </w:pPr>
            <w:r>
              <w:rPr>
                <w:rFonts w:ascii="Arial" w:cs="Arial" w:eastAsia="Arial" w:hAnsi="Arial"/>
                <w:sz w:val="18"/>
                <w:szCs w:val="18"/>
                <w:color w:val="auto"/>
                <w:w w:val="91"/>
              </w:rPr>
              <w:t>SA-22</w:t>
            </w: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AAL-PA-1980-LA-1003493</w:t>
            </w:r>
          </w:p>
        </w:tc>
        <w:tc>
          <w:tcPr>
            <w:tcW w:w="6960" w:type="dxa"/>
            <w:vAlign w:val="bottom"/>
          </w:tcPr>
          <w:p>
            <w:pPr>
              <w:ind w:left="240"/>
              <w:spacing w:after="0"/>
              <w:rPr>
                <w:sz w:val="20"/>
                <w:szCs w:val="20"/>
                <w:color w:val="auto"/>
              </w:rPr>
            </w:pPr>
            <w:r>
              <w:rPr>
                <w:rFonts w:ascii="Arial" w:cs="Arial" w:eastAsia="Arial" w:hAnsi="Arial"/>
                <w:sz w:val="18"/>
                <w:szCs w:val="18"/>
                <w:color w:val="auto"/>
              </w:rPr>
              <w:t>Installation of Cabin Systems Equipment - 777-323ER</w:t>
            </w:r>
          </w:p>
        </w:tc>
        <w:tc>
          <w:tcPr>
            <w:tcW w:w="1860" w:type="dxa"/>
            <w:vAlign w:val="bottom"/>
          </w:tcPr>
          <w:p>
            <w:pPr>
              <w:jc w:val="center"/>
              <w:ind w:left="1151"/>
              <w:spacing w:after="0"/>
              <w:rPr>
                <w:sz w:val="20"/>
                <w:szCs w:val="20"/>
                <w:color w:val="auto"/>
              </w:rPr>
            </w:pPr>
            <w:r>
              <w:rPr>
                <w:rFonts w:ascii="Arial" w:cs="Arial" w:eastAsia="Arial" w:hAnsi="Arial"/>
                <w:sz w:val="18"/>
                <w:szCs w:val="18"/>
                <w:color w:val="auto"/>
                <w:w w:val="91"/>
              </w:rPr>
              <w:t>SA-20</w:t>
            </w: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6-1162-AKP-115</w:t>
            </w:r>
          </w:p>
        </w:tc>
        <w:tc>
          <w:tcPr>
            <w:tcW w:w="6960" w:type="dxa"/>
            <w:vAlign w:val="bottom"/>
          </w:tcPr>
          <w:p>
            <w:pPr>
              <w:ind w:left="240"/>
              <w:spacing w:after="0"/>
              <w:rPr>
                <w:sz w:val="20"/>
                <w:szCs w:val="20"/>
                <w:color w:val="auto"/>
              </w:rPr>
            </w:pPr>
            <w:r>
              <w:rPr>
                <w:rFonts w:ascii="Arial" w:cs="Arial" w:eastAsia="Arial" w:hAnsi="Arial"/>
                <w:sz w:val="18"/>
                <w:szCs w:val="18"/>
                <w:color w:val="auto"/>
              </w:rPr>
              <w:t>Component and System Reliability Commitments</w:t>
            </w:r>
          </w:p>
        </w:tc>
        <w:tc>
          <w:tcPr>
            <w:tcW w:w="1860" w:type="dxa"/>
            <w:vAlign w:val="bottom"/>
          </w:tcPr>
          <w:p>
            <w:pPr>
              <w:spacing w:after="0"/>
              <w:rPr>
                <w:sz w:val="24"/>
                <w:szCs w:val="24"/>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6-l162-AKP-116</w:t>
            </w:r>
          </w:p>
        </w:tc>
        <w:tc>
          <w:tcPr>
            <w:tcW w:w="6960" w:type="dxa"/>
            <w:vAlign w:val="bottom"/>
          </w:tcPr>
          <w:p>
            <w:pPr>
              <w:ind w:left="240"/>
              <w:spacing w:after="0"/>
              <w:rPr>
                <w:sz w:val="20"/>
                <w:szCs w:val="20"/>
                <w:color w:val="auto"/>
              </w:rPr>
            </w:pPr>
            <w:r>
              <w:rPr>
                <w:rFonts w:ascii="Arial" w:cs="Arial" w:eastAsia="Arial" w:hAnsi="Arial"/>
                <w:sz w:val="18"/>
                <w:szCs w:val="18"/>
                <w:color w:val="auto"/>
              </w:rPr>
              <w:t>Price Adjustment on Rolls-Royce Engines</w:t>
            </w:r>
          </w:p>
        </w:tc>
        <w:tc>
          <w:tcPr>
            <w:tcW w:w="1860" w:type="dxa"/>
            <w:vAlign w:val="bottom"/>
          </w:tcPr>
          <w:p>
            <w:pPr>
              <w:spacing w:after="0"/>
              <w:rPr>
                <w:sz w:val="24"/>
                <w:szCs w:val="24"/>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6-1162-AKP-117</w:t>
            </w:r>
          </w:p>
        </w:tc>
        <w:tc>
          <w:tcPr>
            <w:tcW w:w="6960" w:type="dxa"/>
            <w:vAlign w:val="bottom"/>
          </w:tcPr>
          <w:p>
            <w:pPr>
              <w:ind w:left="240"/>
              <w:spacing w:after="0"/>
              <w:rPr>
                <w:sz w:val="20"/>
                <w:szCs w:val="20"/>
                <w:color w:val="auto"/>
              </w:rPr>
            </w:pPr>
            <w:r>
              <w:rPr>
                <w:rFonts w:ascii="Arial" w:cs="Arial" w:eastAsia="Arial" w:hAnsi="Arial"/>
                <w:sz w:val="18"/>
                <w:szCs w:val="18"/>
                <w:color w:val="auto"/>
              </w:rPr>
              <w:t>Delivery Schedule</w:t>
            </w:r>
          </w:p>
        </w:tc>
        <w:tc>
          <w:tcPr>
            <w:tcW w:w="1860" w:type="dxa"/>
            <w:vAlign w:val="bottom"/>
          </w:tcPr>
          <w:p>
            <w:pPr>
              <w:spacing w:after="0"/>
              <w:rPr>
                <w:sz w:val="24"/>
                <w:szCs w:val="24"/>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6-1162-AKP- 118R2</w:t>
            </w:r>
          </w:p>
        </w:tc>
        <w:tc>
          <w:tcPr>
            <w:tcW w:w="6960" w:type="dxa"/>
            <w:vAlign w:val="bottom"/>
          </w:tcPr>
          <w:p>
            <w:pPr>
              <w:ind w:left="240"/>
              <w:spacing w:after="0"/>
              <w:rPr>
                <w:sz w:val="20"/>
                <w:szCs w:val="20"/>
                <w:color w:val="auto"/>
              </w:rPr>
            </w:pPr>
            <w:r>
              <w:rPr>
                <w:rFonts w:ascii="Arial" w:cs="Arial" w:eastAsia="Arial" w:hAnsi="Arial"/>
                <w:sz w:val="18"/>
                <w:szCs w:val="18"/>
                <w:color w:val="auto"/>
              </w:rPr>
              <w:t>Confidentiality</w:t>
            </w:r>
          </w:p>
        </w:tc>
        <w:tc>
          <w:tcPr>
            <w:tcW w:w="1860" w:type="dxa"/>
            <w:vAlign w:val="bottom"/>
          </w:tcPr>
          <w:p>
            <w:pPr>
              <w:jc w:val="center"/>
              <w:ind w:left="1151"/>
              <w:spacing w:after="0"/>
              <w:rPr>
                <w:sz w:val="20"/>
                <w:szCs w:val="20"/>
                <w:color w:val="auto"/>
              </w:rPr>
            </w:pPr>
            <w:r>
              <w:rPr>
                <w:rFonts w:ascii="Arial" w:cs="Arial" w:eastAsia="Arial" w:hAnsi="Arial"/>
                <w:sz w:val="18"/>
                <w:szCs w:val="18"/>
                <w:color w:val="auto"/>
                <w:w w:val="91"/>
              </w:rPr>
              <w:t>SA-20</w:t>
            </w: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6-1162-AKP-204</w:t>
            </w:r>
          </w:p>
        </w:tc>
        <w:tc>
          <w:tcPr>
            <w:tcW w:w="6960" w:type="dxa"/>
            <w:vAlign w:val="bottom"/>
          </w:tcPr>
          <w:p>
            <w:pPr>
              <w:ind w:left="240"/>
              <w:spacing w:after="0"/>
              <w:rPr>
                <w:sz w:val="20"/>
                <w:szCs w:val="20"/>
                <w:color w:val="auto"/>
              </w:rPr>
            </w:pPr>
            <w:r>
              <w:rPr>
                <w:rFonts w:ascii="Arial" w:cs="Arial" w:eastAsia="Arial" w:hAnsi="Arial"/>
                <w:sz w:val="18"/>
                <w:szCs w:val="18"/>
                <w:color w:val="auto"/>
              </w:rPr>
              <w:t>Multiple Operating Weight Program Model 777-200JGW Aircraft</w:t>
            </w:r>
          </w:p>
        </w:tc>
        <w:tc>
          <w:tcPr>
            <w:tcW w:w="1860" w:type="dxa"/>
            <w:vAlign w:val="bottom"/>
          </w:tcPr>
          <w:p>
            <w:pPr>
              <w:jc w:val="center"/>
              <w:ind w:left="1151"/>
              <w:spacing w:after="0"/>
              <w:rPr>
                <w:sz w:val="20"/>
                <w:szCs w:val="20"/>
                <w:color w:val="auto"/>
              </w:rPr>
            </w:pPr>
            <w:r>
              <w:rPr>
                <w:rFonts w:ascii="Arial" w:cs="Arial" w:eastAsia="Arial" w:hAnsi="Arial"/>
                <w:sz w:val="18"/>
                <w:szCs w:val="18"/>
                <w:color w:val="auto"/>
                <w:w w:val="94"/>
              </w:rPr>
              <w:t>SA-6</w:t>
            </w: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AAL-PA-1 980-LA-1003536R1</w:t>
            </w:r>
          </w:p>
        </w:tc>
        <w:tc>
          <w:tcPr>
            <w:tcW w:w="6960" w:type="dxa"/>
            <w:vAlign w:val="bottom"/>
          </w:tcPr>
          <w:p>
            <w:pPr>
              <w:ind w:left="240"/>
              <w:spacing w:after="0"/>
              <w:rPr>
                <w:sz w:val="20"/>
                <w:szCs w:val="20"/>
                <w:color w:val="auto"/>
              </w:rPr>
            </w:pPr>
            <w:r>
              <w:rPr>
                <w:rFonts w:ascii="Arial" w:cs="Arial" w:eastAsia="Arial" w:hAnsi="Arial"/>
                <w:sz w:val="18"/>
                <w:szCs w:val="18"/>
                <w:color w:val="auto"/>
              </w:rPr>
              <w:t>Multiple Operating Weight Program, Model 777-323ER Aircraft</w:t>
            </w:r>
          </w:p>
        </w:tc>
        <w:tc>
          <w:tcPr>
            <w:tcW w:w="1860" w:type="dxa"/>
            <w:vAlign w:val="bottom"/>
          </w:tcPr>
          <w:p>
            <w:pPr>
              <w:jc w:val="center"/>
              <w:ind w:left="1151"/>
              <w:spacing w:after="0"/>
              <w:rPr>
                <w:sz w:val="20"/>
                <w:szCs w:val="20"/>
                <w:color w:val="auto"/>
              </w:rPr>
            </w:pPr>
            <w:r>
              <w:rPr>
                <w:rFonts w:ascii="Arial" w:cs="Arial" w:eastAsia="Arial" w:hAnsi="Arial"/>
                <w:sz w:val="18"/>
                <w:szCs w:val="18"/>
                <w:color w:val="auto"/>
                <w:w w:val="91"/>
              </w:rPr>
              <w:t>SA-21</w:t>
            </w: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AAL-PA-1980-LA-1003344</w:t>
            </w:r>
          </w:p>
        </w:tc>
        <w:tc>
          <w:tcPr>
            <w:tcW w:w="6960" w:type="dxa"/>
            <w:vAlign w:val="bottom"/>
          </w:tcPr>
          <w:p>
            <w:pPr>
              <w:ind w:left="240"/>
              <w:spacing w:after="0"/>
              <w:rPr>
                <w:sz w:val="20"/>
                <w:szCs w:val="20"/>
                <w:color w:val="auto"/>
              </w:rPr>
            </w:pPr>
            <w:r>
              <w:rPr>
                <w:rFonts w:ascii="Arial" w:cs="Arial" w:eastAsia="Arial" w:hAnsi="Arial"/>
                <w:sz w:val="18"/>
                <w:szCs w:val="18"/>
                <w:color w:val="auto"/>
              </w:rPr>
              <w:t>Open Configuration Matters -777-323ER</w:t>
            </w:r>
          </w:p>
        </w:tc>
        <w:tc>
          <w:tcPr>
            <w:tcW w:w="1860" w:type="dxa"/>
            <w:vAlign w:val="bottom"/>
          </w:tcPr>
          <w:p>
            <w:pPr>
              <w:jc w:val="center"/>
              <w:ind w:left="1151"/>
              <w:spacing w:after="0"/>
              <w:rPr>
                <w:sz w:val="20"/>
                <w:szCs w:val="20"/>
                <w:color w:val="auto"/>
              </w:rPr>
            </w:pPr>
            <w:r>
              <w:rPr>
                <w:rFonts w:ascii="Arial" w:cs="Arial" w:eastAsia="Arial" w:hAnsi="Arial"/>
                <w:sz w:val="18"/>
                <w:szCs w:val="18"/>
                <w:color w:val="auto"/>
                <w:w w:val="91"/>
              </w:rPr>
              <w:t>SA-20</w:t>
            </w: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AAL-PA-1980-LA-1104563</w:t>
            </w:r>
          </w:p>
        </w:tc>
        <w:tc>
          <w:tcPr>
            <w:tcW w:w="6960" w:type="dxa"/>
            <w:vAlign w:val="bottom"/>
          </w:tcPr>
          <w:p>
            <w:pPr>
              <w:ind w:left="240"/>
              <w:spacing w:after="0"/>
              <w:rPr>
                <w:sz w:val="20"/>
                <w:szCs w:val="20"/>
                <w:color w:val="auto"/>
              </w:rPr>
            </w:pPr>
            <w:r>
              <w:rPr>
                <w:rFonts w:ascii="Arial" w:cs="Arial" w:eastAsia="Arial" w:hAnsi="Arial"/>
                <w:sz w:val="18"/>
                <w:szCs w:val="18"/>
                <w:color w:val="auto"/>
              </w:rPr>
              <w:t>Performance Guarantees for Rights Aircraft</w:t>
            </w:r>
          </w:p>
        </w:tc>
        <w:tc>
          <w:tcPr>
            <w:tcW w:w="1860" w:type="dxa"/>
            <w:vAlign w:val="bottom"/>
          </w:tcPr>
          <w:p>
            <w:pPr>
              <w:jc w:val="center"/>
              <w:ind w:left="1151"/>
              <w:spacing w:after="0"/>
              <w:rPr>
                <w:sz w:val="20"/>
                <w:szCs w:val="20"/>
                <w:color w:val="auto"/>
              </w:rPr>
            </w:pPr>
            <w:r>
              <w:rPr>
                <w:rFonts w:ascii="Arial" w:cs="Arial" w:eastAsia="Arial" w:hAnsi="Arial"/>
                <w:sz w:val="18"/>
                <w:szCs w:val="18"/>
                <w:color w:val="auto"/>
                <w:w w:val="91"/>
              </w:rPr>
              <w:t>SA-23</w:t>
            </w: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AAL-PA-1980-LA-1105629</w:t>
            </w:r>
          </w:p>
        </w:tc>
        <w:tc>
          <w:tcPr>
            <w:tcW w:w="6960" w:type="dxa"/>
            <w:vAlign w:val="bottom"/>
          </w:tcPr>
          <w:p>
            <w:pPr>
              <w:ind w:left="240"/>
              <w:spacing w:after="0"/>
              <w:rPr>
                <w:sz w:val="20"/>
                <w:szCs w:val="20"/>
                <w:color w:val="auto"/>
              </w:rPr>
            </w:pPr>
            <w:r>
              <w:rPr>
                <w:rFonts w:ascii="Arial" w:cs="Arial" w:eastAsia="Arial" w:hAnsi="Arial"/>
                <w:sz w:val="18"/>
                <w:szCs w:val="18"/>
                <w:color w:val="auto"/>
              </w:rPr>
              <w:t>Advance Payments and Permitted Transactions</w:t>
            </w:r>
          </w:p>
        </w:tc>
        <w:tc>
          <w:tcPr>
            <w:tcW w:w="1860" w:type="dxa"/>
            <w:vAlign w:val="bottom"/>
          </w:tcPr>
          <w:p>
            <w:pPr>
              <w:jc w:val="center"/>
              <w:ind w:left="1151"/>
              <w:spacing w:after="0"/>
              <w:rPr>
                <w:sz w:val="20"/>
                <w:szCs w:val="20"/>
                <w:color w:val="auto"/>
              </w:rPr>
            </w:pPr>
            <w:r>
              <w:rPr>
                <w:rFonts w:ascii="Arial" w:cs="Arial" w:eastAsia="Arial" w:hAnsi="Arial"/>
                <w:sz w:val="18"/>
                <w:szCs w:val="18"/>
                <w:color w:val="auto"/>
                <w:w w:val="91"/>
              </w:rPr>
              <w:t>SA-25</w:t>
            </w:r>
          </w:p>
        </w:tc>
      </w:tr>
      <w:tr>
        <w:trPr>
          <w:trHeight w:val="310"/>
        </w:trPr>
        <w:tc>
          <w:tcPr>
            <w:tcW w:w="2600" w:type="dxa"/>
            <w:vAlign w:val="bottom"/>
          </w:tcPr>
          <w:p>
            <w:pPr>
              <w:spacing w:after="0"/>
              <w:rPr>
                <w:sz w:val="20"/>
                <w:szCs w:val="20"/>
                <w:color w:val="auto"/>
              </w:rPr>
            </w:pPr>
            <w:r>
              <w:rPr>
                <w:rFonts w:ascii="Arial" w:cs="Arial" w:eastAsia="Arial" w:hAnsi="Arial"/>
                <w:sz w:val="18"/>
                <w:szCs w:val="18"/>
                <w:color w:val="auto"/>
              </w:rPr>
              <w:t>AAL PA 1980-LA-1207588</w:t>
            </w:r>
          </w:p>
        </w:tc>
        <w:tc>
          <w:tcPr>
            <w:tcW w:w="6960" w:type="dxa"/>
            <w:vAlign w:val="bottom"/>
          </w:tcPr>
          <w:p>
            <w:pPr>
              <w:ind w:left="240"/>
              <w:spacing w:after="0"/>
              <w:rPr>
                <w:sz w:val="20"/>
                <w:szCs w:val="20"/>
                <w:color w:val="auto"/>
              </w:rPr>
            </w:pPr>
            <w:r>
              <w:rPr>
                <w:rFonts w:ascii="Arial" w:cs="Arial" w:eastAsia="Arial" w:hAnsi="Arial"/>
                <w:sz w:val="18"/>
                <w:szCs w:val="18"/>
                <w:color w:val="auto"/>
              </w:rPr>
              <w:t>[*CTR]</w:t>
            </w:r>
          </w:p>
        </w:tc>
        <w:tc>
          <w:tcPr>
            <w:tcW w:w="1860" w:type="dxa"/>
            <w:vAlign w:val="bottom"/>
          </w:tcPr>
          <w:p>
            <w:pPr>
              <w:jc w:val="center"/>
              <w:ind w:left="1151"/>
              <w:spacing w:after="0"/>
              <w:rPr>
                <w:sz w:val="20"/>
                <w:szCs w:val="20"/>
                <w:color w:val="auto"/>
              </w:rPr>
            </w:pPr>
            <w:r>
              <w:rPr>
                <w:rFonts w:ascii="Arial" w:cs="Arial" w:eastAsia="Arial" w:hAnsi="Arial"/>
                <w:sz w:val="18"/>
                <w:szCs w:val="18"/>
                <w:color w:val="auto"/>
                <w:w w:val="91"/>
              </w:rPr>
              <w:t>SA-30</w:t>
            </w:r>
          </w:p>
        </w:tc>
      </w:tr>
      <w:tr>
        <w:trPr>
          <w:trHeight w:val="230"/>
        </w:trPr>
        <w:tc>
          <w:tcPr>
            <w:tcW w:w="2600" w:type="dxa"/>
            <w:vAlign w:val="bottom"/>
          </w:tcPr>
          <w:p>
            <w:pPr>
              <w:spacing w:after="0"/>
              <w:rPr>
                <w:sz w:val="20"/>
                <w:szCs w:val="20"/>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for Undelivered Aircraft</w:t>
            </w:r>
          </w:p>
        </w:tc>
        <w:tc>
          <w:tcPr>
            <w:tcW w:w="1860" w:type="dxa"/>
            <w:vAlign w:val="bottom"/>
          </w:tcPr>
          <w:p>
            <w:pPr>
              <w:spacing w:after="0"/>
              <w:rPr>
                <w:sz w:val="20"/>
                <w:szCs w:val="20"/>
                <w:color w:val="auto"/>
              </w:rPr>
            </w:pP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AAL-PA-1980-LA-1208920</w:t>
            </w:r>
          </w:p>
        </w:tc>
        <w:tc>
          <w:tcPr>
            <w:tcW w:w="6960" w:type="dxa"/>
            <w:vAlign w:val="bottom"/>
          </w:tcPr>
          <w:p>
            <w:pPr>
              <w:ind w:left="240"/>
              <w:spacing w:after="0"/>
              <w:rPr>
                <w:sz w:val="20"/>
                <w:szCs w:val="20"/>
                <w:color w:val="auto"/>
              </w:rPr>
            </w:pPr>
            <w:r>
              <w:rPr>
                <w:rFonts w:ascii="Arial" w:cs="Arial" w:eastAsia="Arial" w:hAnsi="Arial"/>
                <w:sz w:val="18"/>
                <w:szCs w:val="18"/>
                <w:color w:val="auto"/>
              </w:rPr>
              <w:t>Delivery Flexibility for [*CTR] Purchase Rights</w:t>
            </w:r>
          </w:p>
        </w:tc>
        <w:tc>
          <w:tcPr>
            <w:tcW w:w="1860" w:type="dxa"/>
            <w:vAlign w:val="bottom"/>
          </w:tcPr>
          <w:p>
            <w:pPr>
              <w:jc w:val="center"/>
              <w:ind w:left="1151"/>
              <w:spacing w:after="0"/>
              <w:rPr>
                <w:sz w:val="20"/>
                <w:szCs w:val="20"/>
                <w:color w:val="auto"/>
              </w:rPr>
            </w:pPr>
            <w:r>
              <w:rPr>
                <w:rFonts w:ascii="Arial" w:cs="Arial" w:eastAsia="Arial" w:hAnsi="Arial"/>
                <w:sz w:val="18"/>
                <w:szCs w:val="18"/>
                <w:color w:val="auto"/>
                <w:w w:val="91"/>
              </w:rPr>
              <w:t>SA-30</w:t>
            </w:r>
          </w:p>
        </w:tc>
      </w:tr>
      <w:tr>
        <w:trPr>
          <w:trHeight w:val="324"/>
        </w:trPr>
        <w:tc>
          <w:tcPr>
            <w:tcW w:w="2600" w:type="dxa"/>
            <w:vAlign w:val="bottom"/>
          </w:tcPr>
          <w:p>
            <w:pPr>
              <w:spacing w:after="0"/>
              <w:rPr>
                <w:sz w:val="20"/>
                <w:szCs w:val="20"/>
                <w:color w:val="auto"/>
              </w:rPr>
            </w:pPr>
            <w:r>
              <w:rPr>
                <w:rFonts w:ascii="Arial" w:cs="Arial" w:eastAsia="Arial" w:hAnsi="Arial"/>
                <w:sz w:val="18"/>
                <w:szCs w:val="18"/>
                <w:color w:val="auto"/>
              </w:rPr>
              <w:t>AAL-LA-1106678</w:t>
            </w:r>
          </w:p>
        </w:tc>
        <w:tc>
          <w:tcPr>
            <w:tcW w:w="6960" w:type="dxa"/>
            <w:vAlign w:val="bottom"/>
          </w:tcPr>
          <w:p>
            <w:pPr>
              <w:ind w:left="240"/>
              <w:spacing w:after="0"/>
              <w:rPr>
                <w:sz w:val="20"/>
                <w:szCs w:val="20"/>
                <w:color w:val="auto"/>
              </w:rPr>
            </w:pPr>
            <w:r>
              <w:rPr>
                <w:rFonts w:ascii="Arial" w:cs="Arial" w:eastAsia="Arial" w:hAnsi="Arial"/>
                <w:sz w:val="18"/>
                <w:szCs w:val="18"/>
                <w:color w:val="auto"/>
              </w:rPr>
              <w:t>Assignment Matters</w:t>
            </w:r>
          </w:p>
        </w:tc>
        <w:tc>
          <w:tcPr>
            <w:tcW w:w="1860" w:type="dxa"/>
            <w:vAlign w:val="bottom"/>
          </w:tcPr>
          <w:p>
            <w:pPr>
              <w:jc w:val="center"/>
              <w:ind w:left="1151"/>
              <w:spacing w:after="0"/>
              <w:rPr>
                <w:sz w:val="20"/>
                <w:szCs w:val="20"/>
                <w:color w:val="auto"/>
              </w:rPr>
            </w:pPr>
            <w:r>
              <w:rPr>
                <w:rFonts w:ascii="Arial" w:cs="Arial" w:eastAsia="Arial" w:hAnsi="Arial"/>
                <w:sz w:val="18"/>
                <w:szCs w:val="18"/>
                <w:color w:val="auto"/>
                <w:w w:val="91"/>
              </w:rPr>
              <w:t>SA-33</w:t>
            </w:r>
          </w:p>
        </w:tc>
      </w:tr>
      <w:tr>
        <w:trPr>
          <w:trHeight w:val="346"/>
        </w:trPr>
        <w:tc>
          <w:tcPr>
            <w:tcW w:w="2600" w:type="dxa"/>
            <w:vAlign w:val="bottom"/>
          </w:tcPr>
          <w:p>
            <w:pPr>
              <w:spacing w:after="0"/>
              <w:rPr>
                <w:sz w:val="20"/>
                <w:szCs w:val="20"/>
                <w:color w:val="auto"/>
              </w:rPr>
            </w:pPr>
            <w:r>
              <w:rPr>
                <w:rFonts w:ascii="Arial" w:cs="Arial" w:eastAsia="Arial" w:hAnsi="Arial"/>
                <w:sz w:val="18"/>
                <w:szCs w:val="18"/>
                <w:color w:val="auto"/>
              </w:rPr>
              <w:t>PA No. 1980</w:t>
            </w:r>
          </w:p>
        </w:tc>
        <w:tc>
          <w:tcPr>
            <w:tcW w:w="6960" w:type="dxa"/>
            <w:vAlign w:val="bottom"/>
          </w:tcPr>
          <w:p>
            <w:pPr>
              <w:ind w:left="2300"/>
              <w:spacing w:after="0"/>
              <w:rPr>
                <w:sz w:val="20"/>
                <w:szCs w:val="20"/>
                <w:color w:val="auto"/>
              </w:rPr>
            </w:pPr>
            <w:r>
              <w:rPr>
                <w:rFonts w:ascii="Arial" w:cs="Arial" w:eastAsia="Arial" w:hAnsi="Arial"/>
                <w:sz w:val="18"/>
                <w:szCs w:val="18"/>
                <w:color w:val="auto"/>
              </w:rPr>
              <w:t>Table of Contents Page iii</w:t>
            </w:r>
          </w:p>
        </w:tc>
        <w:tc>
          <w:tcPr>
            <w:tcW w:w="1860" w:type="dxa"/>
            <w:vAlign w:val="bottom"/>
          </w:tcPr>
          <w:p>
            <w:pPr>
              <w:ind w:left="1400"/>
              <w:spacing w:after="0"/>
              <w:rPr>
                <w:sz w:val="20"/>
                <w:szCs w:val="20"/>
                <w:color w:val="auto"/>
              </w:rPr>
            </w:pPr>
            <w:r>
              <w:rPr>
                <w:rFonts w:ascii="Arial" w:cs="Arial" w:eastAsia="Arial" w:hAnsi="Arial"/>
                <w:sz w:val="18"/>
                <w:szCs w:val="18"/>
                <w:color w:val="auto"/>
                <w:w w:val="89"/>
              </w:rPr>
              <w:t>SA 36</w:t>
            </w:r>
          </w:p>
        </w:tc>
      </w:tr>
      <w:tr>
        <w:trPr>
          <w:trHeight w:val="234"/>
        </w:trPr>
        <w:tc>
          <w:tcPr>
            <w:tcW w:w="2600" w:type="dxa"/>
            <w:vAlign w:val="bottom"/>
          </w:tcPr>
          <w:p>
            <w:pPr>
              <w:spacing w:after="0"/>
              <w:rPr>
                <w:sz w:val="20"/>
                <w:szCs w:val="20"/>
                <w:color w:val="auto"/>
              </w:rPr>
            </w:pPr>
          </w:p>
        </w:tc>
        <w:tc>
          <w:tcPr>
            <w:tcW w:w="6960" w:type="dxa"/>
            <w:vAlign w:val="bottom"/>
          </w:tcPr>
          <w:p>
            <w:pPr>
              <w:ind w:left="2380"/>
              <w:spacing w:after="0"/>
              <w:rPr>
                <w:sz w:val="20"/>
                <w:szCs w:val="20"/>
                <w:color w:val="auto"/>
              </w:rPr>
            </w:pPr>
            <w:r>
              <w:rPr>
                <w:rFonts w:ascii="Arial" w:cs="Arial" w:eastAsia="Arial" w:hAnsi="Arial"/>
                <w:sz w:val="18"/>
                <w:szCs w:val="18"/>
                <w:b w:val="1"/>
                <w:bCs w:val="1"/>
                <w:color w:val="auto"/>
              </w:rPr>
              <w:t>Boeing Proprietary</w:t>
            </w:r>
          </w:p>
        </w:tc>
        <w:tc>
          <w:tcPr>
            <w:tcW w:w="1860" w:type="dxa"/>
            <w:vAlign w:val="bottom"/>
          </w:tcPr>
          <w:p>
            <w:pPr>
              <w:spacing w:after="0"/>
              <w:rPr>
                <w:sz w:val="20"/>
                <w:szCs w:val="20"/>
                <w:color w:val="auto"/>
              </w:rPr>
            </w:pPr>
          </w:p>
        </w:tc>
      </w:tr>
    </w:tbl>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1-8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Agreement No. PA-01980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777-323ER Aircraft Delivery, Description, Price and Advance Payments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Airframe Model/MTOW:</w:t>
            </w:r>
          </w:p>
        </w:tc>
        <w:tc>
          <w:tcPr>
            <w:tcW w:w="1140" w:type="dxa"/>
            <w:vAlign w:val="bottom"/>
          </w:tcPr>
          <w:p>
            <w:pPr>
              <w:jc w:val="center"/>
              <w:ind w:right="70"/>
              <w:spacing w:after="0"/>
              <w:rPr>
                <w:sz w:val="20"/>
                <w:szCs w:val="20"/>
                <w:color w:val="auto"/>
              </w:rPr>
            </w:pPr>
            <w:r>
              <w:rPr>
                <w:rFonts w:ascii="Arial" w:cs="Arial" w:eastAsia="Arial" w:hAnsi="Arial"/>
                <w:sz w:val="18"/>
                <w:szCs w:val="18"/>
                <w:color w:val="auto"/>
                <w:w w:val="90"/>
              </w:rPr>
              <w:t>777-300ER</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775000 pounds</w:t>
            </w:r>
          </w:p>
        </w:tc>
        <w:tc>
          <w:tcPr>
            <w:tcW w:w="2600" w:type="dxa"/>
            <w:vAlign w:val="bottom"/>
            <w:gridSpan w:val="2"/>
          </w:tcPr>
          <w:p>
            <w:pPr>
              <w:spacing w:after="0"/>
              <w:rPr>
                <w:sz w:val="20"/>
                <w:szCs w:val="20"/>
                <w:color w:val="auto"/>
              </w:rPr>
            </w:pPr>
            <w:r>
              <w:rPr>
                <w:rFonts w:ascii="Arial" w:cs="Arial" w:eastAsia="Arial" w:hAnsi="Arial"/>
                <w:sz w:val="18"/>
                <w:szCs w:val="18"/>
                <w:color w:val="auto"/>
              </w:rPr>
              <w:t>Detail Specification:</w:t>
            </w:r>
          </w:p>
        </w:tc>
        <w:tc>
          <w:tcPr>
            <w:tcW w:w="1920" w:type="dxa"/>
            <w:vAlign w:val="bottom"/>
          </w:tcPr>
          <w:p>
            <w:pPr>
              <w:ind w:left="120"/>
              <w:spacing w:after="0"/>
              <w:rPr>
                <w:sz w:val="20"/>
                <w:szCs w:val="20"/>
                <w:color w:val="auto"/>
              </w:rPr>
            </w:pPr>
            <w:r>
              <w:rPr>
                <w:rFonts w:ascii="Arial" w:cs="Arial" w:eastAsia="Arial" w:hAnsi="Arial"/>
                <w:sz w:val="18"/>
                <w:szCs w:val="18"/>
                <w:color w:val="auto"/>
              </w:rPr>
              <w:t>[*CTR]</w:t>
            </w:r>
          </w:p>
        </w:tc>
        <w:tc>
          <w:tcPr>
            <w:tcW w:w="780" w:type="dxa"/>
            <w:vAlign w:val="bottom"/>
          </w:tcPr>
          <w:p>
            <w:pPr>
              <w:spacing w:after="0"/>
              <w:rPr>
                <w:sz w:val="20"/>
                <w:szCs w:val="20"/>
                <w:color w:val="auto"/>
              </w:rPr>
            </w:pPr>
          </w:p>
        </w:tc>
      </w:tr>
      <w:tr>
        <w:trPr>
          <w:trHeight w:val="310"/>
        </w:trPr>
        <w:tc>
          <w:tcPr>
            <w:tcW w:w="3260" w:type="dxa"/>
            <w:vAlign w:val="bottom"/>
          </w:tcPr>
          <w:p>
            <w:pPr>
              <w:spacing w:after="0"/>
              <w:rPr>
                <w:sz w:val="20"/>
                <w:szCs w:val="20"/>
                <w:color w:val="auto"/>
              </w:rPr>
            </w:pPr>
            <w:r>
              <w:rPr>
                <w:rFonts w:ascii="Arial" w:cs="Arial" w:eastAsia="Arial" w:hAnsi="Arial"/>
                <w:sz w:val="18"/>
                <w:szCs w:val="18"/>
                <w:color w:val="auto"/>
              </w:rPr>
              <w:t>Engine Model/Thrust:</w:t>
            </w:r>
          </w:p>
        </w:tc>
        <w:tc>
          <w:tcPr>
            <w:tcW w:w="1140" w:type="dxa"/>
            <w:vAlign w:val="bottom"/>
          </w:tcPr>
          <w:p>
            <w:pPr>
              <w:jc w:val="center"/>
              <w:ind w:right="70"/>
              <w:spacing w:after="0"/>
              <w:rPr>
                <w:sz w:val="20"/>
                <w:szCs w:val="20"/>
                <w:color w:val="auto"/>
              </w:rPr>
            </w:pPr>
            <w:r>
              <w:rPr>
                <w:rFonts w:ascii="Arial" w:cs="Arial" w:eastAsia="Arial" w:hAnsi="Arial"/>
                <w:sz w:val="18"/>
                <w:szCs w:val="18"/>
                <w:color w:val="auto"/>
                <w:w w:val="94"/>
              </w:rPr>
              <w:t>GE90-115BL</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115300 pounds</w:t>
            </w:r>
          </w:p>
        </w:tc>
        <w:tc>
          <w:tcPr>
            <w:tcW w:w="2600" w:type="dxa"/>
            <w:vAlign w:val="bottom"/>
            <w:gridSpan w:val="2"/>
          </w:tcPr>
          <w:p>
            <w:pPr>
              <w:spacing w:after="0"/>
              <w:rPr>
                <w:sz w:val="20"/>
                <w:szCs w:val="20"/>
                <w:color w:val="auto"/>
              </w:rPr>
            </w:pPr>
            <w:r>
              <w:rPr>
                <w:rFonts w:ascii="Arial" w:cs="Arial" w:eastAsia="Arial" w:hAnsi="Arial"/>
                <w:sz w:val="18"/>
                <w:szCs w:val="18"/>
                <w:color w:val="auto"/>
              </w:rPr>
              <w:t>Airframe Price Base</w:t>
            </w:r>
          </w:p>
        </w:tc>
        <w:tc>
          <w:tcPr>
            <w:tcW w:w="1920" w:type="dxa"/>
            <w:vAlign w:val="bottom"/>
          </w:tcPr>
          <w:p>
            <w:pPr>
              <w:ind w:left="1120"/>
              <w:spacing w:after="0"/>
              <w:rPr>
                <w:sz w:val="20"/>
                <w:szCs w:val="20"/>
                <w:color w:val="auto"/>
              </w:rPr>
            </w:pPr>
            <w:r>
              <w:rPr>
                <w:rFonts w:ascii="Arial" w:cs="Arial" w:eastAsia="Arial" w:hAnsi="Arial"/>
                <w:sz w:val="18"/>
                <w:szCs w:val="18"/>
                <w:color w:val="auto"/>
              </w:rPr>
              <w:t>[*CTR]</w:t>
            </w:r>
          </w:p>
        </w:tc>
        <w:tc>
          <w:tcPr>
            <w:tcW w:w="780" w:type="dxa"/>
            <w:vAlign w:val="bottom"/>
          </w:tcPr>
          <w:p>
            <w:pPr>
              <w:jc w:val="right"/>
              <w:spacing w:after="0"/>
              <w:rPr>
                <w:sz w:val="20"/>
                <w:szCs w:val="20"/>
                <w:color w:val="auto"/>
              </w:rPr>
            </w:pPr>
            <w:r>
              <w:rPr>
                <w:rFonts w:ascii="Arial" w:cs="Arial" w:eastAsia="Arial" w:hAnsi="Arial"/>
                <w:sz w:val="18"/>
                <w:szCs w:val="18"/>
                <w:color w:val="auto"/>
              </w:rPr>
              <w:t>[*CTR]</w:t>
            </w:r>
          </w:p>
        </w:tc>
      </w:tr>
      <w:tr>
        <w:trPr>
          <w:trHeight w:val="230"/>
        </w:trPr>
        <w:tc>
          <w:tcPr>
            <w:tcW w:w="3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Year/Escalation Formula:</w:t>
            </w:r>
          </w:p>
        </w:tc>
        <w:tc>
          <w:tcPr>
            <w:tcW w:w="19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10"/>
        </w:trPr>
        <w:tc>
          <w:tcPr>
            <w:tcW w:w="3260" w:type="dxa"/>
            <w:vAlign w:val="bottom"/>
          </w:tcPr>
          <w:p>
            <w:pPr>
              <w:spacing w:after="0"/>
              <w:rPr>
                <w:sz w:val="20"/>
                <w:szCs w:val="20"/>
                <w:color w:val="auto"/>
              </w:rPr>
            </w:pPr>
            <w:r>
              <w:rPr>
                <w:rFonts w:ascii="Arial" w:cs="Arial" w:eastAsia="Arial" w:hAnsi="Arial"/>
                <w:sz w:val="18"/>
                <w:szCs w:val="18"/>
                <w:color w:val="auto"/>
              </w:rPr>
              <w:t>Airframe Price:</w:t>
            </w:r>
          </w:p>
        </w:tc>
        <w:tc>
          <w:tcPr>
            <w:tcW w:w="1140" w:type="dxa"/>
            <w:vAlign w:val="bottom"/>
          </w:tcPr>
          <w:p>
            <w:pPr>
              <w:spacing w:after="0"/>
              <w:rPr>
                <w:sz w:val="24"/>
                <w:szCs w:val="24"/>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[*CTR]</w:t>
            </w:r>
          </w:p>
        </w:tc>
        <w:tc>
          <w:tcPr>
            <w:tcW w:w="2600" w:type="dxa"/>
            <w:vAlign w:val="bottom"/>
            <w:gridSpan w:val="2"/>
          </w:tcPr>
          <w:p>
            <w:pPr>
              <w:spacing w:after="0"/>
              <w:rPr>
                <w:sz w:val="20"/>
                <w:szCs w:val="20"/>
                <w:color w:val="auto"/>
              </w:rPr>
            </w:pPr>
            <w:r>
              <w:rPr>
                <w:rFonts w:ascii="Arial" w:cs="Arial" w:eastAsia="Arial" w:hAnsi="Arial"/>
                <w:sz w:val="18"/>
                <w:szCs w:val="18"/>
                <w:color w:val="auto"/>
                <w:w w:val="92"/>
              </w:rPr>
              <w:t>Engine Price Base Year/Escalation</w:t>
            </w:r>
          </w:p>
        </w:tc>
        <w:tc>
          <w:tcPr>
            <w:tcW w:w="1920" w:type="dxa"/>
            <w:vAlign w:val="bottom"/>
          </w:tcPr>
          <w:p>
            <w:pPr>
              <w:ind w:left="1120"/>
              <w:spacing w:after="0"/>
              <w:rPr>
                <w:sz w:val="20"/>
                <w:szCs w:val="20"/>
                <w:color w:val="auto"/>
              </w:rPr>
            </w:pPr>
            <w:r>
              <w:rPr>
                <w:rFonts w:ascii="Arial" w:cs="Arial" w:eastAsia="Arial" w:hAnsi="Arial"/>
                <w:sz w:val="18"/>
                <w:szCs w:val="18"/>
                <w:color w:val="auto"/>
              </w:rPr>
              <w:t>[*CTR]</w:t>
            </w:r>
          </w:p>
        </w:tc>
        <w:tc>
          <w:tcPr>
            <w:tcW w:w="780" w:type="dxa"/>
            <w:vAlign w:val="bottom"/>
          </w:tcPr>
          <w:p>
            <w:pPr>
              <w:jc w:val="right"/>
              <w:spacing w:after="0"/>
              <w:rPr>
                <w:sz w:val="20"/>
                <w:szCs w:val="20"/>
                <w:color w:val="auto"/>
              </w:rPr>
            </w:pPr>
            <w:r>
              <w:rPr>
                <w:rFonts w:ascii="Arial" w:cs="Arial" w:eastAsia="Arial" w:hAnsi="Arial"/>
                <w:sz w:val="18"/>
                <w:szCs w:val="18"/>
                <w:color w:val="auto"/>
              </w:rPr>
              <w:t>*CTR]</w:t>
            </w:r>
          </w:p>
        </w:tc>
      </w:tr>
      <w:tr>
        <w:trPr>
          <w:trHeight w:val="230"/>
        </w:trPr>
        <w:tc>
          <w:tcPr>
            <w:tcW w:w="3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auto"/>
              </w:rPr>
              <w:t>Formula:</w:t>
            </w:r>
          </w:p>
        </w:tc>
        <w:tc>
          <w:tcPr>
            <w:tcW w:w="19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24"/>
        </w:trPr>
        <w:tc>
          <w:tcPr>
            <w:tcW w:w="3260" w:type="dxa"/>
            <w:vAlign w:val="bottom"/>
          </w:tcPr>
          <w:p>
            <w:pPr>
              <w:spacing w:after="0"/>
              <w:rPr>
                <w:sz w:val="20"/>
                <w:szCs w:val="20"/>
                <w:color w:val="auto"/>
              </w:rPr>
            </w:pPr>
            <w:r>
              <w:rPr>
                <w:rFonts w:ascii="Arial" w:cs="Arial" w:eastAsia="Arial" w:hAnsi="Arial"/>
                <w:sz w:val="18"/>
                <w:szCs w:val="18"/>
                <w:color w:val="auto"/>
              </w:rPr>
              <w:t>Optional Features:</w:t>
            </w:r>
          </w:p>
        </w:tc>
        <w:tc>
          <w:tcPr>
            <w:tcW w:w="1140" w:type="dxa"/>
            <w:vAlign w:val="bottom"/>
          </w:tcPr>
          <w:p>
            <w:pPr>
              <w:spacing w:after="0"/>
              <w:rPr>
                <w:sz w:val="24"/>
                <w:szCs w:val="24"/>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[*CTR]</w:t>
            </w:r>
          </w:p>
        </w:tc>
        <w:tc>
          <w:tcPr>
            <w:tcW w:w="1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84"/>
        </w:trPr>
        <w:tc>
          <w:tcPr>
            <w:tcW w:w="3260" w:type="dxa"/>
            <w:vAlign w:val="bottom"/>
          </w:tcPr>
          <w:p>
            <w:pPr>
              <w:spacing w:after="0"/>
              <w:rPr>
                <w:sz w:val="20"/>
                <w:szCs w:val="20"/>
                <w:color w:val="auto"/>
              </w:rPr>
            </w:pPr>
            <w:r>
              <w:rPr>
                <w:rFonts w:ascii="Arial" w:cs="Arial" w:eastAsia="Arial" w:hAnsi="Arial"/>
                <w:sz w:val="18"/>
                <w:szCs w:val="18"/>
                <w:color w:val="auto"/>
              </w:rPr>
              <w:t>Sub-Total of Airframe and Features:</w:t>
            </w:r>
          </w:p>
        </w:tc>
        <w:tc>
          <w:tcPr>
            <w:tcW w:w="1140" w:type="dxa"/>
            <w:vAlign w:val="bottom"/>
          </w:tcPr>
          <w:p>
            <w:pPr>
              <w:spacing w:after="0"/>
              <w:rPr>
                <w:sz w:val="24"/>
                <w:szCs w:val="24"/>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[*CTR]</w:t>
            </w:r>
          </w:p>
        </w:tc>
        <w:tc>
          <w:tcPr>
            <w:tcW w:w="2600" w:type="dxa"/>
            <w:vAlign w:val="bottom"/>
            <w:gridSpan w:val="2"/>
          </w:tcPr>
          <w:p>
            <w:pPr>
              <w:spacing w:after="0"/>
              <w:rPr>
                <w:sz w:val="20"/>
                <w:szCs w:val="20"/>
                <w:color w:val="auto"/>
              </w:rPr>
            </w:pPr>
            <w:r>
              <w:rPr>
                <w:rFonts w:ascii="Arial" w:cs="Arial" w:eastAsia="Arial" w:hAnsi="Arial"/>
                <w:sz w:val="18"/>
                <w:szCs w:val="18"/>
                <w:color w:val="auto"/>
              </w:rPr>
              <w:t>Airframe Escalation Data:</w:t>
            </w:r>
          </w:p>
        </w:tc>
        <w:tc>
          <w:tcPr>
            <w:tcW w:w="19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
        </w:trPr>
        <w:tc>
          <w:tcPr>
            <w:tcW w:w="3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45"/>
        </w:trPr>
        <w:tc>
          <w:tcPr>
            <w:tcW w:w="3260" w:type="dxa"/>
            <w:vAlign w:val="bottom"/>
          </w:tcPr>
          <w:p>
            <w:pPr>
              <w:spacing w:after="0"/>
              <w:rPr>
                <w:sz w:val="20"/>
                <w:szCs w:val="20"/>
                <w:color w:val="auto"/>
              </w:rPr>
            </w:pPr>
            <w:r>
              <w:rPr>
                <w:rFonts w:ascii="Arial" w:cs="Arial" w:eastAsia="Arial" w:hAnsi="Arial"/>
                <w:sz w:val="18"/>
                <w:szCs w:val="18"/>
                <w:color w:val="auto"/>
              </w:rPr>
              <w:t>Engine Price (Per Aircraft):</w:t>
            </w:r>
          </w:p>
        </w:tc>
        <w:tc>
          <w:tcPr>
            <w:tcW w:w="1140" w:type="dxa"/>
            <w:vAlign w:val="bottom"/>
          </w:tcPr>
          <w:p>
            <w:pPr>
              <w:spacing w:after="0"/>
              <w:rPr>
                <w:sz w:val="24"/>
                <w:szCs w:val="24"/>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[*CTR]</w:t>
            </w:r>
          </w:p>
        </w:tc>
        <w:tc>
          <w:tcPr>
            <w:tcW w:w="2600" w:type="dxa"/>
            <w:vAlign w:val="bottom"/>
            <w:gridSpan w:val="2"/>
          </w:tcPr>
          <w:p>
            <w:pPr>
              <w:spacing w:after="0"/>
              <w:rPr>
                <w:sz w:val="20"/>
                <w:szCs w:val="20"/>
                <w:color w:val="auto"/>
              </w:rPr>
            </w:pPr>
            <w:r>
              <w:rPr>
                <w:rFonts w:ascii="Arial" w:cs="Arial" w:eastAsia="Arial" w:hAnsi="Arial"/>
                <w:sz w:val="18"/>
                <w:szCs w:val="18"/>
                <w:color w:val="auto"/>
              </w:rPr>
              <w:t>Base Year Index (ECI): Base</w:t>
            </w:r>
          </w:p>
        </w:tc>
        <w:tc>
          <w:tcPr>
            <w:tcW w:w="19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[*CTR]</w:t>
            </w:r>
          </w:p>
        </w:tc>
      </w:tr>
      <w:tr>
        <w:trPr>
          <w:trHeight w:val="324"/>
        </w:trPr>
        <w:tc>
          <w:tcPr>
            <w:tcW w:w="3260" w:type="dxa"/>
            <w:vAlign w:val="bottom"/>
          </w:tcPr>
          <w:p>
            <w:pPr>
              <w:spacing w:after="0"/>
              <w:rPr>
                <w:sz w:val="20"/>
                <w:szCs w:val="20"/>
                <w:color w:val="auto"/>
              </w:rPr>
            </w:pPr>
            <w:r>
              <w:rPr>
                <w:rFonts w:ascii="Arial" w:cs="Arial" w:eastAsia="Arial" w:hAnsi="Arial"/>
                <w:sz w:val="18"/>
                <w:szCs w:val="18"/>
                <w:color w:val="auto"/>
                <w:w w:val="96"/>
              </w:rPr>
              <w:t>Aircraft Basic Price (Excluding BFE’/SPE):</w:t>
            </w:r>
          </w:p>
        </w:tc>
        <w:tc>
          <w:tcPr>
            <w:tcW w:w="1140" w:type="dxa"/>
            <w:vAlign w:val="bottom"/>
          </w:tcPr>
          <w:p>
            <w:pPr>
              <w:spacing w:after="0"/>
              <w:rPr>
                <w:sz w:val="24"/>
                <w:szCs w:val="24"/>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[*CTR]</w:t>
            </w:r>
          </w:p>
        </w:tc>
        <w:tc>
          <w:tcPr>
            <w:tcW w:w="2600" w:type="dxa"/>
            <w:vAlign w:val="bottom"/>
            <w:gridSpan w:val="2"/>
          </w:tcPr>
          <w:p>
            <w:pPr>
              <w:spacing w:after="0"/>
              <w:rPr>
                <w:sz w:val="20"/>
                <w:szCs w:val="20"/>
                <w:color w:val="auto"/>
              </w:rPr>
            </w:pPr>
            <w:r>
              <w:rPr>
                <w:rFonts w:ascii="Arial" w:cs="Arial" w:eastAsia="Arial" w:hAnsi="Arial"/>
                <w:sz w:val="18"/>
                <w:szCs w:val="18"/>
                <w:color w:val="auto"/>
              </w:rPr>
              <w:t>Year Index (CPI):</w:t>
            </w:r>
          </w:p>
        </w:tc>
        <w:tc>
          <w:tcPr>
            <w:tcW w:w="19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[*CTR]</w:t>
            </w:r>
          </w:p>
        </w:tc>
      </w:tr>
      <w:tr>
        <w:trPr>
          <w:trHeight w:val="324"/>
        </w:trPr>
        <w:tc>
          <w:tcPr>
            <w:tcW w:w="4400" w:type="dxa"/>
            <w:vAlign w:val="bottom"/>
            <w:gridSpan w:val="2"/>
          </w:tcPr>
          <w:p>
            <w:pPr>
              <w:spacing w:after="0"/>
              <w:rPr>
                <w:sz w:val="20"/>
                <w:szCs w:val="20"/>
                <w:color w:val="auto"/>
              </w:rPr>
            </w:pPr>
            <w:r>
              <w:rPr>
                <w:rFonts w:ascii="Arial" w:cs="Arial" w:eastAsia="Arial" w:hAnsi="Arial"/>
                <w:sz w:val="18"/>
                <w:szCs w:val="18"/>
                <w:color w:val="auto"/>
              </w:rPr>
              <w:t>Buyer Furnished Equipment (BFE) Estimate:</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[*CTR]</w:t>
            </w:r>
          </w:p>
        </w:tc>
        <w:tc>
          <w:tcPr>
            <w:tcW w:w="1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24"/>
        </w:trPr>
        <w:tc>
          <w:tcPr>
            <w:tcW w:w="3260" w:type="dxa"/>
            <w:vAlign w:val="bottom"/>
          </w:tcPr>
          <w:p>
            <w:pPr>
              <w:spacing w:after="0"/>
              <w:rPr>
                <w:sz w:val="20"/>
                <w:szCs w:val="20"/>
                <w:color w:val="auto"/>
              </w:rPr>
            </w:pPr>
            <w:r>
              <w:rPr>
                <w:rFonts w:ascii="Arial" w:cs="Arial" w:eastAsia="Arial" w:hAnsi="Arial"/>
                <w:sz w:val="18"/>
                <w:szCs w:val="18"/>
                <w:color w:val="auto"/>
                <w:w w:val="89"/>
              </w:rPr>
              <w:t>Seller Purchased Equipment (SPE) Estimate:</w:t>
            </w:r>
          </w:p>
        </w:tc>
        <w:tc>
          <w:tcPr>
            <w:tcW w:w="1140" w:type="dxa"/>
            <w:vAlign w:val="bottom"/>
          </w:tcPr>
          <w:p>
            <w:pPr>
              <w:spacing w:after="0"/>
              <w:rPr>
                <w:sz w:val="24"/>
                <w:szCs w:val="24"/>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[*CTR]</w:t>
            </w:r>
          </w:p>
        </w:tc>
        <w:tc>
          <w:tcPr>
            <w:tcW w:w="1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24"/>
        </w:trPr>
        <w:tc>
          <w:tcPr>
            <w:tcW w:w="3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[*CTR]</w:t>
            </w:r>
          </w:p>
        </w:tc>
        <w:tc>
          <w:tcPr>
            <w:tcW w:w="1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Deposit per Aircraft: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7"/>
              </w:rPr>
              <w:t>Number of</w:t>
            </w:r>
          </w:p>
        </w:tc>
        <w:tc>
          <w:tcPr>
            <w:tcW w:w="860" w:type="dxa"/>
            <w:vAlign w:val="bottom"/>
            <w:gridSpan w:val="2"/>
          </w:tcPr>
          <w:p>
            <w:pPr>
              <w:ind w:left="20"/>
              <w:spacing w:after="0"/>
              <w:rPr>
                <w:sz w:val="20"/>
                <w:szCs w:val="20"/>
                <w:color w:val="auto"/>
              </w:rPr>
            </w:pPr>
            <w:r>
              <w:rPr>
                <w:rFonts w:ascii="Arial" w:cs="Arial" w:eastAsia="Arial" w:hAnsi="Arial"/>
                <w:sz w:val="14"/>
                <w:szCs w:val="14"/>
                <w:color w:val="auto"/>
              </w:rPr>
              <w:t>Escalation</w:t>
            </w: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color w:val="auto"/>
              </w:rPr>
              <w:t>Manufacturer</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Escalation Estimate</w:t>
            </w:r>
          </w:p>
        </w:tc>
        <w:tc>
          <w:tcPr>
            <w:tcW w:w="4340" w:type="dxa"/>
            <w:vAlign w:val="bottom"/>
            <w:gridSpan w:val="9"/>
          </w:tcPr>
          <w:p>
            <w:pPr>
              <w:ind w:left="160"/>
              <w:spacing w:after="0"/>
              <w:rPr>
                <w:sz w:val="20"/>
                <w:szCs w:val="20"/>
                <w:color w:val="auto"/>
              </w:rPr>
            </w:pPr>
            <w:r>
              <w:rPr>
                <w:rFonts w:ascii="Arial" w:cs="Arial" w:eastAsia="Arial" w:hAnsi="Arial"/>
                <w:sz w:val="14"/>
                <w:szCs w:val="14"/>
                <w:color w:val="auto"/>
              </w:rPr>
              <w:t>Advance Payment Per Aircraft (Amts. Due/Mos. Prior to Delivery}:</w:t>
            </w:r>
          </w:p>
        </w:tc>
        <w:tc>
          <w:tcPr>
            <w:tcW w:w="0" w:type="dxa"/>
            <w:vAlign w:val="bottom"/>
          </w:tcPr>
          <w:p>
            <w:pPr>
              <w:spacing w:after="0"/>
              <w:rPr>
                <w:sz w:val="1"/>
                <w:szCs w:val="1"/>
                <w:color w:val="auto"/>
              </w:rPr>
            </w:pPr>
          </w:p>
        </w:tc>
      </w:tr>
      <w:tr>
        <w:trPr>
          <w:trHeight w:val="123"/>
        </w:trPr>
        <w:tc>
          <w:tcPr>
            <w:tcW w:w="820" w:type="dxa"/>
            <w:vAlign w:val="bottom"/>
            <w:vMerge w:val="restart"/>
          </w:tcPr>
          <w:p>
            <w:pPr>
              <w:spacing w:after="0"/>
              <w:rPr>
                <w:sz w:val="20"/>
                <w:szCs w:val="20"/>
                <w:color w:val="auto"/>
              </w:rPr>
            </w:pPr>
            <w:r>
              <w:rPr>
                <w:rFonts w:ascii="Arial" w:cs="Arial" w:eastAsia="Arial" w:hAnsi="Arial"/>
                <w:sz w:val="14"/>
                <w:szCs w:val="14"/>
                <w:color w:val="auto"/>
                <w:w w:val="95"/>
              </w:rPr>
              <w:t>Delivery Date</w:t>
            </w:r>
          </w:p>
        </w:tc>
        <w:tc>
          <w:tcPr>
            <w:tcW w:w="980" w:type="dxa"/>
            <w:vAlign w:val="bottom"/>
            <w:vMerge w:val="restart"/>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40" w:type="dxa"/>
            <w:vAlign w:val="bottom"/>
            <w:tcBorders>
              <w:top w:val="single" w:sz="8" w:color="auto"/>
            </w:tcBorders>
          </w:tcPr>
          <w:p>
            <w:pPr>
              <w:ind w:left="140"/>
              <w:spacing w:after="0" w:line="123" w:lineRule="exact"/>
              <w:rPr>
                <w:sz w:val="20"/>
                <w:szCs w:val="20"/>
                <w:color w:val="auto"/>
              </w:rPr>
            </w:pPr>
            <w:r>
              <w:rPr>
                <w:rFonts w:ascii="Arial" w:cs="Arial" w:eastAsia="Arial" w:hAnsi="Arial"/>
                <w:sz w:val="14"/>
                <w:szCs w:val="14"/>
                <w:color w:val="auto"/>
              </w:rPr>
              <w:t>Factor</w:t>
            </w:r>
          </w:p>
        </w:tc>
        <w:tc>
          <w:tcPr>
            <w:tcW w:w="2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2"/>
              </w:rPr>
              <w:t>Adv Payment Base</w:t>
            </w:r>
          </w:p>
        </w:tc>
        <w:tc>
          <w:tcPr>
            <w:tcW w:w="240" w:type="dxa"/>
            <w:vAlign w:val="bottom"/>
          </w:tcPr>
          <w:p>
            <w:pPr>
              <w:spacing w:after="0"/>
              <w:rPr>
                <w:sz w:val="10"/>
                <w:szCs w:val="10"/>
                <w:color w:val="auto"/>
              </w:rPr>
            </w:pPr>
          </w:p>
        </w:tc>
        <w:tc>
          <w:tcPr>
            <w:tcW w:w="780" w:type="dxa"/>
            <w:vAlign w:val="bottom"/>
            <w:tcBorders>
              <w:top w:val="single" w:sz="8" w:color="auto"/>
            </w:tcBorders>
            <w:gridSpan w:val="2"/>
          </w:tcPr>
          <w:p>
            <w:pPr>
              <w:ind w:left="80"/>
              <w:spacing w:after="0" w:line="123" w:lineRule="exact"/>
              <w:rPr>
                <w:sz w:val="20"/>
                <w:szCs w:val="20"/>
                <w:color w:val="auto"/>
              </w:rPr>
            </w:pPr>
            <w:r>
              <w:rPr>
                <w:rFonts w:ascii="Arial" w:cs="Arial" w:eastAsia="Arial" w:hAnsi="Arial"/>
                <w:sz w:val="14"/>
                <w:szCs w:val="14"/>
                <w:color w:val="auto"/>
              </w:rPr>
              <w:t>[*CTR]</w:t>
            </w:r>
          </w:p>
        </w:tc>
        <w:tc>
          <w:tcPr>
            <w:tcW w:w="56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ind w:left="100"/>
              <w:spacing w:after="0" w:line="123" w:lineRule="exact"/>
              <w:rPr>
                <w:sz w:val="20"/>
                <w:szCs w:val="20"/>
                <w:color w:val="auto"/>
              </w:rPr>
            </w:pPr>
            <w:r>
              <w:rPr>
                <w:rFonts w:ascii="Arial" w:cs="Arial" w:eastAsia="Arial" w:hAnsi="Arial"/>
                <w:sz w:val="14"/>
                <w:szCs w:val="14"/>
                <w:color w:val="auto"/>
              </w:rPr>
              <w:t>[*CTR]</w:t>
            </w:r>
          </w:p>
        </w:tc>
        <w:tc>
          <w:tcPr>
            <w:tcW w:w="900" w:type="dxa"/>
            <w:vAlign w:val="bottom"/>
            <w:tcBorders>
              <w:top w:val="single" w:sz="8" w:color="auto"/>
            </w:tcBorders>
            <w:gridSpan w:val="2"/>
          </w:tcPr>
          <w:p>
            <w:pPr>
              <w:ind w:left="100"/>
              <w:spacing w:after="0" w:line="123" w:lineRule="exact"/>
              <w:rPr>
                <w:sz w:val="20"/>
                <w:szCs w:val="20"/>
                <w:color w:val="auto"/>
              </w:rPr>
            </w:pPr>
            <w:r>
              <w:rPr>
                <w:rFonts w:ascii="Arial" w:cs="Arial" w:eastAsia="Arial" w:hAnsi="Arial"/>
                <w:sz w:val="14"/>
                <w:szCs w:val="14"/>
                <w:color w:val="auto"/>
              </w:rPr>
              <w:t>[*CTR]</w:t>
            </w:r>
          </w:p>
        </w:tc>
        <w:tc>
          <w:tcPr>
            <w:tcW w:w="720" w:type="dxa"/>
            <w:vAlign w:val="bottom"/>
            <w:tcBorders>
              <w:top w:val="single" w:sz="8" w:color="auto"/>
            </w:tcBorders>
          </w:tcPr>
          <w:p>
            <w:pPr>
              <w:ind w:left="200"/>
              <w:spacing w:after="0" w:line="123"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820" w:type="dxa"/>
            <w:vAlign w:val="bottom"/>
            <w:tcBorders>
              <w:bottom w:val="single" w:sz="8" w:color="auto"/>
            </w:tcBorders>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gridSpan w:val="2"/>
          </w:tcPr>
          <w:p>
            <w:pPr>
              <w:jc w:val="center"/>
              <w:ind w:right="240"/>
              <w:spacing w:after="0" w:line="154" w:lineRule="exact"/>
              <w:rPr>
                <w:sz w:val="20"/>
                <w:szCs w:val="20"/>
                <w:color w:val="auto"/>
              </w:rPr>
            </w:pPr>
            <w:r>
              <w:rPr>
                <w:rFonts w:ascii="Arial" w:cs="Arial" w:eastAsia="Arial" w:hAnsi="Arial"/>
                <w:sz w:val="14"/>
                <w:szCs w:val="14"/>
                <w:color w:val="auto"/>
                <w:w w:val="99"/>
              </w:rPr>
              <w:t>Aircraft</w:t>
            </w:r>
          </w:p>
        </w:tc>
        <w:tc>
          <w:tcPr>
            <w:tcW w:w="860" w:type="dxa"/>
            <w:vAlign w:val="bottom"/>
            <w:gridSpan w:val="2"/>
          </w:tcPr>
          <w:p>
            <w:pPr>
              <w:spacing w:after="0" w:line="154" w:lineRule="exact"/>
              <w:rPr>
                <w:sz w:val="20"/>
                <w:szCs w:val="20"/>
                <w:color w:val="auto"/>
              </w:rPr>
            </w:pPr>
            <w:r>
              <w:rPr>
                <w:rFonts w:ascii="Arial" w:cs="Arial" w:eastAsia="Arial" w:hAnsi="Arial"/>
                <w:sz w:val="14"/>
                <w:szCs w:val="14"/>
                <w:color w:val="auto"/>
              </w:rPr>
              <w:t>(Airframe)</w:t>
            </w:r>
          </w:p>
        </w:tc>
        <w:tc>
          <w:tcPr>
            <w:tcW w:w="1100" w:type="dxa"/>
            <w:vAlign w:val="bottom"/>
            <w:gridSpan w:val="2"/>
          </w:tcPr>
          <w:p>
            <w:pPr>
              <w:jc w:val="right"/>
              <w:ind w:right="240"/>
              <w:spacing w:after="0" w:line="154" w:lineRule="exact"/>
              <w:rPr>
                <w:sz w:val="20"/>
                <w:szCs w:val="20"/>
                <w:color w:val="auto"/>
              </w:rPr>
            </w:pPr>
            <w:r>
              <w:rPr>
                <w:rFonts w:ascii="Arial" w:cs="Arial" w:eastAsia="Arial" w:hAnsi="Arial"/>
                <w:sz w:val="14"/>
                <w:szCs w:val="14"/>
                <w:color w:val="auto"/>
                <w:w w:val="93"/>
              </w:rPr>
              <w:t>Serial Number</w:t>
            </w:r>
          </w:p>
        </w:tc>
        <w:tc>
          <w:tcPr>
            <w:tcW w:w="1060" w:type="dxa"/>
            <w:vAlign w:val="bottom"/>
            <w:gridSpan w:val="2"/>
          </w:tcPr>
          <w:p>
            <w:pPr>
              <w:jc w:val="right"/>
              <w:ind w:right="260"/>
              <w:spacing w:after="0" w:line="154" w:lineRule="exact"/>
              <w:rPr>
                <w:sz w:val="20"/>
                <w:szCs w:val="20"/>
                <w:color w:val="auto"/>
              </w:rPr>
            </w:pPr>
            <w:r>
              <w:rPr>
                <w:rFonts w:ascii="Arial" w:cs="Arial" w:eastAsia="Arial" w:hAnsi="Arial"/>
                <w:sz w:val="14"/>
                <w:szCs w:val="14"/>
                <w:color w:val="auto"/>
                <w:w w:val="91"/>
              </w:rPr>
              <w:t>Exercised Via</w:t>
            </w:r>
          </w:p>
        </w:tc>
        <w:tc>
          <w:tcPr>
            <w:tcW w:w="1380" w:type="dxa"/>
            <w:vAlign w:val="bottom"/>
            <w:gridSpan w:val="2"/>
          </w:tcPr>
          <w:p>
            <w:pPr>
              <w:jc w:val="center"/>
              <w:ind w:right="240"/>
              <w:spacing w:after="0" w:line="154" w:lineRule="exact"/>
              <w:rPr>
                <w:sz w:val="20"/>
                <w:szCs w:val="20"/>
                <w:color w:val="auto"/>
              </w:rPr>
            </w:pPr>
            <w:r>
              <w:rPr>
                <w:rFonts w:ascii="Arial" w:cs="Arial" w:eastAsia="Arial" w:hAnsi="Arial"/>
                <w:sz w:val="14"/>
                <w:szCs w:val="14"/>
                <w:color w:val="auto"/>
                <w:w w:val="92"/>
              </w:rPr>
              <w:t>Price Per A/P</w:t>
            </w:r>
          </w:p>
        </w:tc>
        <w:tc>
          <w:tcPr>
            <w:tcW w:w="780" w:type="dxa"/>
            <w:vAlign w:val="bottom"/>
            <w:gridSpan w:val="2"/>
          </w:tcPr>
          <w:p>
            <w:pPr>
              <w:ind w:left="80"/>
              <w:spacing w:after="0" w:line="154" w:lineRule="exact"/>
              <w:rPr>
                <w:sz w:val="20"/>
                <w:szCs w:val="20"/>
                <w:color w:val="auto"/>
              </w:rPr>
            </w:pPr>
            <w:r>
              <w:rPr>
                <w:rFonts w:ascii="Arial" w:cs="Arial" w:eastAsia="Arial" w:hAnsi="Arial"/>
                <w:sz w:val="14"/>
                <w:szCs w:val="14"/>
                <w:color w:val="auto"/>
              </w:rPr>
              <w:t>[*CTR]</w:t>
            </w:r>
          </w:p>
        </w:tc>
        <w:tc>
          <w:tcPr>
            <w:tcW w:w="560" w:type="dxa"/>
            <w:vAlign w:val="bottom"/>
          </w:tcPr>
          <w:p>
            <w:pPr>
              <w:spacing w:after="0"/>
              <w:rPr>
                <w:sz w:val="15"/>
                <w:szCs w:val="15"/>
                <w:color w:val="auto"/>
              </w:rPr>
            </w:pPr>
          </w:p>
        </w:tc>
        <w:tc>
          <w:tcPr>
            <w:tcW w:w="1280" w:type="dxa"/>
            <w:vAlign w:val="bottom"/>
            <w:gridSpan w:val="2"/>
          </w:tcPr>
          <w:p>
            <w:pPr>
              <w:ind w:left="100"/>
              <w:spacing w:after="0" w:line="154" w:lineRule="exact"/>
              <w:rPr>
                <w:sz w:val="20"/>
                <w:szCs w:val="20"/>
                <w:color w:val="auto"/>
              </w:rPr>
            </w:pPr>
            <w:r>
              <w:rPr>
                <w:rFonts w:ascii="Arial" w:cs="Arial" w:eastAsia="Arial" w:hAnsi="Arial"/>
                <w:sz w:val="14"/>
                <w:szCs w:val="14"/>
                <w:color w:val="auto"/>
              </w:rPr>
              <w:t>[*CTR]</w:t>
            </w:r>
          </w:p>
        </w:tc>
        <w:tc>
          <w:tcPr>
            <w:tcW w:w="900" w:type="dxa"/>
            <w:vAlign w:val="bottom"/>
            <w:gridSpan w:val="2"/>
          </w:tcPr>
          <w:p>
            <w:pPr>
              <w:ind w:left="100"/>
              <w:spacing w:after="0" w:line="154" w:lineRule="exact"/>
              <w:rPr>
                <w:sz w:val="20"/>
                <w:szCs w:val="20"/>
                <w:color w:val="auto"/>
              </w:rPr>
            </w:pPr>
            <w:r>
              <w:rPr>
                <w:rFonts w:ascii="Arial" w:cs="Arial" w:eastAsia="Arial" w:hAnsi="Arial"/>
                <w:sz w:val="14"/>
                <w:szCs w:val="14"/>
                <w:color w:val="auto"/>
              </w:rPr>
              <w:t>[*CTR]</w:t>
            </w:r>
          </w:p>
        </w:tc>
        <w:tc>
          <w:tcPr>
            <w:tcW w:w="820" w:type="dxa"/>
            <w:vAlign w:val="bottom"/>
            <w:gridSpan w:val="2"/>
          </w:tcPr>
          <w:p>
            <w:pPr>
              <w:ind w:left="140"/>
              <w:spacing w:after="0" w:line="154"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03"/>
        </w:trPr>
        <w:tc>
          <w:tcPr>
            <w:tcW w:w="1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[*CTR]-2013</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w w:val="88"/>
              </w:rPr>
              <w:t>[*CTR]</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31550</w:t>
            </w:r>
          </w:p>
        </w:tc>
        <w:tc>
          <w:tcPr>
            <w:tcW w:w="2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SA-28</w:t>
            </w: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ind w:left="640"/>
              <w:spacing w:after="0" w:line="203" w:lineRule="exact"/>
              <w:rPr>
                <w:sz w:val="20"/>
                <w:szCs w:val="20"/>
                <w:color w:val="auto"/>
              </w:rPr>
            </w:pPr>
            <w:r>
              <w:rPr>
                <w:rFonts w:ascii="Arial" w:cs="Arial" w:eastAsia="Arial" w:hAnsi="Arial"/>
                <w:sz w:val="18"/>
                <w:szCs w:val="18"/>
                <w:color w:val="auto"/>
                <w:w w:val="88"/>
              </w:rPr>
              <w:t>[*CTR]</w:t>
            </w:r>
          </w:p>
        </w:tc>
        <w:tc>
          <w:tcPr>
            <w:tcW w:w="2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w w:val="88"/>
              </w:rPr>
              <w:t>[*CTR]</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w w:val="88"/>
              </w:rPr>
              <w:t>[*CTR]</w:t>
            </w:r>
          </w:p>
        </w:tc>
        <w:tc>
          <w:tcPr>
            <w:tcW w:w="6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w w:val="88"/>
              </w:rPr>
              <w:t>[*CTR]</w:t>
            </w:r>
          </w:p>
        </w:tc>
        <w:tc>
          <w:tcPr>
            <w:tcW w:w="2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w w:val="88"/>
              </w:rPr>
              <w:t>[*CTR]</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gridSpan w:val="2"/>
          </w:tcPr>
          <w:p>
            <w:pPr>
              <w:spacing w:after="0"/>
              <w:rPr>
                <w:sz w:val="20"/>
                <w:szCs w:val="20"/>
                <w:color w:val="auto"/>
              </w:rPr>
            </w:pPr>
            <w:r>
              <w:rPr>
                <w:rFonts w:ascii="Arial" w:cs="Arial" w:eastAsia="Arial" w:hAnsi="Arial"/>
                <w:sz w:val="18"/>
                <w:szCs w:val="18"/>
                <w:color w:val="auto"/>
              </w:rPr>
              <w:t>[*CTR]-2014</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33541</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SA-31</w:t>
            </w:r>
          </w:p>
        </w:tc>
        <w:tc>
          <w:tcPr>
            <w:tcW w:w="1380" w:type="dxa"/>
            <w:vAlign w:val="bottom"/>
            <w:gridSpan w:val="2"/>
          </w:tcPr>
          <w:p>
            <w:pPr>
              <w:ind w:left="640"/>
              <w:spacing w:after="0"/>
              <w:rPr>
                <w:sz w:val="20"/>
                <w:szCs w:val="20"/>
                <w:color w:val="auto"/>
              </w:rPr>
            </w:pPr>
            <w:r>
              <w:rPr>
                <w:rFonts w:ascii="Arial" w:cs="Arial" w:eastAsia="Arial" w:hAnsi="Arial"/>
                <w:sz w:val="18"/>
                <w:szCs w:val="18"/>
                <w:color w:val="auto"/>
              </w:rPr>
              <w:t>[*CTR]</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[*CTR]</w:t>
            </w:r>
          </w:p>
        </w:tc>
        <w:tc>
          <w:tcPr>
            <w:tcW w:w="560" w:type="dxa"/>
            <w:vAlign w:val="bottom"/>
          </w:tcPr>
          <w:p>
            <w:pPr>
              <w:ind w:lef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[*CTR]  **</w:t>
            </w: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[*CTR]</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30"/>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[*CTR]-2014</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[*CTR]</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31553</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SA-31</w:t>
            </w:r>
          </w:p>
        </w:tc>
        <w:tc>
          <w:tcPr>
            <w:tcW w:w="13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[*CTR]</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[*CTR]</w:t>
            </w:r>
          </w:p>
        </w:tc>
        <w:tc>
          <w:tcPr>
            <w:tcW w:w="5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[*CTR]</w:t>
            </w: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[*CTR]</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30"/>
        </w:trPr>
        <w:tc>
          <w:tcPr>
            <w:tcW w:w="1800" w:type="dxa"/>
            <w:vAlign w:val="bottom"/>
            <w:gridSpan w:val="2"/>
          </w:tcPr>
          <w:p>
            <w:pPr>
              <w:spacing w:after="0"/>
              <w:rPr>
                <w:sz w:val="20"/>
                <w:szCs w:val="20"/>
                <w:color w:val="auto"/>
              </w:rPr>
            </w:pPr>
            <w:r>
              <w:rPr>
                <w:rFonts w:ascii="Arial" w:cs="Arial" w:eastAsia="Arial" w:hAnsi="Arial"/>
                <w:sz w:val="18"/>
                <w:szCs w:val="18"/>
                <w:color w:val="auto"/>
              </w:rPr>
              <w:t>[*CTR]-2014</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33127</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SA-31</w:t>
            </w:r>
          </w:p>
        </w:tc>
        <w:tc>
          <w:tcPr>
            <w:tcW w:w="1380" w:type="dxa"/>
            <w:vAlign w:val="bottom"/>
            <w:gridSpan w:val="2"/>
          </w:tcPr>
          <w:p>
            <w:pPr>
              <w:ind w:left="640"/>
              <w:spacing w:after="0"/>
              <w:rPr>
                <w:sz w:val="20"/>
                <w:szCs w:val="20"/>
                <w:color w:val="auto"/>
              </w:rPr>
            </w:pPr>
            <w:r>
              <w:rPr>
                <w:rFonts w:ascii="Arial" w:cs="Arial" w:eastAsia="Arial" w:hAnsi="Arial"/>
                <w:sz w:val="18"/>
                <w:szCs w:val="18"/>
                <w:color w:val="auto"/>
              </w:rPr>
              <w:t>[*CTR]</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[*CTR]</w:t>
            </w:r>
          </w:p>
        </w:tc>
        <w:tc>
          <w:tcPr>
            <w:tcW w:w="56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[*CTR]</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30"/>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[*CTR]-2014</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[*CTR]</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31554</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SA-32</w:t>
            </w:r>
          </w:p>
        </w:tc>
        <w:tc>
          <w:tcPr>
            <w:tcW w:w="13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[*CTR]</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[*CTR]</w:t>
            </w:r>
          </w:p>
        </w:tc>
        <w:tc>
          <w:tcPr>
            <w:tcW w:w="5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[*CTR]</w:t>
            </w: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[*CTR]</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30"/>
        </w:trPr>
        <w:tc>
          <w:tcPr>
            <w:tcW w:w="1800" w:type="dxa"/>
            <w:vAlign w:val="bottom"/>
            <w:gridSpan w:val="2"/>
          </w:tcPr>
          <w:p>
            <w:pPr>
              <w:spacing w:after="0"/>
              <w:rPr>
                <w:sz w:val="20"/>
                <w:szCs w:val="20"/>
                <w:color w:val="auto"/>
              </w:rPr>
            </w:pPr>
            <w:r>
              <w:rPr>
                <w:rFonts w:ascii="Arial" w:cs="Arial" w:eastAsia="Arial" w:hAnsi="Arial"/>
                <w:sz w:val="18"/>
                <w:szCs w:val="18"/>
                <w:color w:val="auto"/>
              </w:rPr>
              <w:t>[*CTR]-2014</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33523</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SA-35</w:t>
            </w:r>
          </w:p>
        </w:tc>
        <w:tc>
          <w:tcPr>
            <w:tcW w:w="1380" w:type="dxa"/>
            <w:vAlign w:val="bottom"/>
            <w:gridSpan w:val="2"/>
          </w:tcPr>
          <w:p>
            <w:pPr>
              <w:ind w:left="640"/>
              <w:spacing w:after="0"/>
              <w:rPr>
                <w:sz w:val="20"/>
                <w:szCs w:val="20"/>
                <w:color w:val="auto"/>
              </w:rPr>
            </w:pPr>
            <w:r>
              <w:rPr>
                <w:rFonts w:ascii="Arial" w:cs="Arial" w:eastAsia="Arial" w:hAnsi="Arial"/>
                <w:sz w:val="18"/>
                <w:szCs w:val="18"/>
                <w:color w:val="auto"/>
              </w:rPr>
              <w:t>[*CTR]</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[*CTR]</w:t>
            </w:r>
          </w:p>
        </w:tc>
        <w:tc>
          <w:tcPr>
            <w:tcW w:w="560" w:type="dxa"/>
            <w:vAlign w:val="bottom"/>
          </w:tcPr>
          <w:p>
            <w:pPr>
              <w:ind w:lef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[*CTR]</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[*CTR]-2014</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[*CTR]</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31549</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SA-34</w:t>
            </w:r>
          </w:p>
        </w:tc>
        <w:tc>
          <w:tcPr>
            <w:tcW w:w="13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[*CTR]</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[*CTR]</w:t>
            </w:r>
          </w:p>
        </w:tc>
        <w:tc>
          <w:tcPr>
            <w:tcW w:w="5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[*CTR]</w:t>
            </w: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[*CTR]</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[*CTR]-2015</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33524</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SA-35</w:t>
            </w:r>
          </w:p>
        </w:tc>
        <w:tc>
          <w:tcPr>
            <w:tcW w:w="1380" w:type="dxa"/>
            <w:vAlign w:val="bottom"/>
            <w:gridSpan w:val="2"/>
          </w:tcPr>
          <w:p>
            <w:pPr>
              <w:ind w:left="640"/>
              <w:spacing w:after="0"/>
              <w:rPr>
                <w:sz w:val="20"/>
                <w:szCs w:val="20"/>
                <w:color w:val="auto"/>
              </w:rPr>
            </w:pPr>
            <w:r>
              <w:rPr>
                <w:rFonts w:ascii="Arial" w:cs="Arial" w:eastAsia="Arial" w:hAnsi="Arial"/>
                <w:sz w:val="18"/>
                <w:szCs w:val="18"/>
                <w:color w:val="auto"/>
              </w:rPr>
              <w:t>[*CTR]</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[*CTR]</w:t>
            </w:r>
          </w:p>
        </w:tc>
        <w:tc>
          <w:tcPr>
            <w:tcW w:w="560" w:type="dxa"/>
            <w:vAlign w:val="bottom"/>
          </w:tcPr>
          <w:p>
            <w:pPr>
              <w:ind w:lef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[*CTR]</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[*CTR]-2015</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[*CTR]</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31480</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SA-35</w:t>
            </w:r>
          </w:p>
        </w:tc>
        <w:tc>
          <w:tcPr>
            <w:tcW w:w="13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[*CTR]</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[*CTR]</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[*CTR]</w:t>
            </w: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[*CTR]</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30"/>
        </w:trPr>
        <w:tc>
          <w:tcPr>
            <w:tcW w:w="1800" w:type="dxa"/>
            <w:vAlign w:val="bottom"/>
            <w:gridSpan w:val="2"/>
          </w:tcPr>
          <w:p>
            <w:pPr>
              <w:spacing w:after="0"/>
              <w:rPr>
                <w:sz w:val="20"/>
                <w:szCs w:val="20"/>
                <w:color w:val="auto"/>
              </w:rPr>
            </w:pPr>
            <w:r>
              <w:rPr>
                <w:rFonts w:ascii="Arial" w:cs="Arial" w:eastAsia="Arial" w:hAnsi="Arial"/>
                <w:sz w:val="18"/>
                <w:szCs w:val="18"/>
                <w:color w:val="auto"/>
              </w:rPr>
              <w:t>[*CTR]-2016</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32439</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SA-35</w:t>
            </w:r>
          </w:p>
        </w:tc>
        <w:tc>
          <w:tcPr>
            <w:tcW w:w="1380" w:type="dxa"/>
            <w:vAlign w:val="bottom"/>
            <w:gridSpan w:val="2"/>
          </w:tcPr>
          <w:p>
            <w:pPr>
              <w:ind w:left="640"/>
              <w:spacing w:after="0"/>
              <w:rPr>
                <w:sz w:val="20"/>
                <w:szCs w:val="20"/>
                <w:color w:val="auto"/>
              </w:rPr>
            </w:pPr>
            <w:r>
              <w:rPr>
                <w:rFonts w:ascii="Arial" w:cs="Arial" w:eastAsia="Arial" w:hAnsi="Arial"/>
                <w:sz w:val="18"/>
                <w:szCs w:val="18"/>
                <w:color w:val="auto"/>
              </w:rPr>
              <w:t>[*CTR]</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[*CTR]</w:t>
            </w:r>
          </w:p>
        </w:tc>
        <w:tc>
          <w:tcPr>
            <w:tcW w:w="560" w:type="dxa"/>
            <w:vAlign w:val="bottom"/>
          </w:tcPr>
          <w:p>
            <w:pPr>
              <w:ind w:left="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[*CTR]</w:t>
            </w:r>
          </w:p>
        </w:tc>
        <w:tc>
          <w:tcPr>
            <w:tcW w:w="900" w:type="dxa"/>
            <w:vAlign w:val="bottom"/>
            <w:gridSpan w:val="2"/>
          </w:tcPr>
          <w:p>
            <w:pPr>
              <w:ind w:left="160"/>
              <w:spacing w:after="0"/>
              <w:rPr>
                <w:sz w:val="20"/>
                <w:szCs w:val="20"/>
                <w:color w:val="auto"/>
              </w:rPr>
            </w:pPr>
            <w:r>
              <w:rPr>
                <w:rFonts w:ascii="Arial" w:cs="Arial" w:eastAsia="Arial" w:hAnsi="Arial"/>
                <w:sz w:val="18"/>
                <w:szCs w:val="18"/>
                <w:color w:val="auto"/>
              </w:rPr>
              <w:t>[*CTR]</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[*CTR]-2016</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[*CTR]</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33538</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SA-36</w:t>
            </w:r>
          </w:p>
        </w:tc>
        <w:tc>
          <w:tcPr>
            <w:tcW w:w="13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[*CTR]</w:t>
            </w:r>
          </w:p>
        </w:tc>
        <w:tc>
          <w:tcPr>
            <w:tcW w:w="7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[*CTR]</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[*CTR]</w:t>
            </w:r>
          </w:p>
        </w:tc>
        <w:tc>
          <w:tcPr>
            <w:tcW w:w="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[*CTR]</w:t>
            </w: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-Amount on hand for this Aircraft prior to SA-31</w:t>
      </w:r>
    </w:p>
    <w:p>
      <w:pPr>
        <w:spacing w:after="0" w:line="23"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Amount adjusted for amount on hand prior to SA-31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Amount includes deposit on hand prior to SA-35</w:t>
      </w:r>
    </w:p>
    <w:p>
      <w:pPr>
        <w:spacing w:after="0" w:line="9"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Amount includes deposit on hand prior to SA-36</w:t>
      </w:r>
    </w:p>
    <w:p>
      <w:pPr>
        <w:sectPr>
          <w:pgSz w:w="11900" w:h="16838" w:orient="portrait"/>
          <w:cols w:equalWidth="0" w:num="1">
            <w:col w:w="11420"/>
          </w:cols>
          <w:pgMar w:left="240" w:top="270" w:right="239" w:bottom="1440" w:gutter="0" w:footer="0" w:header="0"/>
        </w:sectPr>
      </w:pP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AAL-PA-01980</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SA-36, [*CTR] 62891; for [*CTR] Delivery- APR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Table 1-8, Page 1 of 1</w:t>
      </w:r>
    </w:p>
    <w:p>
      <w:pPr>
        <w:spacing w:after="0" w:line="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SA-36</w:t>
      </w:r>
    </w:p>
    <w:p>
      <w:pPr>
        <w:spacing w:after="0" w:line="416" w:lineRule="exact"/>
        <w:rPr>
          <w:sz w:val="20"/>
          <w:szCs w:val="20"/>
          <w:color w:val="auto"/>
        </w:rPr>
      </w:pPr>
    </w:p>
    <w:p>
      <w:pPr>
        <w:sectPr>
          <w:pgSz w:w="11900" w:h="16838" w:orient="portrait"/>
          <w:cols w:equalWidth="0" w:num="2">
            <w:col w:w="9120" w:space="720"/>
            <w:col w:w="1580"/>
          </w:cols>
          <w:pgMar w:left="240" w:top="270" w:right="239" w:bottom="1440" w:gutter="0" w:footer="0" w:header="0"/>
          <w:type w:val="continuous"/>
        </w:sectPr>
      </w:pPr>
    </w:p>
    <w:p>
      <w:pPr>
        <w:spacing w:after="0" w:line="24" w:lineRule="exact"/>
        <w:rPr>
          <w:sz w:val="20"/>
          <w:szCs w:val="20"/>
          <w:color w:val="auto"/>
        </w:rPr>
      </w:pPr>
    </w:p>
    <w:p>
      <w:pPr>
        <w:jc w:val="center"/>
        <w:ind w:left="400" w:right="38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type w:val="continuous"/>
        </w:sectPr>
      </w:pPr>
    </w:p>
    <w:bookmarkStart w:id="147" w:name="page148"/>
    <w:bookmarkEnd w:id="14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B to Letter Agreement 6-1162-AKP-110R3 (Model 777)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Information Regarding MADP Rights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MSN</w:t>
            </w:r>
          </w:p>
        </w:tc>
        <w:tc>
          <w:tcPr>
            <w:tcW w:w="5260" w:type="dxa"/>
            <w:vAlign w:val="bottom"/>
          </w:tcPr>
          <w:p>
            <w:pPr>
              <w:spacing w:after="0"/>
              <w:rPr>
                <w:sz w:val="16"/>
                <w:szCs w:val="16"/>
                <w:color w:val="auto"/>
              </w:rPr>
            </w:pPr>
          </w:p>
        </w:tc>
        <w:tc>
          <w:tcPr>
            <w:tcW w:w="4440" w:type="dxa"/>
            <w:vAlign w:val="bottom"/>
            <w:gridSpan w:val="2"/>
          </w:tcPr>
          <w:p>
            <w:pPr>
              <w:jc w:val="center"/>
              <w:ind w:right="780"/>
              <w:spacing w:after="0"/>
              <w:rPr>
                <w:sz w:val="20"/>
                <w:szCs w:val="20"/>
                <w:color w:val="auto"/>
              </w:rPr>
            </w:pPr>
            <w:r>
              <w:rPr>
                <w:rFonts w:ascii="Arial" w:cs="Arial" w:eastAsia="Arial" w:hAnsi="Arial"/>
                <w:sz w:val="14"/>
                <w:szCs w:val="14"/>
                <w:color w:val="auto"/>
                <w:w w:val="94"/>
              </w:rPr>
              <w:t>Exercise Date</w:t>
            </w:r>
          </w:p>
        </w:tc>
        <w:tc>
          <w:tcPr>
            <w:tcW w:w="1400" w:type="dxa"/>
            <w:vAlign w:val="bottom"/>
          </w:tcPr>
          <w:p>
            <w:pPr>
              <w:jc w:val="center"/>
              <w:spacing w:after="0"/>
              <w:rPr>
                <w:sz w:val="20"/>
                <w:szCs w:val="20"/>
                <w:color w:val="auto"/>
              </w:rPr>
            </w:pPr>
            <w:r>
              <w:rPr>
                <w:rFonts w:ascii="Arial" w:cs="Arial" w:eastAsia="Arial" w:hAnsi="Arial"/>
                <w:sz w:val="14"/>
                <w:szCs w:val="14"/>
                <w:color w:val="auto"/>
                <w:w w:val="96"/>
              </w:rPr>
              <w:t>Delivery Month/Year</w:t>
            </w:r>
          </w:p>
        </w:tc>
      </w:tr>
      <w:tr>
        <w:trPr>
          <w:trHeight w:val="203"/>
        </w:trPr>
        <w:tc>
          <w:tcPr>
            <w:tcW w:w="55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41665</w:t>
            </w:r>
          </w:p>
        </w:tc>
        <w:tc>
          <w:tcPr>
            <w:tcW w:w="36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[*CTR]</w:t>
            </w:r>
          </w:p>
        </w:tc>
        <w:tc>
          <w:tcPr>
            <w:tcW w:w="7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[*CTR]</w:t>
            </w: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31546</w:t>
            </w:r>
          </w:p>
        </w:tc>
        <w:tc>
          <w:tcPr>
            <w:tcW w:w="4440" w:type="dxa"/>
            <w:vAlign w:val="bottom"/>
            <w:gridSpan w:val="2"/>
          </w:tcPr>
          <w:p>
            <w:pPr>
              <w:jc w:val="center"/>
              <w:ind w:right="800"/>
              <w:spacing w:after="0"/>
              <w:rPr>
                <w:sz w:val="20"/>
                <w:szCs w:val="20"/>
                <w:color w:val="auto"/>
              </w:rPr>
            </w:pPr>
            <w:r>
              <w:rPr>
                <w:rFonts w:ascii="Arial" w:cs="Arial" w:eastAsia="Arial" w:hAnsi="Arial"/>
                <w:sz w:val="18"/>
                <w:szCs w:val="18"/>
                <w:color w:val="auto"/>
              </w:rPr>
              <w:t>[*CTR]</w:t>
            </w:r>
          </w:p>
        </w:tc>
        <w:tc>
          <w:tcPr>
            <w:tcW w:w="14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31547</w:t>
            </w:r>
          </w:p>
        </w:tc>
        <w:tc>
          <w:tcPr>
            <w:tcW w:w="4440" w:type="dxa"/>
            <w:vAlign w:val="bottom"/>
            <w:gridSpan w:val="2"/>
            <w:shd w:val="clear" w:color="auto" w:fill="CCEEFF"/>
          </w:tcPr>
          <w:p>
            <w:pPr>
              <w:jc w:val="center"/>
              <w:ind w:right="800"/>
              <w:spacing w:after="0"/>
              <w:rPr>
                <w:sz w:val="20"/>
                <w:szCs w:val="20"/>
                <w:color w:val="auto"/>
              </w:rPr>
            </w:pPr>
            <w:r>
              <w:rPr>
                <w:rFonts w:ascii="Arial" w:cs="Arial" w:eastAsia="Arial" w:hAnsi="Arial"/>
                <w:sz w:val="18"/>
                <w:szCs w:val="18"/>
                <w:color w:val="auto"/>
              </w:rPr>
              <w:t>[*CTR]</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33125</w:t>
            </w:r>
          </w:p>
        </w:tc>
        <w:tc>
          <w:tcPr>
            <w:tcW w:w="4440" w:type="dxa"/>
            <w:vAlign w:val="bottom"/>
            <w:gridSpan w:val="2"/>
          </w:tcPr>
          <w:p>
            <w:pPr>
              <w:jc w:val="center"/>
              <w:ind w:right="800"/>
              <w:spacing w:after="0"/>
              <w:rPr>
                <w:sz w:val="20"/>
                <w:szCs w:val="20"/>
                <w:color w:val="auto"/>
              </w:rPr>
            </w:pPr>
            <w:r>
              <w:rPr>
                <w:rFonts w:ascii="Arial" w:cs="Arial" w:eastAsia="Arial" w:hAnsi="Arial"/>
                <w:sz w:val="18"/>
                <w:szCs w:val="18"/>
                <w:color w:val="auto"/>
              </w:rPr>
              <w:t>[*CTR]</w:t>
            </w:r>
          </w:p>
        </w:tc>
        <w:tc>
          <w:tcPr>
            <w:tcW w:w="14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41666</w:t>
            </w:r>
          </w:p>
        </w:tc>
        <w:tc>
          <w:tcPr>
            <w:tcW w:w="4440" w:type="dxa"/>
            <w:vAlign w:val="bottom"/>
            <w:gridSpan w:val="2"/>
            <w:shd w:val="clear" w:color="auto" w:fill="CCEEFF"/>
          </w:tcPr>
          <w:p>
            <w:pPr>
              <w:jc w:val="center"/>
              <w:ind w:right="800"/>
              <w:spacing w:after="0"/>
              <w:rPr>
                <w:sz w:val="20"/>
                <w:szCs w:val="20"/>
                <w:color w:val="auto"/>
              </w:rPr>
            </w:pPr>
            <w:r>
              <w:rPr>
                <w:rFonts w:ascii="Arial" w:cs="Arial" w:eastAsia="Arial" w:hAnsi="Arial"/>
                <w:sz w:val="18"/>
                <w:szCs w:val="18"/>
                <w:color w:val="auto"/>
              </w:rPr>
              <w:t>[*CTR]</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67680</w:t>
            </w:r>
          </w:p>
        </w:tc>
        <w:tc>
          <w:tcPr>
            <w:tcW w:w="4440" w:type="dxa"/>
            <w:vAlign w:val="bottom"/>
            <w:gridSpan w:val="2"/>
          </w:tcPr>
          <w:p>
            <w:pPr>
              <w:jc w:val="center"/>
              <w:ind w:right="800"/>
              <w:spacing w:after="0"/>
              <w:rPr>
                <w:sz w:val="20"/>
                <w:szCs w:val="20"/>
                <w:color w:val="auto"/>
              </w:rPr>
            </w:pPr>
            <w:r>
              <w:rPr>
                <w:rFonts w:ascii="Arial" w:cs="Arial" w:eastAsia="Arial" w:hAnsi="Arial"/>
                <w:sz w:val="18"/>
                <w:szCs w:val="18"/>
                <w:color w:val="auto"/>
              </w:rPr>
              <w:t>[*CTR]</w:t>
            </w:r>
          </w:p>
        </w:tc>
        <w:tc>
          <w:tcPr>
            <w:tcW w:w="14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strike w:val="1"/>
              </w:rPr>
              <w:t>71939</w:t>
            </w:r>
          </w:p>
        </w:tc>
        <w:tc>
          <w:tcPr>
            <w:tcW w:w="4440" w:type="dxa"/>
            <w:vAlign w:val="bottom"/>
            <w:gridSpan w:val="2"/>
            <w:shd w:val="clear" w:color="auto" w:fill="CCEEFF"/>
          </w:tcPr>
          <w:p>
            <w:pPr>
              <w:jc w:val="center"/>
              <w:ind w:right="800"/>
              <w:spacing w:after="0"/>
              <w:rPr>
                <w:sz w:val="20"/>
                <w:szCs w:val="20"/>
                <w:color w:val="auto"/>
              </w:rPr>
            </w:pPr>
            <w:r>
              <w:rPr>
                <w:rFonts w:ascii="Arial" w:cs="Arial" w:eastAsia="Arial" w:hAnsi="Arial"/>
                <w:sz w:val="18"/>
                <w:szCs w:val="18"/>
                <w:color w:val="auto"/>
              </w:rPr>
              <w:t>[*CTR]</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strike w:val="1"/>
              </w:rPr>
              <w:t>71940</w:t>
            </w:r>
          </w:p>
        </w:tc>
        <w:tc>
          <w:tcPr>
            <w:tcW w:w="4440" w:type="dxa"/>
            <w:vAlign w:val="bottom"/>
            <w:gridSpan w:val="2"/>
          </w:tcPr>
          <w:p>
            <w:pPr>
              <w:jc w:val="center"/>
              <w:ind w:right="800"/>
              <w:spacing w:after="0"/>
              <w:rPr>
                <w:sz w:val="20"/>
                <w:szCs w:val="20"/>
                <w:color w:val="auto"/>
              </w:rPr>
            </w:pPr>
            <w:r>
              <w:rPr>
                <w:rFonts w:ascii="Arial" w:cs="Arial" w:eastAsia="Arial" w:hAnsi="Arial"/>
                <w:sz w:val="18"/>
                <w:szCs w:val="18"/>
                <w:color w:val="auto"/>
              </w:rPr>
              <w:t>[*CTR]</w:t>
            </w:r>
          </w:p>
        </w:tc>
        <w:tc>
          <w:tcPr>
            <w:tcW w:w="14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strike w:val="1"/>
              </w:rPr>
              <w:t>101794</w:t>
            </w:r>
          </w:p>
        </w:tc>
        <w:tc>
          <w:tcPr>
            <w:tcW w:w="4440" w:type="dxa"/>
            <w:vAlign w:val="bottom"/>
            <w:gridSpan w:val="2"/>
            <w:shd w:val="clear" w:color="auto" w:fill="CCEEFF"/>
          </w:tcPr>
          <w:p>
            <w:pPr>
              <w:jc w:val="center"/>
              <w:ind w:right="800"/>
              <w:spacing w:after="0"/>
              <w:rPr>
                <w:sz w:val="20"/>
                <w:szCs w:val="20"/>
                <w:color w:val="auto"/>
              </w:rPr>
            </w:pPr>
            <w:r>
              <w:rPr>
                <w:rFonts w:ascii="Arial" w:cs="Arial" w:eastAsia="Arial" w:hAnsi="Arial"/>
                <w:sz w:val="18"/>
                <w:szCs w:val="18"/>
                <w:color w:val="auto"/>
              </w:rPr>
              <w:t>[*CTR]</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strike w:val="1"/>
              </w:rPr>
              <w:t>71942</w:t>
            </w:r>
          </w:p>
        </w:tc>
        <w:tc>
          <w:tcPr>
            <w:tcW w:w="4440" w:type="dxa"/>
            <w:vAlign w:val="bottom"/>
            <w:gridSpan w:val="2"/>
          </w:tcPr>
          <w:p>
            <w:pPr>
              <w:jc w:val="center"/>
              <w:ind w:right="800"/>
              <w:spacing w:after="0"/>
              <w:rPr>
                <w:sz w:val="20"/>
                <w:szCs w:val="20"/>
                <w:color w:val="auto"/>
              </w:rPr>
            </w:pPr>
            <w:r>
              <w:rPr>
                <w:rFonts w:ascii="Arial" w:cs="Arial" w:eastAsia="Arial" w:hAnsi="Arial"/>
                <w:sz w:val="18"/>
                <w:szCs w:val="18"/>
                <w:color w:val="auto"/>
              </w:rPr>
              <w:t>[*CTR]</w:t>
            </w:r>
          </w:p>
        </w:tc>
        <w:tc>
          <w:tcPr>
            <w:tcW w:w="14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67655</w:t>
            </w:r>
          </w:p>
        </w:tc>
        <w:tc>
          <w:tcPr>
            <w:tcW w:w="4440" w:type="dxa"/>
            <w:vAlign w:val="bottom"/>
            <w:gridSpan w:val="2"/>
            <w:shd w:val="clear" w:color="auto" w:fill="CCEEFF"/>
          </w:tcPr>
          <w:p>
            <w:pPr>
              <w:jc w:val="center"/>
              <w:ind w:right="800"/>
              <w:spacing w:after="0"/>
              <w:rPr>
                <w:sz w:val="20"/>
                <w:szCs w:val="20"/>
                <w:color w:val="auto"/>
              </w:rPr>
            </w:pPr>
            <w:r>
              <w:rPr>
                <w:rFonts w:ascii="Arial" w:cs="Arial" w:eastAsia="Arial" w:hAnsi="Arial"/>
                <w:sz w:val="18"/>
                <w:szCs w:val="18"/>
                <w:color w:val="auto"/>
              </w:rPr>
              <w:t>[*CTR]</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350"/>
        </w:trPr>
        <w:tc>
          <w:tcPr>
            <w:tcW w:w="5580" w:type="dxa"/>
            <w:vAlign w:val="bottom"/>
            <w:gridSpan w:val="2"/>
          </w:tcPr>
          <w:p>
            <w:pPr>
              <w:spacing w:after="0"/>
              <w:rPr>
                <w:sz w:val="20"/>
                <w:szCs w:val="20"/>
                <w:color w:val="auto"/>
              </w:rPr>
            </w:pPr>
            <w:r>
              <w:rPr>
                <w:rFonts w:ascii="Arial" w:cs="Arial" w:eastAsia="Arial" w:hAnsi="Arial"/>
                <w:sz w:val="18"/>
                <w:szCs w:val="18"/>
                <w:color w:val="auto"/>
              </w:rPr>
              <w:t>PA No. 1980</w:t>
            </w: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SA-36</w:t>
            </w:r>
          </w:p>
        </w:tc>
        <w:tc>
          <w:tcPr>
            <w:tcW w:w="1400" w:type="dxa"/>
            <w:vAlign w:val="bottom"/>
          </w:tcPr>
          <w:p>
            <w:pPr>
              <w:ind w:left="580"/>
              <w:spacing w:after="0"/>
              <w:rPr>
                <w:sz w:val="20"/>
                <w:szCs w:val="20"/>
                <w:color w:val="auto"/>
              </w:rPr>
            </w:pPr>
            <w:r>
              <w:rPr>
                <w:rFonts w:ascii="Arial" w:cs="Arial" w:eastAsia="Arial" w:hAnsi="Arial"/>
                <w:sz w:val="18"/>
                <w:szCs w:val="18"/>
                <w:color w:val="auto"/>
                <w:w w:val="86"/>
              </w:rPr>
              <w:t>Page 1 of 1</w:t>
            </w: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Attachment B to Letter Agreement 6-1162-AKP-110R3</w:t>
            </w:r>
          </w:p>
        </w:tc>
        <w:tc>
          <w:tcPr>
            <w:tcW w:w="3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Attachment C to Letter Agreement 6-1162-AKP-110R3 (Model 777)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Information Regarding QADP Rights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gridSpan w:val="5"/>
          </w:tcPr>
          <w:p>
            <w:pPr>
              <w:spacing w:after="0"/>
              <w:rPr>
                <w:sz w:val="20"/>
                <w:szCs w:val="20"/>
                <w:color w:val="auto"/>
              </w:rPr>
            </w:pPr>
            <w:r>
              <w:rPr>
                <w:rFonts w:ascii="Arial" w:cs="Arial" w:eastAsia="Arial" w:hAnsi="Arial"/>
                <w:sz w:val="14"/>
                <w:szCs w:val="14"/>
                <w:b w:val="1"/>
                <w:bCs w:val="1"/>
                <w:color w:val="auto"/>
              </w:rPr>
              <w:t>MSN or</w:t>
            </w: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720" w:type="dxa"/>
            <w:vAlign w:val="bottom"/>
          </w:tcPr>
          <w:p>
            <w:pPr>
              <w:spacing w:after="0"/>
              <w:rPr>
                <w:sz w:val="14"/>
                <w:szCs w:val="14"/>
                <w:color w:val="auto"/>
              </w:rPr>
            </w:pPr>
          </w:p>
        </w:tc>
      </w:tr>
      <w:tr>
        <w:trPr>
          <w:trHeight w:val="149"/>
        </w:trPr>
        <w:tc>
          <w:tcPr>
            <w:tcW w:w="40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Item</w:t>
            </w: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720" w:type="dxa"/>
            <w:vAlign w:val="bottom"/>
          </w:tcPr>
          <w:p>
            <w:pPr>
              <w:spacing w:after="0"/>
              <w:rPr>
                <w:sz w:val="12"/>
                <w:szCs w:val="12"/>
                <w:color w:val="auto"/>
              </w:rPr>
            </w:pPr>
          </w:p>
        </w:tc>
      </w:tr>
      <w:tr>
        <w:trPr>
          <w:trHeight w:val="171"/>
        </w:trPr>
        <w:tc>
          <w:tcPr>
            <w:tcW w:w="4040" w:type="dxa"/>
            <w:vAlign w:val="bottom"/>
            <w:gridSpan w:val="5"/>
          </w:tcPr>
          <w:p>
            <w:pPr>
              <w:spacing w:after="0" w:line="151" w:lineRule="exact"/>
              <w:rPr>
                <w:sz w:val="20"/>
                <w:szCs w:val="20"/>
                <w:color w:val="auto"/>
              </w:rPr>
            </w:pPr>
            <w:r>
              <w:rPr>
                <w:rFonts w:ascii="Arial" w:cs="Arial" w:eastAsia="Arial" w:hAnsi="Arial"/>
                <w:sz w:val="14"/>
                <w:szCs w:val="14"/>
                <w:b w:val="1"/>
                <w:bCs w:val="1"/>
                <w:color w:val="auto"/>
              </w:rPr>
              <w:t>Number</w:t>
            </w:r>
          </w:p>
        </w:tc>
        <w:tc>
          <w:tcPr>
            <w:tcW w:w="2400" w:type="dxa"/>
            <w:vAlign w:val="bottom"/>
            <w:gridSpan w:val="4"/>
          </w:tcPr>
          <w:p>
            <w:pPr>
              <w:jc w:val="center"/>
              <w:ind w:right="1520"/>
              <w:spacing w:after="0" w:line="151" w:lineRule="exact"/>
              <w:rPr>
                <w:sz w:val="20"/>
                <w:szCs w:val="20"/>
                <w:color w:val="auto"/>
              </w:rPr>
            </w:pPr>
            <w:r>
              <w:rPr>
                <w:rFonts w:ascii="Arial" w:cs="Arial" w:eastAsia="Arial" w:hAnsi="Arial"/>
                <w:sz w:val="14"/>
                <w:szCs w:val="14"/>
                <w:b w:val="1"/>
                <w:bCs w:val="1"/>
                <w:color w:val="auto"/>
                <w:w w:val="91"/>
              </w:rPr>
              <w:t>Exercise Date</w:t>
            </w:r>
          </w:p>
        </w:tc>
        <w:tc>
          <w:tcPr>
            <w:tcW w:w="2260" w:type="dxa"/>
            <w:vAlign w:val="bottom"/>
          </w:tcPr>
          <w:p>
            <w:pPr>
              <w:jc w:val="center"/>
              <w:ind w:right="391"/>
              <w:spacing w:after="0" w:line="151" w:lineRule="exact"/>
              <w:rPr>
                <w:sz w:val="20"/>
                <w:szCs w:val="20"/>
                <w:color w:val="auto"/>
              </w:rPr>
            </w:pPr>
            <w:r>
              <w:rPr>
                <w:rFonts w:ascii="Arial" w:cs="Arial" w:eastAsia="Arial" w:hAnsi="Arial"/>
                <w:sz w:val="14"/>
                <w:szCs w:val="14"/>
                <w:b w:val="1"/>
                <w:bCs w:val="1"/>
                <w:color w:val="auto"/>
                <w:w w:val="97"/>
              </w:rPr>
              <w:t>Delivery Quarter</w:t>
            </w:r>
          </w:p>
        </w:tc>
        <w:tc>
          <w:tcPr>
            <w:tcW w:w="272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strike w:val="1"/>
                <w:w w:val="83"/>
              </w:rPr>
              <w:t>101789</w:t>
            </w:r>
          </w:p>
        </w:tc>
        <w:tc>
          <w:tcPr>
            <w:tcW w:w="2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left="71"/>
              <w:spacing w:after="0"/>
              <w:rPr>
                <w:sz w:val="20"/>
                <w:szCs w:val="20"/>
                <w:color w:val="auto"/>
              </w:rPr>
            </w:pPr>
            <w:r>
              <w:rPr>
                <w:rFonts w:ascii="Arial" w:cs="Arial" w:eastAsia="Arial" w:hAnsi="Arial"/>
                <w:sz w:val="18"/>
                <w:szCs w:val="18"/>
                <w:color w:val="auto"/>
                <w:strike w:val="1"/>
                <w:w w:val="89"/>
              </w:rPr>
              <w:t>9/30/10</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60" w:type="dxa"/>
            <w:vAlign w:val="bottom"/>
            <w:shd w:val="clear" w:color="auto" w:fill="CCEEFF"/>
          </w:tcPr>
          <w:p>
            <w:pPr>
              <w:jc w:val="center"/>
              <w:ind w:right="411"/>
              <w:spacing w:after="0"/>
              <w:rPr>
                <w:sz w:val="20"/>
                <w:szCs w:val="20"/>
                <w:color w:val="auto"/>
              </w:rPr>
            </w:pPr>
            <w:r>
              <w:rPr>
                <w:rFonts w:ascii="Arial" w:cs="Arial" w:eastAsia="Arial" w:hAnsi="Arial"/>
                <w:sz w:val="18"/>
                <w:szCs w:val="18"/>
                <w:color w:val="auto"/>
              </w:rPr>
              <w:t>[*CTR]</w:t>
            </w:r>
          </w:p>
        </w:tc>
        <w:tc>
          <w:tcPr>
            <w:tcW w:w="2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95"/>
              </w:rPr>
              <w:t>31543</w:t>
            </w:r>
          </w:p>
        </w:tc>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0" w:type="dxa"/>
            <w:vAlign w:val="bottom"/>
            <w:gridSpan w:val="4"/>
          </w:tcPr>
          <w:p>
            <w:pPr>
              <w:jc w:val="center"/>
              <w:ind w:right="1540"/>
              <w:spacing w:after="0"/>
              <w:rPr>
                <w:sz w:val="20"/>
                <w:szCs w:val="20"/>
                <w:color w:val="auto"/>
              </w:rPr>
            </w:pPr>
            <w:r>
              <w:rPr>
                <w:rFonts w:ascii="Arial" w:cs="Arial" w:eastAsia="Arial" w:hAnsi="Arial"/>
                <w:sz w:val="18"/>
                <w:szCs w:val="18"/>
                <w:color w:val="auto"/>
                <w:w w:val="91"/>
              </w:rPr>
              <w:t>SA-20</w:t>
            </w:r>
          </w:p>
        </w:tc>
        <w:tc>
          <w:tcPr>
            <w:tcW w:w="2260" w:type="dxa"/>
            <w:vAlign w:val="bottom"/>
          </w:tcPr>
          <w:p>
            <w:pPr>
              <w:jc w:val="center"/>
              <w:ind w:right="411"/>
              <w:spacing w:after="0"/>
              <w:rPr>
                <w:sz w:val="20"/>
                <w:szCs w:val="20"/>
                <w:color w:val="auto"/>
              </w:rPr>
            </w:pPr>
            <w:r>
              <w:rPr>
                <w:rFonts w:ascii="Arial" w:cs="Arial" w:eastAsia="Arial" w:hAnsi="Arial"/>
                <w:sz w:val="18"/>
                <w:szCs w:val="18"/>
                <w:color w:val="auto"/>
              </w:rPr>
              <w:t>[*CTR]</w:t>
            </w:r>
          </w:p>
        </w:tc>
        <w:tc>
          <w:tcPr>
            <w:tcW w:w="2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strike w:val="1"/>
                <w:w w:val="83"/>
              </w:rPr>
              <w:t>101790</w:t>
            </w:r>
          </w:p>
        </w:tc>
        <w:tc>
          <w:tcPr>
            <w:tcW w:w="2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left="71"/>
              <w:spacing w:after="0"/>
              <w:rPr>
                <w:sz w:val="20"/>
                <w:szCs w:val="20"/>
                <w:color w:val="auto"/>
              </w:rPr>
            </w:pPr>
            <w:r>
              <w:rPr>
                <w:rFonts w:ascii="Arial" w:cs="Arial" w:eastAsia="Arial" w:hAnsi="Arial"/>
                <w:sz w:val="18"/>
                <w:szCs w:val="18"/>
                <w:color w:val="auto"/>
                <w:strike w:val="1"/>
                <w:w w:val="89"/>
              </w:rPr>
              <w:t>3/31/11</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60" w:type="dxa"/>
            <w:vAlign w:val="bottom"/>
            <w:shd w:val="clear" w:color="auto" w:fill="CCEEFF"/>
          </w:tcPr>
          <w:p>
            <w:pPr>
              <w:jc w:val="center"/>
              <w:ind w:right="411"/>
              <w:spacing w:after="0"/>
              <w:rPr>
                <w:sz w:val="20"/>
                <w:szCs w:val="20"/>
                <w:color w:val="auto"/>
              </w:rPr>
            </w:pPr>
            <w:r>
              <w:rPr>
                <w:rFonts w:ascii="Arial" w:cs="Arial" w:eastAsia="Arial" w:hAnsi="Arial"/>
                <w:sz w:val="18"/>
                <w:szCs w:val="18"/>
                <w:color w:val="auto"/>
              </w:rPr>
              <w:t>[*CTR]</w:t>
            </w:r>
          </w:p>
        </w:tc>
        <w:tc>
          <w:tcPr>
            <w:tcW w:w="27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SA-21</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95"/>
              </w:rPr>
              <w:t>41668</w:t>
            </w:r>
          </w:p>
        </w:tc>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0" w:type="dxa"/>
            <w:vAlign w:val="bottom"/>
            <w:gridSpan w:val="4"/>
          </w:tcPr>
          <w:p>
            <w:pPr>
              <w:jc w:val="center"/>
              <w:ind w:right="1540"/>
              <w:spacing w:after="0"/>
              <w:rPr>
                <w:sz w:val="20"/>
                <w:szCs w:val="20"/>
                <w:color w:val="auto"/>
              </w:rPr>
            </w:pPr>
            <w:r>
              <w:rPr>
                <w:rFonts w:ascii="Arial" w:cs="Arial" w:eastAsia="Arial" w:hAnsi="Arial"/>
                <w:sz w:val="18"/>
                <w:szCs w:val="18"/>
                <w:color w:val="auto"/>
                <w:w w:val="91"/>
              </w:rPr>
              <w:t>SA-23</w:t>
            </w:r>
          </w:p>
        </w:tc>
        <w:tc>
          <w:tcPr>
            <w:tcW w:w="2260" w:type="dxa"/>
            <w:vAlign w:val="bottom"/>
          </w:tcPr>
          <w:p>
            <w:pPr>
              <w:jc w:val="center"/>
              <w:ind w:right="411"/>
              <w:spacing w:after="0"/>
              <w:rPr>
                <w:sz w:val="20"/>
                <w:szCs w:val="20"/>
                <w:color w:val="auto"/>
              </w:rPr>
            </w:pPr>
            <w:r>
              <w:rPr>
                <w:rFonts w:ascii="Arial" w:cs="Arial" w:eastAsia="Arial" w:hAnsi="Arial"/>
                <w:sz w:val="18"/>
                <w:szCs w:val="18"/>
                <w:color w:val="auto"/>
              </w:rPr>
              <w:t>[*CTR]</w:t>
            </w:r>
          </w:p>
        </w:tc>
        <w:tc>
          <w:tcPr>
            <w:tcW w:w="2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5"/>
              </w:rPr>
              <w:t>31548</w:t>
            </w:r>
          </w:p>
        </w:tc>
        <w:tc>
          <w:tcPr>
            <w:tcW w:w="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0" w:type="dxa"/>
            <w:vAlign w:val="bottom"/>
            <w:gridSpan w:val="4"/>
            <w:shd w:val="clear" w:color="auto" w:fill="CCEEFF"/>
          </w:tcPr>
          <w:p>
            <w:pPr>
              <w:jc w:val="center"/>
              <w:ind w:right="1540"/>
              <w:spacing w:after="0"/>
              <w:rPr>
                <w:sz w:val="20"/>
                <w:szCs w:val="20"/>
                <w:color w:val="auto"/>
              </w:rPr>
            </w:pPr>
            <w:r>
              <w:rPr>
                <w:rFonts w:ascii="Arial" w:cs="Arial" w:eastAsia="Arial" w:hAnsi="Arial"/>
                <w:sz w:val="18"/>
                <w:szCs w:val="18"/>
                <w:color w:val="auto"/>
                <w:w w:val="91"/>
              </w:rPr>
              <w:t>SA-25</w:t>
            </w:r>
          </w:p>
        </w:tc>
        <w:tc>
          <w:tcPr>
            <w:tcW w:w="2260" w:type="dxa"/>
            <w:vAlign w:val="bottom"/>
            <w:shd w:val="clear" w:color="auto" w:fill="CCEEFF"/>
          </w:tcPr>
          <w:p>
            <w:pPr>
              <w:jc w:val="center"/>
              <w:ind w:right="411"/>
              <w:spacing w:after="0"/>
              <w:rPr>
                <w:sz w:val="20"/>
                <w:szCs w:val="20"/>
                <w:color w:val="auto"/>
              </w:rPr>
            </w:pPr>
            <w:r>
              <w:rPr>
                <w:rFonts w:ascii="Arial" w:cs="Arial" w:eastAsia="Arial" w:hAnsi="Arial"/>
                <w:sz w:val="18"/>
                <w:szCs w:val="18"/>
                <w:color w:val="auto"/>
              </w:rPr>
              <w:t>[*CTR]</w:t>
            </w:r>
          </w:p>
        </w:tc>
        <w:tc>
          <w:tcPr>
            <w:tcW w:w="2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strike w:val="1"/>
                <w:w w:val="95"/>
              </w:rPr>
              <w:t>41669</w:t>
            </w:r>
          </w:p>
        </w:tc>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0" w:type="dxa"/>
            <w:vAlign w:val="bottom"/>
            <w:gridSpan w:val="4"/>
          </w:tcPr>
          <w:p>
            <w:pPr>
              <w:jc w:val="center"/>
              <w:ind w:right="1520"/>
              <w:spacing w:after="0"/>
              <w:rPr>
                <w:sz w:val="20"/>
                <w:szCs w:val="20"/>
                <w:color w:val="auto"/>
              </w:rPr>
            </w:pPr>
            <w:r>
              <w:rPr>
                <w:rFonts w:ascii="Arial" w:cs="Arial" w:eastAsia="Arial" w:hAnsi="Arial"/>
                <w:sz w:val="18"/>
                <w:szCs w:val="18"/>
                <w:color w:val="auto"/>
              </w:rPr>
              <w:t>[*CTR]</w:t>
            </w:r>
          </w:p>
        </w:tc>
        <w:tc>
          <w:tcPr>
            <w:tcW w:w="2260" w:type="dxa"/>
            <w:vAlign w:val="bottom"/>
          </w:tcPr>
          <w:p>
            <w:pPr>
              <w:jc w:val="center"/>
              <w:ind w:right="411"/>
              <w:spacing w:after="0"/>
              <w:rPr>
                <w:sz w:val="20"/>
                <w:szCs w:val="20"/>
                <w:color w:val="auto"/>
              </w:rPr>
            </w:pPr>
            <w:r>
              <w:rPr>
                <w:rFonts w:ascii="Arial" w:cs="Arial" w:eastAsia="Arial" w:hAnsi="Arial"/>
                <w:sz w:val="18"/>
                <w:szCs w:val="18"/>
                <w:color w:val="auto"/>
              </w:rPr>
              <w:t>[*CTR]</w:t>
            </w:r>
          </w:p>
        </w:tc>
        <w:tc>
          <w:tcPr>
            <w:tcW w:w="2720" w:type="dxa"/>
            <w:vAlign w:val="bottom"/>
          </w:tcPr>
          <w:p>
            <w:pPr>
              <w:ind w:left="1180"/>
              <w:spacing w:after="0"/>
              <w:rPr>
                <w:sz w:val="20"/>
                <w:szCs w:val="20"/>
                <w:color w:val="auto"/>
              </w:rPr>
            </w:pPr>
            <w:r>
              <w:rPr>
                <w:rFonts w:ascii="Arial" w:cs="Arial" w:eastAsia="Arial" w:hAnsi="Arial"/>
                <w:sz w:val="18"/>
                <w:szCs w:val="18"/>
                <w:color w:val="auto"/>
              </w:rPr>
              <w:t>SA-27</w:t>
            </w: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strike w:val="1"/>
                <w:w w:val="95"/>
              </w:rPr>
              <w:t>68870</w:t>
            </w:r>
          </w:p>
        </w:tc>
        <w:tc>
          <w:tcPr>
            <w:tcW w:w="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0" w:type="dxa"/>
            <w:vAlign w:val="bottom"/>
            <w:gridSpan w:val="4"/>
            <w:shd w:val="clear" w:color="auto" w:fill="CCEEFF"/>
          </w:tcPr>
          <w:p>
            <w:pPr>
              <w:jc w:val="center"/>
              <w:ind w:right="1520"/>
              <w:spacing w:after="0"/>
              <w:rPr>
                <w:sz w:val="20"/>
                <w:szCs w:val="20"/>
                <w:color w:val="auto"/>
              </w:rPr>
            </w:pPr>
            <w:r>
              <w:rPr>
                <w:rFonts w:ascii="Arial" w:cs="Arial" w:eastAsia="Arial" w:hAnsi="Arial"/>
                <w:sz w:val="18"/>
                <w:szCs w:val="18"/>
                <w:color w:val="auto"/>
              </w:rPr>
              <w:t>[*CTR]</w:t>
            </w:r>
          </w:p>
        </w:tc>
        <w:tc>
          <w:tcPr>
            <w:tcW w:w="2260" w:type="dxa"/>
            <w:vAlign w:val="bottom"/>
            <w:shd w:val="clear" w:color="auto" w:fill="CCEEFF"/>
          </w:tcPr>
          <w:p>
            <w:pPr>
              <w:jc w:val="center"/>
              <w:ind w:right="411"/>
              <w:spacing w:after="0"/>
              <w:rPr>
                <w:sz w:val="20"/>
                <w:szCs w:val="20"/>
                <w:color w:val="auto"/>
              </w:rPr>
            </w:pPr>
            <w:r>
              <w:rPr>
                <w:rFonts w:ascii="Arial" w:cs="Arial" w:eastAsia="Arial" w:hAnsi="Arial"/>
                <w:sz w:val="18"/>
                <w:szCs w:val="18"/>
                <w:color w:val="auto"/>
              </w:rPr>
              <w:t>[*CTR]</w:t>
            </w:r>
          </w:p>
        </w:tc>
        <w:tc>
          <w:tcPr>
            <w:tcW w:w="27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SA-21</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95"/>
              </w:rPr>
              <w:t>31553</w:t>
            </w:r>
          </w:p>
        </w:tc>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0" w:type="dxa"/>
            <w:vAlign w:val="bottom"/>
            <w:gridSpan w:val="4"/>
          </w:tcPr>
          <w:p>
            <w:pPr>
              <w:jc w:val="center"/>
              <w:ind w:right="1540"/>
              <w:spacing w:after="0"/>
              <w:rPr>
                <w:sz w:val="20"/>
                <w:szCs w:val="20"/>
                <w:color w:val="auto"/>
              </w:rPr>
            </w:pPr>
            <w:r>
              <w:rPr>
                <w:rFonts w:ascii="Arial" w:cs="Arial" w:eastAsia="Arial" w:hAnsi="Arial"/>
                <w:sz w:val="18"/>
                <w:szCs w:val="18"/>
                <w:color w:val="auto"/>
                <w:w w:val="91"/>
              </w:rPr>
              <w:t>SA-31</w:t>
            </w:r>
          </w:p>
        </w:tc>
        <w:tc>
          <w:tcPr>
            <w:tcW w:w="2260" w:type="dxa"/>
            <w:vAlign w:val="bottom"/>
          </w:tcPr>
          <w:p>
            <w:pPr>
              <w:jc w:val="center"/>
              <w:ind w:right="411"/>
              <w:spacing w:after="0"/>
              <w:rPr>
                <w:sz w:val="20"/>
                <w:szCs w:val="20"/>
                <w:color w:val="auto"/>
              </w:rPr>
            </w:pPr>
            <w:r>
              <w:rPr>
                <w:rFonts w:ascii="Arial" w:cs="Arial" w:eastAsia="Arial" w:hAnsi="Arial"/>
                <w:sz w:val="18"/>
                <w:szCs w:val="18"/>
                <w:color w:val="auto"/>
              </w:rPr>
              <w:t>[*CTR]</w:t>
            </w:r>
          </w:p>
        </w:tc>
        <w:tc>
          <w:tcPr>
            <w:tcW w:w="2720" w:type="dxa"/>
            <w:vAlign w:val="bottom"/>
          </w:tcPr>
          <w:p>
            <w:pPr>
              <w:ind w:left="1180"/>
              <w:spacing w:after="0"/>
              <w:rPr>
                <w:sz w:val="20"/>
                <w:szCs w:val="20"/>
                <w:color w:val="auto"/>
              </w:rPr>
            </w:pPr>
            <w:r>
              <w:rPr>
                <w:rFonts w:ascii="Arial" w:cs="Arial" w:eastAsia="Arial" w:hAnsi="Arial"/>
                <w:sz w:val="18"/>
                <w:szCs w:val="18"/>
                <w:color w:val="auto"/>
              </w:rPr>
              <w:t>SA-31</w:t>
            </w: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5"/>
              </w:rPr>
              <w:t>33127</w:t>
            </w:r>
          </w:p>
        </w:tc>
        <w:tc>
          <w:tcPr>
            <w:tcW w:w="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0" w:type="dxa"/>
            <w:vAlign w:val="bottom"/>
            <w:gridSpan w:val="4"/>
            <w:shd w:val="clear" w:color="auto" w:fill="CCEEFF"/>
          </w:tcPr>
          <w:p>
            <w:pPr>
              <w:jc w:val="center"/>
              <w:ind w:right="1540"/>
              <w:spacing w:after="0"/>
              <w:rPr>
                <w:sz w:val="20"/>
                <w:szCs w:val="20"/>
                <w:color w:val="auto"/>
              </w:rPr>
            </w:pPr>
            <w:r>
              <w:rPr>
                <w:rFonts w:ascii="Arial" w:cs="Arial" w:eastAsia="Arial" w:hAnsi="Arial"/>
                <w:sz w:val="18"/>
                <w:szCs w:val="18"/>
                <w:color w:val="auto"/>
                <w:w w:val="91"/>
              </w:rPr>
              <w:t>SA-31</w:t>
            </w:r>
          </w:p>
        </w:tc>
        <w:tc>
          <w:tcPr>
            <w:tcW w:w="2260" w:type="dxa"/>
            <w:vAlign w:val="bottom"/>
            <w:shd w:val="clear" w:color="auto" w:fill="CCEEFF"/>
          </w:tcPr>
          <w:p>
            <w:pPr>
              <w:jc w:val="center"/>
              <w:ind w:right="411"/>
              <w:spacing w:after="0"/>
              <w:rPr>
                <w:sz w:val="20"/>
                <w:szCs w:val="20"/>
                <w:color w:val="auto"/>
              </w:rPr>
            </w:pPr>
            <w:r>
              <w:rPr>
                <w:rFonts w:ascii="Arial" w:cs="Arial" w:eastAsia="Arial" w:hAnsi="Arial"/>
                <w:sz w:val="18"/>
                <w:szCs w:val="18"/>
                <w:color w:val="auto"/>
              </w:rPr>
              <w:t>[*CTR]</w:t>
            </w:r>
          </w:p>
        </w:tc>
        <w:tc>
          <w:tcPr>
            <w:tcW w:w="27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SA-31</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95"/>
              </w:rPr>
              <w:t>68872</w:t>
            </w:r>
          </w:p>
        </w:tc>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0" w:type="dxa"/>
            <w:vAlign w:val="bottom"/>
            <w:gridSpan w:val="4"/>
          </w:tcPr>
          <w:p>
            <w:pPr>
              <w:jc w:val="center"/>
              <w:ind w:right="1540"/>
              <w:spacing w:after="0"/>
              <w:rPr>
                <w:sz w:val="20"/>
                <w:szCs w:val="20"/>
                <w:color w:val="auto"/>
              </w:rPr>
            </w:pPr>
            <w:r>
              <w:rPr>
                <w:rFonts w:ascii="Arial" w:cs="Arial" w:eastAsia="Arial" w:hAnsi="Arial"/>
                <w:sz w:val="18"/>
                <w:szCs w:val="18"/>
                <w:color w:val="auto"/>
                <w:w w:val="91"/>
              </w:rPr>
              <w:t>SA-32</w:t>
            </w:r>
          </w:p>
        </w:tc>
        <w:tc>
          <w:tcPr>
            <w:tcW w:w="2260" w:type="dxa"/>
            <w:vAlign w:val="bottom"/>
          </w:tcPr>
          <w:p>
            <w:pPr>
              <w:jc w:val="center"/>
              <w:ind w:right="411"/>
              <w:spacing w:after="0"/>
              <w:rPr>
                <w:sz w:val="20"/>
                <w:szCs w:val="20"/>
                <w:color w:val="auto"/>
              </w:rPr>
            </w:pPr>
            <w:r>
              <w:rPr>
                <w:rFonts w:ascii="Arial" w:cs="Arial" w:eastAsia="Arial" w:hAnsi="Arial"/>
                <w:sz w:val="18"/>
                <w:szCs w:val="18"/>
                <w:color w:val="auto"/>
              </w:rPr>
              <w:t>[*CTR]</w:t>
            </w:r>
          </w:p>
        </w:tc>
        <w:tc>
          <w:tcPr>
            <w:tcW w:w="2720" w:type="dxa"/>
            <w:vAlign w:val="bottom"/>
          </w:tcPr>
          <w:p>
            <w:pPr>
              <w:ind w:left="1180"/>
              <w:spacing w:after="0"/>
              <w:rPr>
                <w:sz w:val="20"/>
                <w:szCs w:val="20"/>
                <w:color w:val="auto"/>
              </w:rPr>
            </w:pPr>
            <w:r>
              <w:rPr>
                <w:rFonts w:ascii="Arial" w:cs="Arial" w:eastAsia="Arial" w:hAnsi="Arial"/>
                <w:sz w:val="18"/>
                <w:szCs w:val="18"/>
                <w:color w:val="auto"/>
              </w:rPr>
              <w:t>SA-32</w:t>
            </w: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5"/>
              </w:rPr>
              <w:t>68870</w:t>
            </w:r>
          </w:p>
        </w:tc>
        <w:tc>
          <w:tcPr>
            <w:tcW w:w="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0" w:type="dxa"/>
            <w:vAlign w:val="bottom"/>
            <w:gridSpan w:val="4"/>
            <w:shd w:val="clear" w:color="auto" w:fill="CCEEFF"/>
          </w:tcPr>
          <w:p>
            <w:pPr>
              <w:jc w:val="center"/>
              <w:ind w:right="1540"/>
              <w:spacing w:after="0"/>
              <w:rPr>
                <w:sz w:val="20"/>
                <w:szCs w:val="20"/>
                <w:color w:val="auto"/>
              </w:rPr>
            </w:pPr>
            <w:r>
              <w:rPr>
                <w:rFonts w:ascii="Arial" w:cs="Arial" w:eastAsia="Arial" w:hAnsi="Arial"/>
                <w:sz w:val="18"/>
                <w:szCs w:val="18"/>
                <w:color w:val="auto"/>
                <w:w w:val="91"/>
              </w:rPr>
              <w:t>SA-34</w:t>
            </w:r>
          </w:p>
        </w:tc>
        <w:tc>
          <w:tcPr>
            <w:tcW w:w="2260" w:type="dxa"/>
            <w:vAlign w:val="bottom"/>
            <w:shd w:val="clear" w:color="auto" w:fill="CCEEFF"/>
          </w:tcPr>
          <w:p>
            <w:pPr>
              <w:jc w:val="center"/>
              <w:ind w:right="411"/>
              <w:spacing w:after="0"/>
              <w:rPr>
                <w:sz w:val="20"/>
                <w:szCs w:val="20"/>
                <w:color w:val="auto"/>
              </w:rPr>
            </w:pPr>
            <w:r>
              <w:rPr>
                <w:rFonts w:ascii="Arial" w:cs="Arial" w:eastAsia="Arial" w:hAnsi="Arial"/>
                <w:sz w:val="18"/>
                <w:szCs w:val="18"/>
                <w:color w:val="auto"/>
              </w:rPr>
              <w:t>[*CTR]</w:t>
            </w:r>
          </w:p>
        </w:tc>
        <w:tc>
          <w:tcPr>
            <w:tcW w:w="272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SA-34</w:t>
            </w:r>
          </w:p>
        </w:tc>
      </w:tr>
      <w:tr>
        <w:trPr>
          <w:trHeight w:val="216"/>
        </w:trPr>
        <w:tc>
          <w:tcPr>
            <w:tcW w:w="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b w:val="1"/>
                <w:bCs w:val="1"/>
                <w:color w:val="auto"/>
                <w:strike w:val="1"/>
                <w:w w:val="83"/>
              </w:rPr>
              <w:t>101801</w:t>
            </w:r>
          </w:p>
        </w:tc>
        <w:tc>
          <w:tcPr>
            <w:tcW w:w="2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0" w:type="dxa"/>
            <w:vAlign w:val="bottom"/>
            <w:gridSpan w:val="4"/>
          </w:tcPr>
          <w:p>
            <w:pPr>
              <w:jc w:val="center"/>
              <w:ind w:right="1540"/>
              <w:spacing w:after="0"/>
              <w:rPr>
                <w:sz w:val="20"/>
                <w:szCs w:val="20"/>
                <w:color w:val="auto"/>
              </w:rPr>
            </w:pPr>
            <w:r>
              <w:rPr>
                <w:rFonts w:ascii="Arial" w:cs="Arial" w:eastAsia="Arial" w:hAnsi="Arial"/>
                <w:sz w:val="18"/>
                <w:szCs w:val="18"/>
                <w:b w:val="1"/>
                <w:bCs w:val="1"/>
                <w:color w:val="auto"/>
              </w:rPr>
              <w:t>[*CTR]</w:t>
            </w:r>
          </w:p>
        </w:tc>
        <w:tc>
          <w:tcPr>
            <w:tcW w:w="2260" w:type="dxa"/>
            <w:vAlign w:val="bottom"/>
          </w:tcPr>
          <w:p>
            <w:pPr>
              <w:jc w:val="center"/>
              <w:ind w:right="411"/>
              <w:spacing w:after="0"/>
              <w:rPr>
                <w:sz w:val="20"/>
                <w:szCs w:val="20"/>
                <w:color w:val="auto"/>
              </w:rPr>
            </w:pPr>
            <w:r>
              <w:rPr>
                <w:rFonts w:ascii="Arial" w:cs="Arial" w:eastAsia="Arial" w:hAnsi="Arial"/>
                <w:sz w:val="18"/>
                <w:szCs w:val="18"/>
                <w:color w:val="auto"/>
              </w:rPr>
              <w:t>[*CTR]</w:t>
            </w:r>
          </w:p>
        </w:tc>
        <w:tc>
          <w:tcPr>
            <w:tcW w:w="2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strike w:val="1"/>
                <w:w w:val="83"/>
              </w:rPr>
              <w:t>101790</w:t>
            </w:r>
          </w:p>
        </w:tc>
        <w:tc>
          <w:tcPr>
            <w:tcW w:w="2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0" w:type="dxa"/>
            <w:vAlign w:val="bottom"/>
            <w:gridSpan w:val="4"/>
            <w:shd w:val="clear" w:color="auto" w:fill="CCEEFF"/>
          </w:tcPr>
          <w:p>
            <w:pPr>
              <w:jc w:val="center"/>
              <w:ind w:right="1540"/>
              <w:spacing w:after="0"/>
              <w:rPr>
                <w:sz w:val="20"/>
                <w:szCs w:val="20"/>
                <w:color w:val="auto"/>
              </w:rPr>
            </w:pPr>
            <w:r>
              <w:rPr>
                <w:rFonts w:ascii="Arial" w:cs="Arial" w:eastAsia="Arial" w:hAnsi="Arial"/>
                <w:sz w:val="18"/>
                <w:szCs w:val="18"/>
                <w:b w:val="1"/>
                <w:bCs w:val="1"/>
                <w:color w:val="auto"/>
              </w:rPr>
              <w:t>[*CTR]</w:t>
            </w:r>
          </w:p>
        </w:tc>
        <w:tc>
          <w:tcPr>
            <w:tcW w:w="2260" w:type="dxa"/>
            <w:vAlign w:val="bottom"/>
            <w:shd w:val="clear" w:color="auto" w:fill="CCEEFF"/>
          </w:tcPr>
          <w:p>
            <w:pPr>
              <w:jc w:val="center"/>
              <w:ind w:right="411"/>
              <w:spacing w:after="0"/>
              <w:rPr>
                <w:sz w:val="20"/>
                <w:szCs w:val="20"/>
                <w:color w:val="auto"/>
              </w:rPr>
            </w:pPr>
            <w:r>
              <w:rPr>
                <w:rFonts w:ascii="Arial" w:cs="Arial" w:eastAsia="Arial" w:hAnsi="Arial"/>
                <w:sz w:val="18"/>
                <w:szCs w:val="18"/>
                <w:color w:val="auto"/>
              </w:rPr>
              <w:t>[*CTR]</w:t>
            </w:r>
          </w:p>
        </w:tc>
        <w:tc>
          <w:tcPr>
            <w:tcW w:w="2720" w:type="dxa"/>
            <w:vAlign w:val="bottom"/>
            <w:shd w:val="clear" w:color="auto" w:fill="CCEEFF"/>
          </w:tcPr>
          <w:p>
            <w:pPr>
              <w:ind w:left="1180"/>
              <w:spacing w:after="0"/>
              <w:rPr>
                <w:sz w:val="20"/>
                <w:szCs w:val="20"/>
                <w:color w:val="auto"/>
              </w:rPr>
            </w:pPr>
            <w:r>
              <w:rPr>
                <w:rFonts w:ascii="Arial" w:cs="Arial" w:eastAsia="Arial" w:hAnsi="Arial"/>
                <w:sz w:val="18"/>
                <w:szCs w:val="18"/>
                <w:b w:val="1"/>
                <w:bCs w:val="1"/>
                <w:color w:val="auto"/>
              </w:rPr>
              <w:t>SA-29</w:t>
            </w:r>
          </w:p>
        </w:tc>
      </w:tr>
      <w:tr>
        <w:trPr>
          <w:trHeight w:val="216"/>
        </w:trPr>
        <w:tc>
          <w:tcPr>
            <w:tcW w:w="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b w:val="1"/>
                <w:bCs w:val="1"/>
                <w:color w:val="auto"/>
                <w:w w:val="83"/>
              </w:rPr>
              <w:t>181030</w:t>
            </w:r>
          </w:p>
        </w:tc>
        <w:tc>
          <w:tcPr>
            <w:tcW w:w="2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0" w:type="dxa"/>
            <w:vAlign w:val="bottom"/>
            <w:gridSpan w:val="4"/>
          </w:tcPr>
          <w:p>
            <w:pPr>
              <w:jc w:val="center"/>
              <w:ind w:right="1540"/>
              <w:spacing w:after="0"/>
              <w:rPr>
                <w:sz w:val="20"/>
                <w:szCs w:val="20"/>
                <w:color w:val="auto"/>
              </w:rPr>
            </w:pPr>
            <w:r>
              <w:rPr>
                <w:rFonts w:ascii="Arial" w:cs="Arial" w:eastAsia="Arial" w:hAnsi="Arial"/>
                <w:sz w:val="18"/>
                <w:szCs w:val="18"/>
                <w:b w:val="1"/>
                <w:bCs w:val="1"/>
                <w:color w:val="auto"/>
              </w:rPr>
              <w:t>[*CTR]</w:t>
            </w:r>
          </w:p>
        </w:tc>
        <w:tc>
          <w:tcPr>
            <w:tcW w:w="2260" w:type="dxa"/>
            <w:vAlign w:val="bottom"/>
          </w:tcPr>
          <w:p>
            <w:pPr>
              <w:jc w:val="center"/>
              <w:ind w:right="411"/>
              <w:spacing w:after="0"/>
              <w:rPr>
                <w:sz w:val="20"/>
                <w:szCs w:val="20"/>
                <w:color w:val="auto"/>
              </w:rPr>
            </w:pPr>
            <w:r>
              <w:rPr>
                <w:rFonts w:ascii="Arial" w:cs="Arial" w:eastAsia="Arial" w:hAnsi="Arial"/>
                <w:sz w:val="18"/>
                <w:szCs w:val="18"/>
                <w:color w:val="auto"/>
              </w:rPr>
              <w:t>[*CTR]</w:t>
            </w:r>
          </w:p>
        </w:tc>
        <w:tc>
          <w:tcPr>
            <w:tcW w:w="2720" w:type="dxa"/>
            <w:vAlign w:val="bottom"/>
          </w:tcPr>
          <w:p>
            <w:pPr>
              <w:ind w:left="1180"/>
              <w:spacing w:after="0"/>
              <w:rPr>
                <w:sz w:val="20"/>
                <w:szCs w:val="20"/>
                <w:color w:val="auto"/>
              </w:rPr>
            </w:pPr>
            <w:r>
              <w:rPr>
                <w:rFonts w:ascii="Arial" w:cs="Arial" w:eastAsia="Arial" w:hAnsi="Arial"/>
                <w:sz w:val="18"/>
                <w:szCs w:val="18"/>
                <w:b w:val="1"/>
                <w:bCs w:val="1"/>
                <w:color w:val="auto"/>
              </w:rPr>
              <w:t>SA-36</w:t>
            </w:r>
          </w:p>
        </w:tc>
      </w:tr>
      <w:tr>
        <w:trPr>
          <w:trHeight w:val="216"/>
        </w:trPr>
        <w:tc>
          <w:tcPr>
            <w:tcW w:w="20" w:type="dxa"/>
            <w:vAlign w:val="bottom"/>
          </w:tcPr>
          <w:p>
            <w:pPr>
              <w:spacing w:after="0"/>
              <w:rPr>
                <w:sz w:val="18"/>
                <w:szCs w:val="18"/>
                <w:color w:val="auto"/>
              </w:rPr>
            </w:pP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3"/>
              </w:rPr>
              <w:t>181031</w:t>
            </w:r>
          </w:p>
        </w:tc>
        <w:tc>
          <w:tcPr>
            <w:tcW w:w="2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0" w:type="dxa"/>
            <w:vAlign w:val="bottom"/>
            <w:gridSpan w:val="4"/>
            <w:shd w:val="clear" w:color="auto" w:fill="CCEEFF"/>
          </w:tcPr>
          <w:p>
            <w:pPr>
              <w:jc w:val="center"/>
              <w:ind w:right="1540"/>
              <w:spacing w:after="0"/>
              <w:rPr>
                <w:sz w:val="20"/>
                <w:szCs w:val="20"/>
                <w:color w:val="auto"/>
              </w:rPr>
            </w:pPr>
            <w:r>
              <w:rPr>
                <w:rFonts w:ascii="Arial" w:cs="Arial" w:eastAsia="Arial" w:hAnsi="Arial"/>
                <w:sz w:val="18"/>
                <w:szCs w:val="18"/>
                <w:b w:val="1"/>
                <w:bCs w:val="1"/>
                <w:color w:val="auto"/>
              </w:rPr>
              <w:t>[*CTR]</w:t>
            </w:r>
          </w:p>
        </w:tc>
        <w:tc>
          <w:tcPr>
            <w:tcW w:w="2260" w:type="dxa"/>
            <w:vAlign w:val="bottom"/>
            <w:shd w:val="clear" w:color="auto" w:fill="CCEEFF"/>
          </w:tcPr>
          <w:p>
            <w:pPr>
              <w:jc w:val="center"/>
              <w:ind w:right="411"/>
              <w:spacing w:after="0"/>
              <w:rPr>
                <w:sz w:val="20"/>
                <w:szCs w:val="20"/>
                <w:color w:val="auto"/>
              </w:rPr>
            </w:pPr>
            <w:r>
              <w:rPr>
                <w:rFonts w:ascii="Arial" w:cs="Arial" w:eastAsia="Arial" w:hAnsi="Arial"/>
                <w:sz w:val="18"/>
                <w:szCs w:val="18"/>
                <w:color w:val="auto"/>
              </w:rPr>
              <w:t>[*CTR]</w:t>
            </w:r>
          </w:p>
        </w:tc>
        <w:tc>
          <w:tcPr>
            <w:tcW w:w="2720" w:type="dxa"/>
            <w:vAlign w:val="bottom"/>
            <w:shd w:val="clear" w:color="auto" w:fill="CCEEFF"/>
          </w:tcPr>
          <w:p>
            <w:pPr>
              <w:ind w:left="1180"/>
              <w:spacing w:after="0"/>
              <w:rPr>
                <w:sz w:val="20"/>
                <w:szCs w:val="20"/>
                <w:color w:val="auto"/>
              </w:rPr>
            </w:pPr>
            <w:r>
              <w:rPr>
                <w:rFonts w:ascii="Arial" w:cs="Arial" w:eastAsia="Arial" w:hAnsi="Arial"/>
                <w:sz w:val="18"/>
                <w:szCs w:val="18"/>
                <w:b w:val="1"/>
                <w:bCs w:val="1"/>
                <w:color w:val="auto"/>
              </w:rPr>
              <w:t>SA-36</w:t>
            </w:r>
          </w:p>
        </w:tc>
      </w:tr>
      <w:tr>
        <w:trPr>
          <w:trHeight w:val="216"/>
        </w:trPr>
        <w:tc>
          <w:tcPr>
            <w:tcW w:w="2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auto"/>
                <w:w w:val="83"/>
              </w:rPr>
              <w:t>101798</w:t>
            </w:r>
          </w:p>
        </w:tc>
        <w:tc>
          <w:tcPr>
            <w:tcW w:w="2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0" w:type="dxa"/>
            <w:vAlign w:val="bottom"/>
            <w:gridSpan w:val="4"/>
          </w:tcPr>
          <w:p>
            <w:pPr>
              <w:jc w:val="center"/>
              <w:ind w:right="1540"/>
              <w:spacing w:after="0"/>
              <w:rPr>
                <w:sz w:val="20"/>
                <w:szCs w:val="20"/>
                <w:color w:val="auto"/>
              </w:rPr>
            </w:pPr>
            <w:r>
              <w:rPr>
                <w:rFonts w:ascii="Arial" w:cs="Arial" w:eastAsia="Arial" w:hAnsi="Arial"/>
                <w:sz w:val="18"/>
                <w:szCs w:val="18"/>
                <w:b w:val="1"/>
                <w:bCs w:val="1"/>
                <w:color w:val="auto"/>
              </w:rPr>
              <w:t>[*CTR]</w:t>
            </w:r>
          </w:p>
        </w:tc>
        <w:tc>
          <w:tcPr>
            <w:tcW w:w="2260" w:type="dxa"/>
            <w:vAlign w:val="bottom"/>
          </w:tcPr>
          <w:p>
            <w:pPr>
              <w:jc w:val="center"/>
              <w:ind w:right="411"/>
              <w:spacing w:after="0"/>
              <w:rPr>
                <w:sz w:val="20"/>
                <w:szCs w:val="20"/>
                <w:color w:val="auto"/>
              </w:rPr>
            </w:pPr>
            <w:r>
              <w:rPr>
                <w:rFonts w:ascii="Arial" w:cs="Arial" w:eastAsia="Arial" w:hAnsi="Arial"/>
                <w:sz w:val="18"/>
                <w:szCs w:val="18"/>
                <w:color w:val="auto"/>
              </w:rPr>
              <w:t>[*CTR]</w:t>
            </w:r>
          </w:p>
        </w:tc>
        <w:tc>
          <w:tcPr>
            <w:tcW w:w="2720" w:type="dxa"/>
            <w:vAlign w:val="bottom"/>
          </w:tcPr>
          <w:p>
            <w:pPr>
              <w:ind w:left="1180"/>
              <w:spacing w:after="0"/>
              <w:rPr>
                <w:sz w:val="20"/>
                <w:szCs w:val="20"/>
                <w:color w:val="auto"/>
              </w:rPr>
            </w:pPr>
            <w:r>
              <w:rPr>
                <w:rFonts w:ascii="Arial" w:cs="Arial" w:eastAsia="Arial" w:hAnsi="Arial"/>
                <w:sz w:val="18"/>
                <w:szCs w:val="18"/>
                <w:b w:val="1"/>
                <w:bCs w:val="1"/>
                <w:color w:val="auto"/>
              </w:rPr>
              <w:t>SA-36</w:t>
            </w:r>
          </w:p>
        </w:tc>
      </w:tr>
      <w:tr>
        <w:trPr>
          <w:trHeight w:val="216"/>
        </w:trPr>
        <w:tc>
          <w:tcPr>
            <w:tcW w:w="20" w:type="dxa"/>
            <w:vAlign w:val="bottom"/>
          </w:tcPr>
          <w:p>
            <w:pPr>
              <w:spacing w:after="0"/>
              <w:rPr>
                <w:sz w:val="18"/>
                <w:szCs w:val="18"/>
                <w:color w:val="auto"/>
              </w:rPr>
            </w:pP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83"/>
              </w:rPr>
              <w:t>181032</w:t>
            </w:r>
          </w:p>
        </w:tc>
        <w:tc>
          <w:tcPr>
            <w:tcW w:w="2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0" w:type="dxa"/>
            <w:vAlign w:val="bottom"/>
            <w:gridSpan w:val="4"/>
            <w:shd w:val="clear" w:color="auto" w:fill="CCEEFF"/>
          </w:tcPr>
          <w:p>
            <w:pPr>
              <w:jc w:val="center"/>
              <w:ind w:right="1540"/>
              <w:spacing w:after="0"/>
              <w:rPr>
                <w:sz w:val="20"/>
                <w:szCs w:val="20"/>
                <w:color w:val="auto"/>
              </w:rPr>
            </w:pPr>
            <w:r>
              <w:rPr>
                <w:rFonts w:ascii="Arial" w:cs="Arial" w:eastAsia="Arial" w:hAnsi="Arial"/>
                <w:sz w:val="18"/>
                <w:szCs w:val="18"/>
                <w:b w:val="1"/>
                <w:bCs w:val="1"/>
                <w:color w:val="auto"/>
              </w:rPr>
              <w:t>[*CTR]</w:t>
            </w:r>
          </w:p>
        </w:tc>
        <w:tc>
          <w:tcPr>
            <w:tcW w:w="2260" w:type="dxa"/>
            <w:vAlign w:val="bottom"/>
            <w:shd w:val="clear" w:color="auto" w:fill="CCEEFF"/>
          </w:tcPr>
          <w:p>
            <w:pPr>
              <w:jc w:val="center"/>
              <w:ind w:right="411"/>
              <w:spacing w:after="0"/>
              <w:rPr>
                <w:sz w:val="20"/>
                <w:szCs w:val="20"/>
                <w:color w:val="auto"/>
              </w:rPr>
            </w:pPr>
            <w:r>
              <w:rPr>
                <w:rFonts w:ascii="Arial" w:cs="Arial" w:eastAsia="Arial" w:hAnsi="Arial"/>
                <w:sz w:val="18"/>
                <w:szCs w:val="18"/>
                <w:color w:val="auto"/>
              </w:rPr>
              <w:t>[*CTR]</w:t>
            </w:r>
          </w:p>
        </w:tc>
        <w:tc>
          <w:tcPr>
            <w:tcW w:w="2720" w:type="dxa"/>
            <w:vAlign w:val="bottom"/>
            <w:shd w:val="clear" w:color="auto" w:fill="CCEEFF"/>
          </w:tcPr>
          <w:p>
            <w:pPr>
              <w:ind w:left="1180"/>
              <w:spacing w:after="0"/>
              <w:rPr>
                <w:sz w:val="20"/>
                <w:szCs w:val="20"/>
                <w:color w:val="auto"/>
              </w:rPr>
            </w:pPr>
            <w:r>
              <w:rPr>
                <w:rFonts w:ascii="Arial" w:cs="Arial" w:eastAsia="Arial" w:hAnsi="Arial"/>
                <w:sz w:val="18"/>
                <w:szCs w:val="18"/>
                <w:b w:val="1"/>
                <w:bCs w:val="1"/>
                <w:color w:val="auto"/>
              </w:rPr>
              <w:t>SA-36</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95"/>
              </w:rPr>
              <w:t>68864</w:t>
            </w:r>
          </w:p>
        </w:tc>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0" w:type="dxa"/>
            <w:vAlign w:val="bottom"/>
            <w:gridSpan w:val="4"/>
          </w:tcPr>
          <w:p>
            <w:pPr>
              <w:jc w:val="center"/>
              <w:ind w:right="1540"/>
              <w:spacing w:after="0"/>
              <w:rPr>
                <w:sz w:val="20"/>
                <w:szCs w:val="20"/>
                <w:color w:val="auto"/>
              </w:rPr>
            </w:pPr>
            <w:r>
              <w:rPr>
                <w:rFonts w:ascii="Arial" w:cs="Arial" w:eastAsia="Arial" w:hAnsi="Arial"/>
                <w:sz w:val="18"/>
                <w:szCs w:val="18"/>
                <w:b w:val="1"/>
                <w:bCs w:val="1"/>
                <w:color w:val="auto"/>
              </w:rPr>
              <w:t>[*CTR]</w:t>
            </w:r>
          </w:p>
        </w:tc>
        <w:tc>
          <w:tcPr>
            <w:tcW w:w="2260" w:type="dxa"/>
            <w:vAlign w:val="bottom"/>
          </w:tcPr>
          <w:p>
            <w:pPr>
              <w:jc w:val="center"/>
              <w:ind w:right="411"/>
              <w:spacing w:after="0"/>
              <w:rPr>
                <w:sz w:val="20"/>
                <w:szCs w:val="20"/>
                <w:color w:val="auto"/>
              </w:rPr>
            </w:pPr>
            <w:r>
              <w:rPr>
                <w:rFonts w:ascii="Arial" w:cs="Arial" w:eastAsia="Arial" w:hAnsi="Arial"/>
                <w:sz w:val="18"/>
                <w:szCs w:val="18"/>
                <w:color w:val="auto"/>
              </w:rPr>
              <w:t>[*CTR]</w:t>
            </w:r>
          </w:p>
        </w:tc>
        <w:tc>
          <w:tcPr>
            <w:tcW w:w="2720" w:type="dxa"/>
            <w:vAlign w:val="bottom"/>
          </w:tcPr>
          <w:p>
            <w:pPr>
              <w:ind w:left="1180"/>
              <w:spacing w:after="0"/>
              <w:rPr>
                <w:sz w:val="20"/>
                <w:szCs w:val="20"/>
                <w:color w:val="auto"/>
              </w:rPr>
            </w:pPr>
            <w:r>
              <w:rPr>
                <w:rFonts w:ascii="Arial" w:cs="Arial" w:eastAsia="Arial" w:hAnsi="Arial"/>
                <w:sz w:val="18"/>
                <w:szCs w:val="18"/>
                <w:b w:val="1"/>
                <w:bCs w:val="1"/>
                <w:color w:val="auto"/>
              </w:rPr>
              <w:t>SA-36</w:t>
            </w: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5"/>
              </w:rPr>
              <w:t>71938</w:t>
            </w:r>
          </w:p>
        </w:tc>
        <w:tc>
          <w:tcPr>
            <w:tcW w:w="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0" w:type="dxa"/>
            <w:vAlign w:val="bottom"/>
            <w:gridSpan w:val="4"/>
            <w:shd w:val="clear" w:color="auto" w:fill="CCEEFF"/>
          </w:tcPr>
          <w:p>
            <w:pPr>
              <w:jc w:val="center"/>
              <w:ind w:right="1540"/>
              <w:spacing w:after="0"/>
              <w:rPr>
                <w:sz w:val="20"/>
                <w:szCs w:val="20"/>
                <w:color w:val="auto"/>
              </w:rPr>
            </w:pPr>
            <w:r>
              <w:rPr>
                <w:rFonts w:ascii="Arial" w:cs="Arial" w:eastAsia="Arial" w:hAnsi="Arial"/>
                <w:sz w:val="18"/>
                <w:szCs w:val="18"/>
                <w:b w:val="1"/>
                <w:bCs w:val="1"/>
                <w:color w:val="auto"/>
              </w:rPr>
              <w:t>[*CTR]</w:t>
            </w:r>
          </w:p>
        </w:tc>
        <w:tc>
          <w:tcPr>
            <w:tcW w:w="2260" w:type="dxa"/>
            <w:vAlign w:val="bottom"/>
            <w:shd w:val="clear" w:color="auto" w:fill="CCEEFF"/>
          </w:tcPr>
          <w:p>
            <w:pPr>
              <w:jc w:val="center"/>
              <w:ind w:right="411"/>
              <w:spacing w:after="0"/>
              <w:rPr>
                <w:sz w:val="20"/>
                <w:szCs w:val="20"/>
                <w:color w:val="auto"/>
              </w:rPr>
            </w:pPr>
            <w:r>
              <w:rPr>
                <w:rFonts w:ascii="Arial" w:cs="Arial" w:eastAsia="Arial" w:hAnsi="Arial"/>
                <w:sz w:val="18"/>
                <w:szCs w:val="18"/>
                <w:color w:val="auto"/>
              </w:rPr>
              <w:t>[*CTR]</w:t>
            </w:r>
          </w:p>
        </w:tc>
        <w:tc>
          <w:tcPr>
            <w:tcW w:w="2720" w:type="dxa"/>
            <w:vAlign w:val="bottom"/>
            <w:shd w:val="clear" w:color="auto" w:fill="CCEEFF"/>
          </w:tcPr>
          <w:p>
            <w:pPr>
              <w:ind w:left="1180"/>
              <w:spacing w:after="0"/>
              <w:rPr>
                <w:sz w:val="20"/>
                <w:szCs w:val="20"/>
                <w:color w:val="auto"/>
              </w:rPr>
            </w:pPr>
            <w:r>
              <w:rPr>
                <w:rFonts w:ascii="Arial" w:cs="Arial" w:eastAsia="Arial" w:hAnsi="Arial"/>
                <w:sz w:val="18"/>
                <w:szCs w:val="18"/>
                <w:b w:val="1"/>
                <w:bCs w:val="1"/>
                <w:color w:val="auto"/>
              </w:rPr>
              <w:t>SA-36</w:t>
            </w:r>
          </w:p>
        </w:tc>
      </w:tr>
      <w:tr>
        <w:trPr>
          <w:trHeight w:val="350"/>
        </w:trPr>
        <w:tc>
          <w:tcPr>
            <w:tcW w:w="4040" w:type="dxa"/>
            <w:vAlign w:val="bottom"/>
            <w:gridSpan w:val="5"/>
          </w:tcPr>
          <w:p>
            <w:pPr>
              <w:spacing w:after="0"/>
              <w:rPr>
                <w:sz w:val="20"/>
                <w:szCs w:val="20"/>
                <w:color w:val="auto"/>
              </w:rPr>
            </w:pPr>
            <w:r>
              <w:rPr>
                <w:rFonts w:ascii="Arial" w:cs="Arial" w:eastAsia="Arial" w:hAnsi="Arial"/>
                <w:sz w:val="18"/>
                <w:szCs w:val="18"/>
                <w:color w:val="auto"/>
              </w:rPr>
              <w:t>PA No. 1980</w:t>
            </w:r>
          </w:p>
        </w:tc>
        <w:tc>
          <w:tcPr>
            <w:tcW w:w="700" w:type="dxa"/>
            <w:vAlign w:val="bottom"/>
          </w:tcPr>
          <w:p>
            <w:pPr>
              <w:spacing w:after="0"/>
              <w:rPr>
                <w:sz w:val="24"/>
                <w:szCs w:val="24"/>
                <w:color w:val="auto"/>
              </w:rPr>
            </w:pPr>
          </w:p>
        </w:tc>
        <w:tc>
          <w:tcPr>
            <w:tcW w:w="1700" w:type="dxa"/>
            <w:vAlign w:val="bottom"/>
            <w:gridSpan w:val="3"/>
          </w:tcPr>
          <w:p>
            <w:pPr>
              <w:ind w:left="860"/>
              <w:spacing w:after="0"/>
              <w:rPr>
                <w:sz w:val="20"/>
                <w:szCs w:val="20"/>
                <w:color w:val="auto"/>
              </w:rPr>
            </w:pPr>
            <w:r>
              <w:rPr>
                <w:rFonts w:ascii="Arial" w:cs="Arial" w:eastAsia="Arial" w:hAnsi="Arial"/>
                <w:sz w:val="18"/>
                <w:szCs w:val="18"/>
                <w:color w:val="auto"/>
              </w:rPr>
              <w:t>SA-36</w:t>
            </w:r>
          </w:p>
        </w:tc>
        <w:tc>
          <w:tcPr>
            <w:tcW w:w="2260" w:type="dxa"/>
            <w:vAlign w:val="bottom"/>
          </w:tcPr>
          <w:p>
            <w:pPr>
              <w:spacing w:after="0"/>
              <w:rPr>
                <w:sz w:val="24"/>
                <w:szCs w:val="24"/>
                <w:color w:val="auto"/>
              </w:rPr>
            </w:pPr>
          </w:p>
        </w:tc>
        <w:tc>
          <w:tcPr>
            <w:tcW w:w="2720" w:type="dxa"/>
            <w:vAlign w:val="bottom"/>
          </w:tcPr>
          <w:p>
            <w:pPr>
              <w:ind w:left="1900"/>
              <w:spacing w:after="0"/>
              <w:rPr>
                <w:sz w:val="20"/>
                <w:szCs w:val="20"/>
                <w:color w:val="auto"/>
              </w:rPr>
            </w:pPr>
            <w:r>
              <w:rPr>
                <w:rFonts w:ascii="Arial" w:cs="Arial" w:eastAsia="Arial" w:hAnsi="Arial"/>
                <w:sz w:val="18"/>
                <w:szCs w:val="18"/>
                <w:color w:val="auto"/>
                <w:w w:val="86"/>
              </w:rPr>
              <w:t>Page 1 of 1</w:t>
            </w:r>
          </w:p>
        </w:tc>
      </w:tr>
      <w:tr>
        <w:trPr>
          <w:trHeight w:val="230"/>
        </w:trPr>
        <w:tc>
          <w:tcPr>
            <w:tcW w:w="4040" w:type="dxa"/>
            <w:vAlign w:val="bottom"/>
            <w:gridSpan w:val="5"/>
          </w:tcPr>
          <w:p>
            <w:pPr>
              <w:spacing w:after="0"/>
              <w:rPr>
                <w:sz w:val="20"/>
                <w:szCs w:val="20"/>
                <w:color w:val="auto"/>
              </w:rPr>
            </w:pPr>
            <w:r>
              <w:rPr>
                <w:rFonts w:ascii="Arial" w:cs="Arial" w:eastAsia="Arial" w:hAnsi="Arial"/>
                <w:sz w:val="18"/>
                <w:szCs w:val="18"/>
                <w:color w:val="auto"/>
                <w:w w:val="92"/>
              </w:rPr>
              <w:t>Attachment C to Letter Agreement 6-1162-AKP-110R3</w:t>
            </w: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720" w:type="dxa"/>
            <w:vAlign w:val="bottom"/>
          </w:tcPr>
          <w:p>
            <w:pPr>
              <w:spacing w:after="0"/>
              <w:rPr>
                <w:sz w:val="20"/>
                <w:szCs w:val="20"/>
                <w:color w:val="auto"/>
              </w:rPr>
            </w:pPr>
          </w:p>
        </w:tc>
      </w:tr>
    </w:tbl>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49" w:name="page150"/>
    <w:bookmarkEnd w:id="149"/>
    <w:p>
      <w:pPr>
        <w:ind w:left="10480"/>
        <w:spacing w:after="0"/>
        <w:rPr>
          <w:sz w:val="20"/>
          <w:szCs w:val="20"/>
          <w:color w:val="auto"/>
        </w:rPr>
      </w:pPr>
      <w:r>
        <w:rPr>
          <w:rFonts w:ascii="Arial" w:cs="Arial" w:eastAsia="Arial" w:hAnsi="Arial"/>
          <w:sz w:val="16"/>
          <w:szCs w:val="16"/>
          <w:b w:val="1"/>
          <w:bCs w:val="1"/>
          <w:color w:val="auto"/>
        </w:rPr>
        <w:t>Exhibit 10.6</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AGREEMENT NO.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Agreement No. 3219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BOEING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 Relating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Boeing Model 787 Aircraft</w:t>
      </w:r>
    </w:p>
    <w:p>
      <w:pPr>
        <w:spacing w:after="0" w:line="229"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THIS SUPPLEMENTAL AGREEMENT No. 4 (</w:t>
      </w:r>
      <w:r>
        <w:rPr>
          <w:rFonts w:ascii="Arial" w:cs="Arial" w:eastAsia="Arial" w:hAnsi="Arial"/>
          <w:sz w:val="18"/>
          <w:szCs w:val="18"/>
          <w:b w:val="1"/>
          <w:bCs w:val="1"/>
          <w:i w:val="1"/>
          <w:iCs w:val="1"/>
          <w:color w:val="auto"/>
        </w:rPr>
        <w:t>SA-4</w:t>
      </w:r>
      <w:r>
        <w:rPr>
          <w:rFonts w:ascii="Arial" w:cs="Arial" w:eastAsia="Arial" w:hAnsi="Arial"/>
          <w:sz w:val="18"/>
          <w:szCs w:val="18"/>
          <w:color w:val="auto"/>
        </w:rPr>
        <w:t>) is made between THE BOEING COMPANY, a Delaware corporation with offices in Seattle, Washington, (</w:t>
      </w:r>
      <w:r>
        <w:rPr>
          <w:rFonts w:ascii="Arial" w:cs="Arial" w:eastAsia="Arial" w:hAnsi="Arial"/>
          <w:sz w:val="18"/>
          <w:szCs w:val="18"/>
          <w:b w:val="1"/>
          <w:bCs w:val="1"/>
          <w:color w:val="auto"/>
        </w:rPr>
        <w:t>Boeing</w:t>
      </w:r>
      <w:r>
        <w:rPr>
          <w:rFonts w:ascii="Arial" w:cs="Arial" w:eastAsia="Arial" w:hAnsi="Arial"/>
          <w:sz w:val="18"/>
          <w:szCs w:val="18"/>
          <w:color w:val="auto"/>
        </w:rPr>
        <w:t>), and AMERICAN AIRLINES, INC, a Delaware corporation with offices in Fort Worth, Texas, together with its successors and permitted assigns (</w:t>
      </w:r>
      <w:r>
        <w:rPr>
          <w:rFonts w:ascii="Arial" w:cs="Arial" w:eastAsia="Arial" w:hAnsi="Arial"/>
          <w:sz w:val="18"/>
          <w:szCs w:val="18"/>
          <w:b w:val="1"/>
          <w:bCs w:val="1"/>
          <w:i w:val="1"/>
          <w:iCs w:val="1"/>
          <w:color w:val="auto"/>
        </w:rPr>
        <w:t>Customer</w:t>
      </w:r>
      <w:r>
        <w:rPr>
          <w:rFonts w:ascii="Arial" w:cs="Arial" w:eastAsia="Arial" w:hAnsi="Arial"/>
          <w:sz w:val="18"/>
          <w:szCs w:val="18"/>
          <w:color w:val="auto"/>
        </w:rPr>
        <w:t>);</w:t>
      </w:r>
    </w:p>
    <w:p>
      <w:pPr>
        <w:spacing w:after="0" w:line="18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Boeing and Customer entered into Purchase Agreement No. 3219 dated October 15, 2008, relating to Boeing Model 787 aircraft, as amended and supplemented (</w:t>
      </w:r>
      <w:r>
        <w:rPr>
          <w:rFonts w:ascii="Arial" w:cs="Arial" w:eastAsia="Arial" w:hAnsi="Arial"/>
          <w:sz w:val="18"/>
          <w:szCs w:val="18"/>
          <w:b w:val="1"/>
          <w:bCs w:val="1"/>
          <w:i w:val="1"/>
          <w:iCs w:val="1"/>
          <w:color w:val="auto"/>
        </w:rPr>
        <w:t>Purchase Agreement</w:t>
      </w:r>
      <w:r>
        <w:rPr>
          <w:rFonts w:ascii="Arial" w:cs="Arial" w:eastAsia="Arial" w:hAnsi="Arial"/>
          <w:sz w:val="18"/>
          <w:szCs w:val="18"/>
          <w:color w:val="auto"/>
        </w:rPr>
        <w:t>) and capitalized terms used herein without definitions shall have the meanings specified therefore in such Purchase Agreement;</w:t>
      </w:r>
    </w:p>
    <w:p>
      <w:pPr>
        <w:spacing w:after="0" w:line="181"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 xml:space="preserve">[*CTR] the [*CTR] of four (4) Boeing Model [*CTR] aircraft ([*CTR] </w:t>
      </w:r>
      <w:r>
        <w:rPr>
          <w:rFonts w:ascii="Arial" w:cs="Arial" w:eastAsia="Arial" w:hAnsi="Arial"/>
          <w:sz w:val="18"/>
          <w:szCs w:val="18"/>
          <w:b w:val="1"/>
          <w:bCs w:val="1"/>
          <w:i w:val="1"/>
          <w:iCs w:val="1"/>
          <w:color w:val="auto"/>
        </w:rPr>
        <w:t>Aircraft</w:t>
      </w:r>
      <w:r>
        <w:rPr>
          <w:rFonts w:ascii="Arial" w:cs="Arial" w:eastAsia="Arial" w:hAnsi="Arial"/>
          <w:sz w:val="18"/>
          <w:szCs w:val="18"/>
          <w:color w:val="auto"/>
        </w:rPr>
        <w:t>) in lieu of four (4) Boeing Model [*CTR] aircraft. Boeing is [*CTR] to provide the [*CTR] Aircraft for delivery to Customer in [*CTR] 2015, [*CTR] 2016, [*CTR] 2016, and [*CTR] 2016. [*CTR];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Customer and Boeing have previously executed documents amending the Purchase Agreement to reflect Customer’s acceptance of [*CTR] (</w:t>
      </w:r>
      <w:r>
        <w:rPr>
          <w:rFonts w:ascii="Arial" w:cs="Arial" w:eastAsia="Arial" w:hAnsi="Arial"/>
          <w:sz w:val="18"/>
          <w:szCs w:val="18"/>
          <w:b w:val="1"/>
          <w:bCs w:val="1"/>
          <w:i w:val="1"/>
          <w:iCs w:val="1"/>
          <w:color w:val="auto"/>
        </w:rPr>
        <w:t>Package A</w:t>
      </w:r>
      <w:r>
        <w:rPr>
          <w:rFonts w:ascii="Arial" w:cs="Arial" w:eastAsia="Arial" w:hAnsi="Arial"/>
          <w:sz w:val="18"/>
          <w:szCs w:val="18"/>
          <w:color w:val="auto"/>
        </w:rPr>
        <w:t>), [*CTR] (</w:t>
      </w:r>
      <w:r>
        <w:rPr>
          <w:rFonts w:ascii="Arial" w:cs="Arial" w:eastAsia="Arial" w:hAnsi="Arial"/>
          <w:sz w:val="18"/>
          <w:szCs w:val="18"/>
          <w:b w:val="1"/>
          <w:bCs w:val="1"/>
          <w:i w:val="1"/>
          <w:iCs w:val="1"/>
          <w:color w:val="auto"/>
        </w:rPr>
        <w:t>Package B</w:t>
      </w:r>
      <w:r>
        <w:rPr>
          <w:rFonts w:ascii="Arial" w:cs="Arial" w:eastAsia="Arial" w:hAnsi="Arial"/>
          <w:sz w:val="18"/>
          <w:szCs w:val="18"/>
          <w:color w:val="auto"/>
        </w:rPr>
        <w:t>), [*CTR] (</w:t>
      </w:r>
      <w:r>
        <w:rPr>
          <w:rFonts w:ascii="Arial" w:cs="Arial" w:eastAsia="Arial" w:hAnsi="Arial"/>
          <w:sz w:val="18"/>
          <w:szCs w:val="18"/>
          <w:b w:val="1"/>
          <w:bCs w:val="1"/>
          <w:i w:val="1"/>
          <w:iCs w:val="1"/>
          <w:color w:val="auto"/>
        </w:rPr>
        <w:t>Package C</w:t>
      </w:r>
      <w:r>
        <w:rPr>
          <w:rFonts w:ascii="Arial" w:cs="Arial" w:eastAsia="Arial" w:hAnsi="Arial"/>
          <w:sz w:val="18"/>
          <w:szCs w:val="18"/>
          <w:color w:val="auto"/>
        </w:rPr>
        <w:t>), [*CTR] (</w:t>
      </w:r>
      <w:r>
        <w:rPr>
          <w:rFonts w:ascii="Arial" w:cs="Arial" w:eastAsia="Arial" w:hAnsi="Arial"/>
          <w:sz w:val="18"/>
          <w:szCs w:val="18"/>
          <w:b w:val="1"/>
          <w:bCs w:val="1"/>
          <w:i w:val="1"/>
          <w:iCs w:val="1"/>
          <w:color w:val="auto"/>
        </w:rPr>
        <w:t>Package D</w:t>
      </w:r>
      <w:r>
        <w:rPr>
          <w:rFonts w:ascii="Arial" w:cs="Arial" w:eastAsia="Arial" w:hAnsi="Arial"/>
          <w:sz w:val="18"/>
          <w:szCs w:val="18"/>
          <w:color w:val="auto"/>
        </w:rPr>
        <w:t>), [*CTR] (</w:t>
      </w:r>
      <w:r>
        <w:rPr>
          <w:rFonts w:ascii="Arial" w:cs="Arial" w:eastAsia="Arial" w:hAnsi="Arial"/>
          <w:sz w:val="18"/>
          <w:szCs w:val="18"/>
          <w:b w:val="1"/>
          <w:bCs w:val="1"/>
          <w:i w:val="1"/>
          <w:iCs w:val="1"/>
          <w:color w:val="auto"/>
        </w:rPr>
        <w:t>Package E</w:t>
      </w:r>
      <w:r>
        <w:rPr>
          <w:rFonts w:ascii="Arial" w:cs="Arial" w:eastAsia="Arial" w:hAnsi="Arial"/>
          <w:sz w:val="18"/>
          <w:szCs w:val="18"/>
          <w:color w:val="auto"/>
        </w:rPr>
        <w:t>), [*CTR] (</w:t>
      </w:r>
      <w:r>
        <w:rPr>
          <w:rFonts w:ascii="Arial" w:cs="Arial" w:eastAsia="Arial" w:hAnsi="Arial"/>
          <w:sz w:val="18"/>
          <w:szCs w:val="18"/>
          <w:b w:val="1"/>
          <w:bCs w:val="1"/>
          <w:i w:val="1"/>
          <w:iCs w:val="1"/>
          <w:color w:val="auto"/>
        </w:rPr>
        <w:t>Package F</w:t>
      </w:r>
      <w:r>
        <w:rPr>
          <w:rFonts w:ascii="Arial" w:cs="Arial" w:eastAsia="Arial" w:hAnsi="Arial"/>
          <w:sz w:val="18"/>
          <w:szCs w:val="18"/>
          <w:color w:val="auto"/>
        </w:rPr>
        <w:t>) and [*CTR] (</w:t>
      </w:r>
      <w:r>
        <w:rPr>
          <w:rFonts w:ascii="Arial" w:cs="Arial" w:eastAsia="Arial" w:hAnsi="Arial"/>
          <w:sz w:val="18"/>
          <w:szCs w:val="18"/>
          <w:b w:val="1"/>
          <w:bCs w:val="1"/>
          <w:i w:val="1"/>
          <w:iCs w:val="1"/>
          <w:color w:val="auto"/>
        </w:rPr>
        <w:t>Package G</w:t>
      </w:r>
      <w:r>
        <w:rPr>
          <w:rFonts w:ascii="Arial" w:cs="Arial" w:eastAsia="Arial" w:hAnsi="Arial"/>
          <w:sz w:val="18"/>
          <w:szCs w:val="18"/>
          <w:color w:val="auto"/>
        </w:rPr>
        <w:t xml:space="preserve">) (Customer’s acceptance of [*CTR] reflected in Package A, Package B, Package C, Package D, Package E, Package F and Package G mutually agreed to comprise </w:t>
      </w:r>
      <w:r>
        <w:rPr>
          <w:rFonts w:ascii="Arial" w:cs="Arial" w:eastAsia="Arial" w:hAnsi="Arial"/>
          <w:sz w:val="18"/>
          <w:szCs w:val="18"/>
          <w:b w:val="1"/>
          <w:bCs w:val="1"/>
          <w:i w:val="1"/>
          <w:iCs w:val="1"/>
          <w:color w:val="auto"/>
        </w:rPr>
        <w:t xml:space="preserve">Customer </w:t>
      </w:r>
      <w:r>
        <w:rPr>
          <w:rFonts w:ascii="Arial" w:cs="Arial" w:eastAsia="Arial" w:hAnsi="Arial"/>
          <w:sz w:val="18"/>
          <w:szCs w:val="18"/>
          <w:color w:val="auto"/>
        </w:rPr>
        <w:t>[*CTR]</w:t>
      </w:r>
      <w:r>
        <w:rPr>
          <w:rFonts w:ascii="Arial" w:cs="Arial" w:eastAsia="Arial" w:hAnsi="Arial"/>
          <w:sz w:val="18"/>
          <w:szCs w:val="18"/>
          <w:b w:val="1"/>
          <w:bCs w:val="1"/>
          <w:i w:val="1"/>
          <w:iCs w:val="1"/>
          <w:color w:val="auto"/>
        </w:rPr>
        <w:t xml:space="preserve"> Changes</w:t>
      </w:r>
      <w:r>
        <w:rPr>
          <w:rFonts w:ascii="Arial" w:cs="Arial" w:eastAsia="Arial" w:hAnsi="Arial"/>
          <w:sz w:val="18"/>
          <w:szCs w:val="18"/>
          <w:color w:val="auto"/>
        </w:rPr>
        <w:t>) for [*CTR] aircraft (</w:t>
      </w:r>
      <w:r>
        <w:rPr>
          <w:rFonts w:ascii="Arial" w:cs="Arial" w:eastAsia="Arial" w:hAnsi="Arial"/>
          <w:sz w:val="18"/>
          <w:szCs w:val="18"/>
          <w:b w:val="1"/>
          <w:bCs w:val="1"/>
          <w:i w:val="1"/>
          <w:iCs w:val="1"/>
          <w:color w:val="auto"/>
        </w:rPr>
        <w:t xml:space="preserve">Customer </w:t>
      </w:r>
      <w:r>
        <w:rPr>
          <w:rFonts w:ascii="Arial" w:cs="Arial" w:eastAsia="Arial" w:hAnsi="Arial"/>
          <w:sz w:val="18"/>
          <w:szCs w:val="18"/>
          <w:color w:val="auto"/>
        </w:rPr>
        <w:t>[*CTR]</w:t>
      </w:r>
      <w:r>
        <w:rPr>
          <w:rFonts w:ascii="Arial" w:cs="Arial" w:eastAsia="Arial" w:hAnsi="Arial"/>
          <w:sz w:val="18"/>
          <w:szCs w:val="18"/>
          <w:b w:val="1"/>
          <w:bCs w:val="1"/>
          <w:i w:val="1"/>
          <w:iCs w:val="1"/>
          <w:color w:val="auto"/>
        </w:rPr>
        <w:t xml:space="preserve"> Aircraft</w:t>
      </w:r>
      <w:r>
        <w:rPr>
          <w:rFonts w:ascii="Arial" w:cs="Arial" w:eastAsia="Arial" w:hAnsi="Arial"/>
          <w:sz w:val="18"/>
          <w:szCs w:val="18"/>
          <w:color w:val="auto"/>
        </w:rPr>
        <w:t>). [*CTR] changes to any [*CTR] Aircraft will be undertaken in the ordinary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course of business with Boeing by Customer. With respect to such Customer [*CTR] Changes, Customer and Boeing now agree to replace the existing Exhibit A2 with a revised Exhibit A2 [*CTR] aircraft.</w:t>
      </w:r>
    </w:p>
    <w:p>
      <w:pPr>
        <w:spacing w:after="0" w:line="126" w:lineRule="exact"/>
        <w:rPr>
          <w:sz w:val="20"/>
          <w:szCs w:val="20"/>
          <w:color w:val="auto"/>
        </w:rPr>
      </w:pPr>
    </w:p>
    <w:p>
      <w:pPr>
        <w:spacing w:after="0"/>
        <w:tabs>
          <w:tab w:leader="none" w:pos="5640" w:val="left"/>
          <w:tab w:leader="none" w:pos="10920" w:val="left"/>
        </w:tabs>
        <w:rPr>
          <w:sz w:val="20"/>
          <w:szCs w:val="20"/>
          <w:color w:val="auto"/>
        </w:rPr>
      </w:pPr>
      <w:r>
        <w:rPr>
          <w:rFonts w:ascii="Arial" w:cs="Arial" w:eastAsia="Arial" w:hAnsi="Arial"/>
          <w:sz w:val="18"/>
          <w:szCs w:val="18"/>
          <w:color w:val="auto"/>
        </w:rPr>
        <w:t>PA 3219</w:t>
      </w:r>
      <w:r>
        <w:rPr>
          <w:sz w:val="20"/>
          <w:szCs w:val="20"/>
          <w:color w:val="auto"/>
        </w:rPr>
        <w:tab/>
      </w:r>
      <w:r>
        <w:rPr>
          <w:rFonts w:ascii="Arial" w:cs="Arial" w:eastAsia="Arial" w:hAnsi="Arial"/>
          <w:sz w:val="18"/>
          <w:szCs w:val="18"/>
          <w:color w:val="auto"/>
        </w:rPr>
        <w:t>SA-4</w:t>
      </w:r>
      <w:r>
        <w:rPr>
          <w:sz w:val="20"/>
          <w:szCs w:val="20"/>
          <w:color w:val="auto"/>
        </w:rPr>
        <w:tab/>
      </w:r>
      <w:r>
        <w:rPr>
          <w:rFonts w:ascii="Arial" w:cs="Arial" w:eastAsia="Arial" w:hAnsi="Arial"/>
          <w:sz w:val="15"/>
          <w:szCs w:val="15"/>
          <w:color w:val="auto"/>
        </w:rPr>
        <w:t>Page 1</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21" w:right="2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 THEREFORE, the parties agree that the Purchase Agreement is amended as set for the below and otherwise agree as follows:</w:t>
      </w:r>
    </w:p>
    <w:p>
      <w:pPr>
        <w:spacing w:after="0" w:line="117" w:lineRule="exact"/>
        <w:rPr>
          <w:sz w:val="20"/>
          <w:szCs w:val="20"/>
          <w:color w:val="auto"/>
        </w:rPr>
      </w:pPr>
    </w:p>
    <w:p>
      <w:pPr>
        <w:ind w:left="180" w:hanging="172"/>
        <w:spacing w:after="0"/>
        <w:tabs>
          <w:tab w:leader="none" w:pos="18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Table of Contents</w:t>
      </w:r>
      <w:r>
        <w:rPr>
          <w:rFonts w:ascii="Arial" w:cs="Arial" w:eastAsia="Arial" w:hAnsi="Arial"/>
          <w:sz w:val="18"/>
          <w:szCs w:val="18"/>
          <w:color w:val="auto"/>
        </w:rPr>
        <w: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Remove and replace, in its entirety, the current Table of Contents with the new Table of Contents (attached hereto), to reflect the incorporation of this SA-4 into the Purchase Agreement.</w:t>
      </w:r>
    </w:p>
    <w:p>
      <w:pPr>
        <w:spacing w:after="0" w:line="170" w:lineRule="exact"/>
        <w:rPr>
          <w:sz w:val="20"/>
          <w:szCs w:val="20"/>
          <w:color w:val="auto"/>
        </w:rPr>
      </w:pPr>
    </w:p>
    <w:p>
      <w:pPr>
        <w:ind w:left="180" w:hanging="172"/>
        <w:spacing w:after="0"/>
        <w:tabs>
          <w:tab w:leader="none" w:pos="18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Tables</w:t>
      </w:r>
      <w:r>
        <w:rPr>
          <w:rFonts w:ascii="Arial" w:cs="Arial" w:eastAsia="Arial" w:hAnsi="Arial"/>
          <w:sz w:val="18"/>
          <w:szCs w:val="18"/>
          <w:color w:val="auto"/>
        </w:rPr>
        <w:t>.</w:t>
      </w:r>
    </w:p>
    <w:p>
      <w:pPr>
        <w:spacing w:after="0" w:line="11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Table 1(R2)</w:t>
      </w:r>
      <w:r>
        <w:rPr>
          <w:rFonts w:ascii="Arial" w:cs="Arial" w:eastAsia="Arial" w:hAnsi="Arial"/>
          <w:sz w:val="18"/>
          <w:szCs w:val="18"/>
          <w:color w:val="auto"/>
        </w:rPr>
        <w:t xml:space="preserve"> entitled “</w:t>
      </w:r>
      <w:r>
        <w:rPr>
          <w:rFonts w:ascii="Arial" w:cs="Arial" w:eastAsia="Arial" w:hAnsi="Arial"/>
          <w:sz w:val="18"/>
          <w:szCs w:val="18"/>
          <w:u w:val="single" w:color="auto"/>
          <w:color w:val="auto"/>
        </w:rPr>
        <w:t>787-9 Aircraft Delivery, Description, Price and Advance Payments</w:t>
      </w:r>
      <w:r>
        <w:rPr>
          <w:rFonts w:ascii="Arial" w:cs="Arial" w:eastAsia="Arial" w:hAnsi="Arial"/>
          <w:sz w:val="18"/>
          <w:szCs w:val="18"/>
          <w:color w:val="auto"/>
        </w:rPr>
        <w:t>” is revised by this SA-4, to recognize that with the execution of this SA-4 the following will occur: i) the deletion of four (4) [*CTR] Aircraft ([*CTR] 2015, [*CTR] 2016, and [*CTR] ([*CTR]) [*CTR] 2016) due to [*CTR] of the [*CTR] Aircraft into [*CTR] Aircraft; and ii) the [*CTR] ([*CTR]) [*CTR] ([*CTR] 2016 to [*CTR] 2016, and [*CTR] 2016 to [*CTR] 2016).</w:t>
      </w:r>
    </w:p>
    <w:p>
      <w:pPr>
        <w:spacing w:after="0" w:line="79" w:lineRule="exact"/>
        <w:rPr>
          <w:sz w:val="20"/>
          <w:szCs w:val="20"/>
          <w:color w:val="auto"/>
        </w:rPr>
      </w:pPr>
    </w:p>
    <w:p>
      <w:pPr>
        <w:jc w:val="both"/>
        <w:ind w:right="20" w:firstLine="913"/>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Table 3</w:t>
      </w:r>
      <w:r>
        <w:rPr>
          <w:rFonts w:ascii="Arial" w:cs="Arial" w:eastAsia="Arial" w:hAnsi="Arial"/>
          <w:sz w:val="18"/>
          <w:szCs w:val="18"/>
          <w:color w:val="auto"/>
        </w:rPr>
        <w:t xml:space="preserve"> entitled “</w:t>
      </w:r>
      <w:r>
        <w:rPr>
          <w:rFonts w:ascii="Arial" w:cs="Arial" w:eastAsia="Arial" w:hAnsi="Arial"/>
          <w:sz w:val="18"/>
          <w:szCs w:val="18"/>
          <w:u w:val="single" w:color="auto"/>
          <w:color w:val="auto"/>
        </w:rPr>
        <w:t>787-8 Aircraft Delivery, Description, Price and Advance Payments – Four (4) [*CTR] Aircraft</w:t>
      </w:r>
      <w:r>
        <w:rPr>
          <w:rFonts w:ascii="Arial" w:cs="Arial" w:eastAsia="Arial" w:hAnsi="Arial"/>
          <w:sz w:val="18"/>
          <w:szCs w:val="18"/>
          <w:color w:val="auto"/>
        </w:rPr>
        <w:t>” is added to set forth the [*CTR] 787-8 Aircraft.</w:t>
      </w:r>
    </w:p>
    <w:p>
      <w:pPr>
        <w:spacing w:after="0" w:line="62"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2.3 Each reference in the Purchase Agreement, and the exhibits, supplemental exhibits and letter agreement thereto, to “Aircraft” shall be deemed to include the [*CTR] Aircraft. Additionally, references in the Purchase Agreement, and the exhibits, supplemental exhibits and letter agreement thereto, to Table 1R2 and/or Table 2 are deemed, unless the context suggests otherwise, to refer to Table 3 as well.</w:t>
      </w:r>
    </w:p>
    <w:p>
      <w:pPr>
        <w:spacing w:after="0" w:line="181" w:lineRule="exact"/>
        <w:rPr>
          <w:sz w:val="20"/>
          <w:szCs w:val="20"/>
          <w:color w:val="auto"/>
        </w:rPr>
      </w:pPr>
    </w:p>
    <w:p>
      <w:pPr>
        <w:ind w:left="180" w:hanging="172"/>
        <w:spacing w:after="0"/>
        <w:tabs>
          <w:tab w:leader="none" w:pos="18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Supplemental Exhibits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Supplemental Exhibit EE2 entitled “</w:t>
      </w:r>
      <w:r>
        <w:rPr>
          <w:rFonts w:ascii="Arial" w:cs="Arial" w:eastAsia="Arial" w:hAnsi="Arial"/>
          <w:sz w:val="18"/>
          <w:szCs w:val="18"/>
          <w:u w:val="single" w:color="auto"/>
          <w:color w:val="auto"/>
        </w:rPr>
        <w:t>[*CTR]</w:t>
      </w:r>
      <w:r>
        <w:rPr>
          <w:rFonts w:ascii="Arial" w:cs="Arial" w:eastAsia="Arial" w:hAnsi="Arial"/>
          <w:sz w:val="18"/>
          <w:szCs w:val="18"/>
          <w:color w:val="auto"/>
        </w:rPr>
        <w:t>” is added to set forth [*CTR] that is applicable to the [*CTR] Aircraft.</w:t>
      </w:r>
    </w:p>
    <w:p>
      <w:pPr>
        <w:spacing w:after="0" w:line="225" w:lineRule="exact"/>
        <w:rPr>
          <w:sz w:val="20"/>
          <w:szCs w:val="20"/>
          <w:color w:val="auto"/>
        </w:rPr>
      </w:pPr>
    </w:p>
    <w:p>
      <w:pPr>
        <w:ind w:left="180" w:hanging="172"/>
        <w:spacing w:after="0"/>
        <w:tabs>
          <w:tab w:leader="none" w:pos="18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11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Exhibit A2 is replaced in its entirety with Exhibit A2R1 which references this SA-4 to [*CTR] the Customer [*CTR] Changes for each Customer [*CTR] Aircraft.</w:t>
      </w:r>
    </w:p>
    <w:p>
      <w:pPr>
        <w:spacing w:after="0" w:line="103" w:lineRule="exact"/>
        <w:rPr>
          <w:sz w:val="20"/>
          <w:szCs w:val="20"/>
          <w:color w:val="auto"/>
        </w:rPr>
      </w:pPr>
    </w:p>
    <w:p>
      <w:pPr>
        <w:spacing w:after="0"/>
        <w:tabs>
          <w:tab w:leader="none" w:pos="5640" w:val="left"/>
          <w:tab w:leader="none" w:pos="10920" w:val="left"/>
        </w:tabs>
        <w:rPr>
          <w:sz w:val="20"/>
          <w:szCs w:val="20"/>
          <w:color w:val="auto"/>
        </w:rPr>
      </w:pPr>
      <w:r>
        <w:rPr>
          <w:rFonts w:ascii="Arial" w:cs="Arial" w:eastAsia="Arial" w:hAnsi="Arial"/>
          <w:sz w:val="18"/>
          <w:szCs w:val="18"/>
          <w:color w:val="auto"/>
        </w:rPr>
        <w:t>PA 3219</w:t>
      </w:r>
      <w:r>
        <w:rPr>
          <w:sz w:val="20"/>
          <w:szCs w:val="20"/>
          <w:color w:val="auto"/>
        </w:rPr>
        <w:tab/>
      </w:r>
      <w:r>
        <w:rPr>
          <w:rFonts w:ascii="Arial" w:cs="Arial" w:eastAsia="Arial" w:hAnsi="Arial"/>
          <w:sz w:val="18"/>
          <w:szCs w:val="18"/>
          <w:color w:val="auto"/>
        </w:rPr>
        <w:t>SA-4</w:t>
      </w:r>
      <w:r>
        <w:rPr>
          <w:sz w:val="20"/>
          <w:szCs w:val="20"/>
          <w:color w:val="auto"/>
        </w:rPr>
        <w:tab/>
      </w:r>
      <w:r>
        <w:rPr>
          <w:rFonts w:ascii="Arial" w:cs="Arial" w:eastAsia="Arial" w:hAnsi="Arial"/>
          <w:sz w:val="15"/>
          <w:szCs w:val="15"/>
          <w:color w:val="auto"/>
        </w:rPr>
        <w:t>Page 2</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 [*CTR].</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accordance with Section [*CTR] of Letter Agreement 6-1162-TRW-0664R1, Aircraft Purchase Rights and Substitution Rights, Boeing shall promptly [*CTR] to Customer the [*CTR] of [*CTR] (as defined in the Letter Agreement) [*CTR] by Customer [*CTR] with respect to the [*CTR].</w:t>
      </w:r>
    </w:p>
    <w:p>
      <w:pPr>
        <w:spacing w:after="0" w:line="170" w:lineRule="exact"/>
        <w:rPr>
          <w:sz w:val="20"/>
          <w:szCs w:val="20"/>
          <w:color w:val="auto"/>
        </w:rPr>
      </w:pPr>
    </w:p>
    <w:p>
      <w:pPr>
        <w:ind w:left="180" w:hanging="172"/>
        <w:spacing w:after="0"/>
        <w:tabs>
          <w:tab w:leader="none" w:pos="18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Effect on Purchase Agreement.</w:t>
      </w:r>
    </w:p>
    <w:p>
      <w:pPr>
        <w:spacing w:after="0" w:line="11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Except as expressly set forth herein, all terms and provisions contained in the Purchase Agreement shall remain in full force and effect. This Agreement contains the entire agreement between the parties with respect to the subject matter hereof and supersedes all previous proposals, and agreements, understandings, commitments or representations whatsoever, oral or written, with respect to the subject matter hereof and may be changed only in writing signed by authorized representatives of the parties.</w:t>
      </w:r>
    </w:p>
    <w:p>
      <w:pPr>
        <w:spacing w:after="0" w:line="79"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The Engine Price reflected in Table 3, [*CTR] applicable to each 787-8 Aircraft, is [*CTR] upon the [*CTR] in [*CTR] (including, but not limited to, the [*CTR]). In executing SA-4, each of the parties [*CTR].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rest of this page is intentionally left blank.</w:t>
      </w:r>
    </w:p>
    <w:p>
      <w:pPr>
        <w:spacing w:after="0" w:line="158" w:lineRule="exact"/>
        <w:rPr>
          <w:sz w:val="20"/>
          <w:szCs w:val="20"/>
          <w:color w:val="auto"/>
        </w:rPr>
      </w:pPr>
    </w:p>
    <w:p>
      <w:pPr>
        <w:spacing w:after="0"/>
        <w:tabs>
          <w:tab w:leader="none" w:pos="5640" w:val="left"/>
          <w:tab w:leader="none" w:pos="10920" w:val="left"/>
        </w:tabs>
        <w:rPr>
          <w:sz w:val="20"/>
          <w:szCs w:val="20"/>
          <w:color w:val="auto"/>
        </w:rPr>
      </w:pPr>
      <w:r>
        <w:rPr>
          <w:rFonts w:ascii="Arial" w:cs="Arial" w:eastAsia="Arial" w:hAnsi="Arial"/>
          <w:sz w:val="18"/>
          <w:szCs w:val="18"/>
          <w:color w:val="auto"/>
        </w:rPr>
        <w:t>PA 3219</w:t>
      </w:r>
      <w:r>
        <w:rPr>
          <w:sz w:val="20"/>
          <w:szCs w:val="20"/>
          <w:color w:val="auto"/>
        </w:rPr>
        <w:tab/>
      </w:r>
      <w:r>
        <w:rPr>
          <w:rFonts w:ascii="Arial" w:cs="Arial" w:eastAsia="Arial" w:hAnsi="Arial"/>
          <w:sz w:val="18"/>
          <w:szCs w:val="18"/>
          <w:color w:val="auto"/>
        </w:rPr>
        <w:t>SA-4</w:t>
      </w:r>
      <w:r>
        <w:rPr>
          <w:sz w:val="20"/>
          <w:szCs w:val="20"/>
          <w:color w:val="auto"/>
        </w:rPr>
        <w:tab/>
      </w:r>
      <w:r>
        <w:rPr>
          <w:rFonts w:ascii="Arial" w:cs="Arial" w:eastAsia="Arial" w:hAnsi="Arial"/>
          <w:sz w:val="15"/>
          <w:szCs w:val="15"/>
          <w:color w:val="auto"/>
        </w:rPr>
        <w:t>Page 3</w:t>
      </w:r>
    </w:p>
    <w:p>
      <w:pPr>
        <w:spacing w:after="0" w:line="22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AGREED AND ACCEPTED</w:t>
            </w: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6/9/2014</w:t>
            </w: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Date</w:t>
            </w: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5"/>
        </w:trPr>
        <w:tc>
          <w:tcPr>
            <w:tcW w:w="4580" w:type="dxa"/>
            <w:vAlign w:val="bottom"/>
          </w:tcPr>
          <w:p>
            <w:pPr>
              <w:spacing w:after="0"/>
              <w:rPr>
                <w:sz w:val="20"/>
                <w:szCs w:val="20"/>
                <w:color w:val="auto"/>
              </w:rPr>
            </w:pPr>
            <w:r>
              <w:rPr>
                <w:rFonts w:ascii="Arial" w:cs="Arial" w:eastAsia="Arial" w:hAnsi="Arial"/>
                <w:sz w:val="18"/>
                <w:szCs w:val="18"/>
                <w:b w:val="1"/>
                <w:bCs w:val="1"/>
                <w:color w:val="auto"/>
              </w:rPr>
              <w:t>THE BOEING COMPANY</w:t>
            </w: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AMERICAN AIRLINES, INC.</w:t>
            </w:r>
          </w:p>
        </w:tc>
      </w:tr>
      <w:tr>
        <w:trPr>
          <w:trHeight w:val="432"/>
        </w:trPr>
        <w:tc>
          <w:tcPr>
            <w:tcW w:w="4580" w:type="dxa"/>
            <w:vAlign w:val="bottom"/>
          </w:tcPr>
          <w:p>
            <w:pPr>
              <w:spacing w:after="0"/>
              <w:rPr>
                <w:sz w:val="20"/>
                <w:szCs w:val="20"/>
                <w:color w:val="auto"/>
              </w:rPr>
            </w:pPr>
            <w:r>
              <w:rPr>
                <w:rFonts w:ascii="Arial" w:cs="Arial" w:eastAsia="Arial" w:hAnsi="Arial"/>
                <w:sz w:val="18"/>
                <w:szCs w:val="18"/>
                <w:color w:val="auto"/>
              </w:rPr>
              <w:t>/s/ THE BOEING COMPANY</w:t>
            </w: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/s/ AMERICAN AIRLINES, INC.</w:t>
            </w:r>
          </w:p>
        </w:tc>
      </w:tr>
      <w:tr>
        <w:trPr>
          <w:trHeight w:val="224"/>
        </w:trPr>
        <w:tc>
          <w:tcPr>
            <w:tcW w:w="4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c>
          <w:tcPr>
            <w:tcW w:w="8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19"/>
                <w:szCs w:val="19"/>
                <w:color w:val="auto"/>
              </w:rPr>
            </w:pPr>
          </w:p>
        </w:tc>
      </w:tr>
      <w:tr>
        <w:trPr>
          <w:trHeight w:val="431"/>
        </w:trPr>
        <w:tc>
          <w:tcPr>
            <w:tcW w:w="4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380" w:type="dxa"/>
            <w:vAlign w:val="bottom"/>
            <w:gridSpan w:val="2"/>
          </w:tcPr>
          <w:p>
            <w:pPr>
              <w:spacing w:after="0"/>
              <w:rPr>
                <w:sz w:val="24"/>
                <w:szCs w:val="24"/>
                <w:color w:val="auto"/>
              </w:rPr>
            </w:pPr>
          </w:p>
        </w:tc>
      </w:tr>
      <w:tr>
        <w:trPr>
          <w:trHeight w:val="224"/>
        </w:trPr>
        <w:tc>
          <w:tcPr>
            <w:tcW w:w="4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Printed name</w:t>
            </w:r>
          </w:p>
        </w:tc>
        <w:tc>
          <w:tcPr>
            <w:tcW w:w="8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Printed Name</w:t>
            </w:r>
          </w:p>
        </w:tc>
        <w:tc>
          <w:tcPr>
            <w:tcW w:w="20" w:type="dxa"/>
            <w:vAlign w:val="bottom"/>
          </w:tcPr>
          <w:p>
            <w:pPr>
              <w:spacing w:after="0"/>
              <w:rPr>
                <w:sz w:val="19"/>
                <w:szCs w:val="19"/>
                <w:color w:val="auto"/>
              </w:rPr>
            </w:pPr>
          </w:p>
        </w:tc>
      </w:tr>
      <w:tr>
        <w:trPr>
          <w:trHeight w:val="431"/>
        </w:trPr>
        <w:tc>
          <w:tcPr>
            <w:tcW w:w="4580" w:type="dxa"/>
            <w:vAlign w:val="bottom"/>
          </w:tcPr>
          <w:p>
            <w:pPr>
              <w:spacing w:after="0"/>
              <w:rPr>
                <w:sz w:val="20"/>
                <w:szCs w:val="20"/>
                <w:color w:val="auto"/>
              </w:rPr>
            </w:pPr>
            <w:r>
              <w:rPr>
                <w:rFonts w:ascii="Arial" w:cs="Arial" w:eastAsia="Arial" w:hAnsi="Arial"/>
                <w:sz w:val="18"/>
                <w:szCs w:val="18"/>
                <w:color w:val="auto"/>
              </w:rPr>
              <w:t>Attorney-In-Fact</w:t>
            </w: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Vice President – Fleet Planning</w:t>
            </w:r>
          </w:p>
        </w:tc>
      </w:tr>
      <w:tr>
        <w:trPr>
          <w:trHeight w:val="224"/>
        </w:trPr>
        <w:tc>
          <w:tcPr>
            <w:tcW w:w="4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Title</w:t>
            </w:r>
          </w:p>
        </w:tc>
        <w:tc>
          <w:tcPr>
            <w:tcW w:w="8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19"/>
                <w:szCs w:val="19"/>
                <w:color w:val="auto"/>
              </w:rPr>
            </w:pPr>
          </w:p>
        </w:tc>
      </w:tr>
      <w:tr>
        <w:trPr>
          <w:trHeight w:val="364"/>
        </w:trPr>
        <w:tc>
          <w:tcPr>
            <w:tcW w:w="4580" w:type="dxa"/>
            <w:vAlign w:val="bottom"/>
          </w:tcPr>
          <w:p>
            <w:pPr>
              <w:spacing w:after="0"/>
              <w:rPr>
                <w:sz w:val="20"/>
                <w:szCs w:val="20"/>
                <w:color w:val="auto"/>
              </w:rPr>
            </w:pPr>
            <w:r>
              <w:rPr>
                <w:rFonts w:ascii="Arial" w:cs="Arial" w:eastAsia="Arial" w:hAnsi="Arial"/>
                <w:sz w:val="18"/>
                <w:szCs w:val="18"/>
                <w:color w:val="auto"/>
              </w:rPr>
              <w:t>PA 3219</w:t>
            </w:r>
          </w:p>
        </w:tc>
        <w:tc>
          <w:tcPr>
            <w:tcW w:w="800" w:type="dxa"/>
            <w:vAlign w:val="bottom"/>
          </w:tcPr>
          <w:p>
            <w:pPr>
              <w:spacing w:after="0"/>
              <w:rPr>
                <w:sz w:val="24"/>
                <w:szCs w:val="24"/>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w w:val="94"/>
              </w:rPr>
              <w:t>SA-4</w:t>
            </w:r>
          </w:p>
        </w:tc>
        <w:tc>
          <w:tcPr>
            <w:tcW w:w="5380" w:type="dxa"/>
            <w:vAlign w:val="bottom"/>
            <w:gridSpan w:val="2"/>
          </w:tcPr>
          <w:p>
            <w:pPr>
              <w:ind w:left="4880"/>
              <w:spacing w:after="0"/>
              <w:rPr>
                <w:sz w:val="20"/>
                <w:szCs w:val="20"/>
                <w:color w:val="auto"/>
              </w:rPr>
            </w:pPr>
            <w:r>
              <w:rPr>
                <w:rFonts w:ascii="Arial" w:cs="Arial" w:eastAsia="Arial" w:hAnsi="Arial"/>
                <w:sz w:val="18"/>
                <w:szCs w:val="18"/>
                <w:color w:val="auto"/>
                <w:w w:val="84"/>
              </w:rPr>
              <w:t>Page 4</w:t>
            </w:r>
          </w:p>
        </w:tc>
      </w:tr>
    </w:tbl>
    <w:p>
      <w:pPr>
        <w:ind w:left="4880"/>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53" w:name="page154"/>
    <w:bookmarkEnd w:id="153"/>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ARTICLES</w:t>
      </w:r>
    </w:p>
    <w:p>
      <w:pPr>
        <w:spacing w:after="0" w:line="23" w:lineRule="exact"/>
        <w:rPr>
          <w:sz w:val="20"/>
          <w:szCs w:val="20"/>
          <w:color w:val="auto"/>
        </w:rPr>
      </w:pPr>
    </w:p>
    <w:p>
      <w:pPr>
        <w:ind w:left="1220" w:hanging="1212"/>
        <w:spacing w:after="0"/>
        <w:tabs>
          <w:tab w:leader="none" w:pos="12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Quantity, Model and Description</w:t>
      </w:r>
    </w:p>
    <w:p>
      <w:pPr>
        <w:spacing w:after="0" w:line="9" w:lineRule="exact"/>
        <w:rPr>
          <w:rFonts w:ascii="Arial" w:cs="Arial" w:eastAsia="Arial" w:hAnsi="Arial"/>
          <w:sz w:val="18"/>
          <w:szCs w:val="18"/>
          <w:color w:val="auto"/>
        </w:rPr>
      </w:pPr>
    </w:p>
    <w:p>
      <w:pPr>
        <w:ind w:left="1220" w:hanging="1212"/>
        <w:spacing w:after="0"/>
        <w:tabs>
          <w:tab w:leader="none" w:pos="12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Delivery Schedule</w:t>
      </w:r>
    </w:p>
    <w:p>
      <w:pPr>
        <w:spacing w:after="0" w:line="9" w:lineRule="exact"/>
        <w:rPr>
          <w:rFonts w:ascii="Arial" w:cs="Arial" w:eastAsia="Arial" w:hAnsi="Arial"/>
          <w:sz w:val="18"/>
          <w:szCs w:val="18"/>
          <w:color w:val="auto"/>
        </w:rPr>
      </w:pPr>
    </w:p>
    <w:p>
      <w:pPr>
        <w:ind w:left="1220" w:hanging="1212"/>
        <w:spacing w:after="0"/>
        <w:tabs>
          <w:tab w:leader="none" w:pos="12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Price</w:t>
      </w:r>
    </w:p>
    <w:p>
      <w:pPr>
        <w:spacing w:after="0" w:line="9" w:lineRule="exact"/>
        <w:rPr>
          <w:rFonts w:ascii="Arial" w:cs="Arial" w:eastAsia="Arial" w:hAnsi="Arial"/>
          <w:sz w:val="18"/>
          <w:szCs w:val="18"/>
          <w:color w:val="auto"/>
        </w:rPr>
      </w:pPr>
    </w:p>
    <w:p>
      <w:pPr>
        <w:ind w:left="1220" w:hanging="1212"/>
        <w:spacing w:after="0"/>
        <w:tabs>
          <w:tab w:leader="none" w:pos="12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Payment</w:t>
      </w:r>
    </w:p>
    <w:p>
      <w:pPr>
        <w:spacing w:after="0" w:line="9" w:lineRule="exact"/>
        <w:rPr>
          <w:rFonts w:ascii="Arial" w:cs="Arial" w:eastAsia="Arial" w:hAnsi="Arial"/>
          <w:sz w:val="18"/>
          <w:szCs w:val="18"/>
          <w:color w:val="auto"/>
        </w:rPr>
      </w:pPr>
    </w:p>
    <w:p>
      <w:pPr>
        <w:ind w:left="1220" w:hanging="1212"/>
        <w:spacing w:after="0"/>
        <w:tabs>
          <w:tab w:leader="none" w:pos="12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9" w:lineRule="exact"/>
        <w:rPr>
          <w:rFonts w:ascii="Arial" w:cs="Arial" w:eastAsia="Arial" w:hAnsi="Arial"/>
          <w:sz w:val="18"/>
          <w:szCs w:val="18"/>
          <w:color w:val="auto"/>
        </w:rPr>
      </w:pPr>
    </w:p>
    <w:p>
      <w:pPr>
        <w:ind w:left="1220" w:hanging="1212"/>
        <w:spacing w:after="0"/>
        <w:tabs>
          <w:tab w:leader="none" w:pos="12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Confidential Treatment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TABLE</w:t>
      </w:r>
    </w:p>
    <w:p>
      <w:pPr>
        <w:spacing w:after="0" w:line="23" w:lineRule="exact"/>
        <w:rPr>
          <w:sz w:val="20"/>
          <w:szCs w:val="20"/>
          <w:color w:val="auto"/>
        </w:rPr>
      </w:pPr>
    </w:p>
    <w:p>
      <w:pPr>
        <w:ind w:left="1220" w:hanging="1212"/>
        <w:spacing w:after="0"/>
        <w:tabs>
          <w:tab w:leader="none" w:pos="1220" w:val="left"/>
        </w:tabs>
        <w:numPr>
          <w:ilvl w:val="0"/>
          <w:numId w:val="107"/>
        </w:numPr>
        <w:rPr>
          <w:rFonts w:ascii="Arial" w:cs="Arial" w:eastAsia="Arial" w:hAnsi="Arial"/>
          <w:sz w:val="18"/>
          <w:szCs w:val="18"/>
          <w:color w:val="auto"/>
          <w:strike w:val="1"/>
        </w:rPr>
      </w:pPr>
      <w:r>
        <w:rPr>
          <w:rFonts w:ascii="Arial" w:cs="Arial" w:eastAsia="Arial" w:hAnsi="Arial"/>
          <w:sz w:val="18"/>
          <w:szCs w:val="18"/>
          <w:color w:val="auto"/>
          <w:strike w:val="1"/>
        </w:rPr>
        <w:t>Aircraft Information Table – TRENT</w:t>
      </w:r>
    </w:p>
    <w:p>
      <w:pPr>
        <w:spacing w:after="0" w:line="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1(R2).</w:t>
      </w:r>
      <w:r>
        <w:rPr>
          <w:sz w:val="20"/>
          <w:szCs w:val="20"/>
          <w:color w:val="auto"/>
        </w:rPr>
        <w:tab/>
      </w:r>
      <w:r>
        <w:rPr>
          <w:rFonts w:ascii="Arial" w:cs="Arial" w:eastAsia="Arial" w:hAnsi="Arial"/>
          <w:sz w:val="16"/>
          <w:szCs w:val="16"/>
          <w:color w:val="auto"/>
        </w:rPr>
        <w:t>787-923 Aircraft Information Table – GENX</w:t>
      </w:r>
    </w:p>
    <w:p>
      <w:pPr>
        <w:spacing w:after="0" w:line="9" w:lineRule="exact"/>
        <w:rPr>
          <w:sz w:val="20"/>
          <w:szCs w:val="20"/>
          <w:color w:val="auto"/>
        </w:rPr>
      </w:pPr>
    </w:p>
    <w:p>
      <w:pPr>
        <w:ind w:left="1220" w:hanging="1212"/>
        <w:spacing w:after="0"/>
        <w:tabs>
          <w:tab w:leader="none" w:pos="12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787-8 Aircraft Information Table – GENX</w:t>
      </w:r>
    </w:p>
    <w:p>
      <w:pPr>
        <w:spacing w:after="0" w:line="9" w:lineRule="exact"/>
        <w:rPr>
          <w:sz w:val="20"/>
          <w:szCs w:val="20"/>
          <w:color w:val="auto"/>
        </w:rPr>
      </w:pPr>
    </w:p>
    <w:p>
      <w:pPr>
        <w:ind w:left="1220" w:hanging="1212"/>
        <w:spacing w:after="0"/>
        <w:tabs>
          <w:tab w:leader="none" w:pos="122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787-8 Aircraft Information Table – GENX (4 Aircraft)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18"/>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A(R1).</w:t>
            </w:r>
          </w:p>
        </w:tc>
        <w:tc>
          <w:tcPr>
            <w:tcW w:w="300" w:type="dxa"/>
            <w:vAlign w:val="bottom"/>
          </w:tcPr>
          <w:p>
            <w:pPr>
              <w:spacing w:after="0"/>
              <w:rPr>
                <w:sz w:val="18"/>
                <w:szCs w:val="18"/>
                <w:color w:val="auto"/>
              </w:rPr>
            </w:pPr>
          </w:p>
        </w:tc>
        <w:tc>
          <w:tcPr>
            <w:tcW w:w="4000" w:type="dxa"/>
            <w:vAlign w:val="bottom"/>
            <w:gridSpan w:val="3"/>
          </w:tcPr>
          <w:p>
            <w:pPr>
              <w:ind w:left="200"/>
              <w:spacing w:after="0"/>
              <w:rPr>
                <w:sz w:val="20"/>
                <w:szCs w:val="20"/>
                <w:color w:val="auto"/>
              </w:rPr>
            </w:pPr>
            <w:r>
              <w:rPr>
                <w:rFonts w:ascii="Arial" w:cs="Arial" w:eastAsia="Arial" w:hAnsi="Arial"/>
                <w:sz w:val="18"/>
                <w:szCs w:val="18"/>
                <w:color w:val="auto"/>
              </w:rPr>
              <w:t>Aircraft Configuration for [*CTR] Aircraft</w:t>
            </w:r>
          </w:p>
        </w:tc>
      </w:tr>
      <w:tr>
        <w:trPr>
          <w:trHeight w:val="220"/>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A2(R1)</w:t>
            </w:r>
          </w:p>
        </w:tc>
        <w:tc>
          <w:tcPr>
            <w:tcW w:w="4000" w:type="dxa"/>
            <w:vAlign w:val="bottom"/>
            <w:gridSpan w:val="3"/>
          </w:tcPr>
          <w:p>
            <w:pPr>
              <w:ind w:left="200"/>
              <w:spacing w:after="0"/>
              <w:rPr>
                <w:sz w:val="20"/>
                <w:szCs w:val="20"/>
                <w:color w:val="auto"/>
              </w:rPr>
            </w:pPr>
            <w:r>
              <w:rPr>
                <w:rFonts w:ascii="Arial" w:cs="Arial" w:eastAsia="Arial" w:hAnsi="Arial"/>
                <w:sz w:val="18"/>
                <w:szCs w:val="18"/>
                <w:b w:val="1"/>
                <w:bCs w:val="1"/>
                <w:color w:val="auto"/>
              </w:rPr>
              <w:t>Aircraft Configuration for [*CTR] Aircraft</w:t>
            </w: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B(R1).</w:t>
            </w:r>
          </w:p>
        </w:tc>
        <w:tc>
          <w:tcPr>
            <w:tcW w:w="4000" w:type="dxa"/>
            <w:vAlign w:val="bottom"/>
            <w:gridSpan w:val="3"/>
          </w:tcPr>
          <w:p>
            <w:pPr>
              <w:ind w:left="200"/>
              <w:spacing w:after="0"/>
              <w:rPr>
                <w:sz w:val="20"/>
                <w:szCs w:val="20"/>
                <w:color w:val="auto"/>
              </w:rPr>
            </w:pPr>
            <w:r>
              <w:rPr>
                <w:rFonts w:ascii="Arial" w:cs="Arial" w:eastAsia="Arial" w:hAnsi="Arial"/>
                <w:sz w:val="18"/>
                <w:szCs w:val="18"/>
                <w:color w:val="auto"/>
                <w:w w:val="92"/>
              </w:rPr>
              <w:t>Aircraft Delivery Requirements and Responsibilities</w:t>
            </w:r>
          </w:p>
        </w:tc>
      </w:tr>
      <w:tr>
        <w:trPr>
          <w:trHeight w:val="230"/>
        </w:trPr>
        <w:tc>
          <w:tcPr>
            <w:tcW w:w="1020" w:type="dxa"/>
            <w:vAlign w:val="bottom"/>
            <w:gridSpan w:val="2"/>
          </w:tcPr>
          <w:p>
            <w:pPr>
              <w:spacing w:after="0"/>
              <w:rPr>
                <w:sz w:val="20"/>
                <w:szCs w:val="20"/>
                <w:color w:val="auto"/>
              </w:rPr>
            </w:pPr>
            <w:r>
              <w:rPr>
                <w:rFonts w:ascii="Arial" w:cs="Arial" w:eastAsia="Arial" w:hAnsi="Arial"/>
                <w:sz w:val="18"/>
                <w:szCs w:val="18"/>
                <w:color w:val="auto"/>
              </w:rPr>
              <w:t>C(R1).</w:t>
            </w:r>
          </w:p>
        </w:tc>
        <w:tc>
          <w:tcPr>
            <w:tcW w:w="4000" w:type="dxa"/>
            <w:vAlign w:val="bottom"/>
            <w:gridSpan w:val="3"/>
          </w:tcPr>
          <w:p>
            <w:pPr>
              <w:ind w:left="200"/>
              <w:spacing w:after="0"/>
              <w:rPr>
                <w:sz w:val="20"/>
                <w:szCs w:val="20"/>
                <w:color w:val="auto"/>
              </w:rPr>
            </w:pPr>
            <w:r>
              <w:rPr>
                <w:rFonts w:ascii="Arial" w:cs="Arial" w:eastAsia="Arial" w:hAnsi="Arial"/>
                <w:sz w:val="18"/>
                <w:szCs w:val="18"/>
                <w:color w:val="auto"/>
              </w:rPr>
              <w:t>Defined Terms</w:t>
            </w:r>
          </w:p>
        </w:tc>
      </w:tr>
      <w:tr>
        <w:trPr>
          <w:trHeight w:val="284"/>
        </w:trPr>
        <w:tc>
          <w:tcPr>
            <w:tcW w:w="22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6"/>
              </w:rPr>
              <w:t>SUPPLEMENTAL EXHIBITS</w:t>
            </w:r>
          </w:p>
        </w:tc>
        <w:tc>
          <w:tcPr>
            <w:tcW w:w="2760" w:type="dxa"/>
            <w:vAlign w:val="bottom"/>
          </w:tcPr>
          <w:p>
            <w:pPr>
              <w:spacing w:after="0"/>
              <w:rPr>
                <w:sz w:val="24"/>
                <w:szCs w:val="24"/>
                <w:color w:val="auto"/>
              </w:rPr>
            </w:pPr>
          </w:p>
        </w:tc>
      </w:tr>
      <w:tr>
        <w:trPr>
          <w:trHeight w:val="222"/>
        </w:trPr>
        <w:tc>
          <w:tcPr>
            <w:tcW w:w="1020" w:type="dxa"/>
            <w:vAlign w:val="bottom"/>
            <w:gridSpan w:val="2"/>
          </w:tcPr>
          <w:p>
            <w:pPr>
              <w:spacing w:after="0"/>
              <w:rPr>
                <w:sz w:val="20"/>
                <w:szCs w:val="20"/>
                <w:color w:val="auto"/>
              </w:rPr>
            </w:pPr>
            <w:r>
              <w:rPr>
                <w:rFonts w:ascii="Arial" w:cs="Arial" w:eastAsia="Arial" w:hAnsi="Arial"/>
                <w:sz w:val="18"/>
                <w:szCs w:val="18"/>
                <w:color w:val="auto"/>
              </w:rPr>
              <w:t>AE1.</w:t>
            </w:r>
          </w:p>
        </w:tc>
        <w:tc>
          <w:tcPr>
            <w:tcW w:w="4000" w:type="dxa"/>
            <w:vAlign w:val="bottom"/>
            <w:gridSpan w:val="3"/>
          </w:tcPr>
          <w:p>
            <w:pPr>
              <w:ind w:left="200"/>
              <w:spacing w:after="0"/>
              <w:rPr>
                <w:sz w:val="20"/>
                <w:szCs w:val="20"/>
                <w:color w:val="auto"/>
              </w:rPr>
            </w:pPr>
            <w:r>
              <w:rPr>
                <w:rFonts w:ascii="Arial" w:cs="Arial" w:eastAsia="Arial" w:hAnsi="Arial"/>
                <w:sz w:val="18"/>
                <w:szCs w:val="18"/>
                <w:color w:val="auto"/>
              </w:rPr>
              <w:t>[*CTR]</w:t>
            </w: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BFE1(R1).</w:t>
            </w:r>
          </w:p>
        </w:tc>
        <w:tc>
          <w:tcPr>
            <w:tcW w:w="4000" w:type="dxa"/>
            <w:vAlign w:val="bottom"/>
            <w:gridSpan w:val="3"/>
          </w:tcPr>
          <w:p>
            <w:pPr>
              <w:ind w:left="200"/>
              <w:spacing w:after="0"/>
              <w:rPr>
                <w:sz w:val="20"/>
                <w:szCs w:val="20"/>
                <w:color w:val="auto"/>
              </w:rPr>
            </w:pPr>
            <w:r>
              <w:rPr>
                <w:rFonts w:ascii="Arial" w:cs="Arial" w:eastAsia="Arial" w:hAnsi="Arial"/>
                <w:sz w:val="18"/>
                <w:szCs w:val="18"/>
                <w:color w:val="auto"/>
              </w:rPr>
              <w:t>Buyer Furnished Equipment Variables 787-923</w:t>
            </w: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BFE2.</w:t>
            </w:r>
          </w:p>
        </w:tc>
        <w:tc>
          <w:tcPr>
            <w:tcW w:w="4000" w:type="dxa"/>
            <w:vAlign w:val="bottom"/>
            <w:gridSpan w:val="3"/>
          </w:tcPr>
          <w:p>
            <w:pPr>
              <w:ind w:left="200"/>
              <w:spacing w:after="0"/>
              <w:rPr>
                <w:sz w:val="20"/>
                <w:szCs w:val="20"/>
                <w:color w:val="auto"/>
              </w:rPr>
            </w:pPr>
            <w:r>
              <w:rPr>
                <w:rFonts w:ascii="Arial" w:cs="Arial" w:eastAsia="Arial" w:hAnsi="Arial"/>
                <w:sz w:val="18"/>
                <w:szCs w:val="18"/>
                <w:color w:val="auto"/>
              </w:rPr>
              <w:t>Buyer Furnished Equipment Variables-787-8</w:t>
            </w: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CS1.</w:t>
            </w:r>
          </w:p>
        </w:tc>
        <w:tc>
          <w:tcPr>
            <w:tcW w:w="4000" w:type="dxa"/>
            <w:vAlign w:val="bottom"/>
            <w:gridSpan w:val="3"/>
          </w:tcPr>
          <w:p>
            <w:pPr>
              <w:ind w:left="200"/>
              <w:spacing w:after="0"/>
              <w:rPr>
                <w:sz w:val="20"/>
                <w:szCs w:val="20"/>
                <w:color w:val="auto"/>
              </w:rPr>
            </w:pPr>
            <w:r>
              <w:rPr>
                <w:rFonts w:ascii="Arial" w:cs="Arial" w:eastAsia="Arial" w:hAnsi="Arial"/>
                <w:sz w:val="18"/>
                <w:szCs w:val="18"/>
                <w:color w:val="auto"/>
              </w:rPr>
              <w:t>787 Customer Support Document</w:t>
            </w: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EE1.</w:t>
            </w:r>
          </w:p>
        </w:tc>
        <w:tc>
          <w:tcPr>
            <w:tcW w:w="4000" w:type="dxa"/>
            <w:vAlign w:val="bottom"/>
            <w:gridSpan w:val="3"/>
          </w:tcPr>
          <w:p>
            <w:pPr>
              <w:ind w:left="200"/>
              <w:spacing w:after="0"/>
              <w:rPr>
                <w:sz w:val="20"/>
                <w:szCs w:val="20"/>
                <w:color w:val="auto"/>
              </w:rPr>
            </w:pPr>
            <w:r>
              <w:rPr>
                <w:rFonts w:ascii="Arial" w:cs="Arial" w:eastAsia="Arial" w:hAnsi="Arial"/>
                <w:sz w:val="18"/>
                <w:szCs w:val="18"/>
                <w:color w:val="auto"/>
              </w:rPr>
              <w:t>[*CTR]</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strike w:val="1"/>
              </w:rPr>
              <w:t>EE1.</w:t>
            </w:r>
          </w:p>
        </w:tc>
        <w:tc>
          <w:tcPr>
            <w:tcW w:w="300" w:type="dxa"/>
            <w:vAlign w:val="bottom"/>
          </w:tcPr>
          <w:p>
            <w:pPr>
              <w:spacing w:after="0"/>
              <w:rPr>
                <w:sz w:val="18"/>
                <w:szCs w:val="18"/>
                <w:color w:val="auto"/>
              </w:rPr>
            </w:pPr>
          </w:p>
        </w:tc>
        <w:tc>
          <w:tcPr>
            <w:tcW w:w="4000" w:type="dxa"/>
            <w:vAlign w:val="bottom"/>
            <w:gridSpan w:val="3"/>
          </w:tcPr>
          <w:p>
            <w:pPr>
              <w:ind w:left="200"/>
              <w:spacing w:after="0"/>
              <w:rPr>
                <w:sz w:val="20"/>
                <w:szCs w:val="20"/>
                <w:color w:val="auto"/>
              </w:rPr>
            </w:pPr>
            <w:r>
              <w:rPr>
                <w:rFonts w:ascii="Arial" w:cs="Arial" w:eastAsia="Arial" w:hAnsi="Arial"/>
                <w:sz w:val="18"/>
                <w:szCs w:val="18"/>
                <w:color w:val="auto"/>
              </w:rPr>
              <w:t>[*CTR]</w:t>
            </w: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EE2</w:t>
            </w:r>
          </w:p>
        </w:tc>
        <w:tc>
          <w:tcPr>
            <w:tcW w:w="4000" w:type="dxa"/>
            <w:vAlign w:val="bottom"/>
            <w:gridSpan w:val="3"/>
          </w:tcPr>
          <w:p>
            <w:pPr>
              <w:ind w:left="200"/>
              <w:spacing w:after="0"/>
              <w:rPr>
                <w:sz w:val="20"/>
                <w:szCs w:val="20"/>
                <w:color w:val="auto"/>
              </w:rPr>
            </w:pPr>
            <w:r>
              <w:rPr>
                <w:rFonts w:ascii="Arial" w:cs="Arial" w:eastAsia="Arial" w:hAnsi="Arial"/>
                <w:sz w:val="18"/>
                <w:szCs w:val="18"/>
                <w:color w:val="auto"/>
              </w:rPr>
              <w:t>[*CTR]</w:t>
            </w:r>
          </w:p>
        </w:tc>
      </w:tr>
      <w:tr>
        <w:trPr>
          <w:trHeight w:val="230"/>
        </w:trPr>
        <w:tc>
          <w:tcPr>
            <w:tcW w:w="1020" w:type="dxa"/>
            <w:vAlign w:val="bottom"/>
            <w:gridSpan w:val="2"/>
          </w:tcPr>
          <w:p>
            <w:pPr>
              <w:spacing w:after="0"/>
              <w:rPr>
                <w:sz w:val="20"/>
                <w:szCs w:val="20"/>
                <w:color w:val="auto"/>
              </w:rPr>
            </w:pPr>
            <w:r>
              <w:rPr>
                <w:rFonts w:ascii="Arial" w:cs="Arial" w:eastAsia="Arial" w:hAnsi="Arial"/>
                <w:sz w:val="18"/>
                <w:szCs w:val="18"/>
                <w:color w:val="auto"/>
              </w:rPr>
              <w:t>SLP1.</w:t>
            </w:r>
          </w:p>
        </w:tc>
        <w:tc>
          <w:tcPr>
            <w:tcW w:w="4000" w:type="dxa"/>
            <w:vAlign w:val="bottom"/>
            <w:gridSpan w:val="3"/>
          </w:tcPr>
          <w:p>
            <w:pPr>
              <w:ind w:left="200"/>
              <w:spacing w:after="0"/>
              <w:rPr>
                <w:sz w:val="20"/>
                <w:szCs w:val="20"/>
                <w:color w:val="auto"/>
              </w:rPr>
            </w:pPr>
            <w:r>
              <w:rPr>
                <w:rFonts w:ascii="Arial" w:cs="Arial" w:eastAsia="Arial" w:hAnsi="Arial"/>
                <w:sz w:val="18"/>
                <w:szCs w:val="18"/>
                <w:color w:val="auto"/>
              </w:rPr>
              <w:t>Service Life Policy Components</w:t>
            </w:r>
          </w:p>
        </w:tc>
      </w:tr>
      <w:tr>
        <w:trPr>
          <w:trHeight w:val="284"/>
        </w:trPr>
        <w:tc>
          <w:tcPr>
            <w:tcW w:w="19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LETTER AGREEMENTS</w:t>
            </w:r>
          </w:p>
        </w:tc>
        <w:tc>
          <w:tcPr>
            <w:tcW w:w="3080" w:type="dxa"/>
            <w:vAlign w:val="bottom"/>
            <w:gridSpan w:val="2"/>
          </w:tcPr>
          <w:p>
            <w:pPr>
              <w:spacing w:after="0"/>
              <w:rPr>
                <w:sz w:val="24"/>
                <w:szCs w:val="24"/>
                <w:color w:val="auto"/>
              </w:rPr>
            </w:pPr>
          </w:p>
        </w:tc>
      </w:tr>
      <w:tr>
        <w:trPr>
          <w:trHeight w:val="237"/>
        </w:trPr>
        <w:tc>
          <w:tcPr>
            <w:tcW w:w="720" w:type="dxa"/>
            <w:vAlign w:val="bottom"/>
          </w:tcPr>
          <w:p>
            <w:pPr>
              <w:spacing w:after="0"/>
              <w:rPr>
                <w:sz w:val="20"/>
                <w:szCs w:val="20"/>
                <w:color w:val="auto"/>
              </w:rPr>
            </w:pPr>
            <w:r>
              <w:rPr>
                <w:rFonts w:ascii="Arial" w:cs="Arial" w:eastAsia="Arial" w:hAnsi="Arial"/>
                <w:sz w:val="18"/>
                <w:szCs w:val="18"/>
                <w:color w:val="auto"/>
              </w:rPr>
              <w:t>3219-01</w:t>
            </w:r>
          </w:p>
        </w:tc>
        <w:tc>
          <w:tcPr>
            <w:tcW w:w="300" w:type="dxa"/>
            <w:vAlign w:val="bottom"/>
          </w:tcPr>
          <w:p>
            <w:pPr>
              <w:spacing w:after="0"/>
              <w:rPr>
                <w:sz w:val="20"/>
                <w:szCs w:val="20"/>
                <w:color w:val="auto"/>
              </w:rPr>
            </w:pPr>
          </w:p>
        </w:tc>
        <w:tc>
          <w:tcPr>
            <w:tcW w:w="4000" w:type="dxa"/>
            <w:vAlign w:val="bottom"/>
            <w:gridSpan w:val="3"/>
          </w:tcPr>
          <w:p>
            <w:pPr>
              <w:ind w:left="200"/>
              <w:spacing w:after="0"/>
              <w:rPr>
                <w:sz w:val="20"/>
                <w:szCs w:val="20"/>
                <w:color w:val="auto"/>
              </w:rPr>
            </w:pPr>
            <w:r>
              <w:rPr>
                <w:rFonts w:ascii="Arial" w:cs="Arial" w:eastAsia="Arial" w:hAnsi="Arial"/>
                <w:sz w:val="18"/>
                <w:szCs w:val="18"/>
                <w:color w:val="auto"/>
              </w:rPr>
              <w:t>[*CTR]</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P.A. No. 3219</w:t>
      </w:r>
    </w:p>
    <w:p>
      <w:pPr>
        <w:spacing w:after="0" w:line="235" w:lineRule="exact"/>
        <w:rPr>
          <w:sz w:val="20"/>
          <w:szCs w:val="20"/>
          <w:color w:val="auto"/>
        </w:rPr>
      </w:pPr>
    </w:p>
    <w:p>
      <w:pPr>
        <w:jc w:val="right"/>
        <w:ind w:right="2100"/>
        <w:spacing w:after="0"/>
        <w:rPr>
          <w:sz w:val="20"/>
          <w:szCs w:val="20"/>
          <w:color w:val="auto"/>
        </w:rPr>
      </w:pPr>
      <w:r>
        <w:rPr>
          <w:rFonts w:ascii="Arial" w:cs="Arial" w:eastAsia="Arial" w:hAnsi="Arial"/>
          <w:sz w:val="18"/>
          <w:szCs w:val="18"/>
          <w:b w:val="1"/>
          <w:bCs w:val="1"/>
          <w:color w:val="auto"/>
        </w:rPr>
        <w:t>BOEING PROPRIETARY</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center"/>
        <w:ind w:left="-799"/>
        <w:spacing w:after="0"/>
        <w:rPr>
          <w:sz w:val="20"/>
          <w:szCs w:val="20"/>
          <w:color w:val="auto"/>
        </w:rPr>
      </w:pPr>
      <w:r>
        <w:rPr>
          <w:rFonts w:ascii="Arial" w:cs="Arial" w:eastAsia="Arial" w:hAnsi="Arial"/>
          <w:sz w:val="14"/>
          <w:szCs w:val="14"/>
          <w:color w:val="auto"/>
        </w:rPr>
        <w:t>SA</w:t>
      </w:r>
    </w:p>
    <w:p>
      <w:pPr>
        <w:jc w:val="center"/>
        <w:ind w:left="-799"/>
        <w:spacing w:after="0"/>
        <w:rPr>
          <w:sz w:val="20"/>
          <w:szCs w:val="20"/>
          <w:color w:val="auto"/>
        </w:rPr>
      </w:pPr>
      <w:r>
        <w:rPr>
          <w:rFonts w:ascii="Arial" w:cs="Arial" w:eastAsia="Arial" w:hAnsi="Arial"/>
          <w:sz w:val="14"/>
          <w:szCs w:val="14"/>
          <w:u w:val="single" w:color="auto"/>
          <w:color w:val="auto"/>
        </w:rPr>
        <w:t>NUMBER</w:t>
      </w:r>
    </w:p>
    <w:p>
      <w:pPr>
        <w:spacing w:after="0" w:line="19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SA-3</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SA-3</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SA-3</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SA-3</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SA-3</w:t>
      </w:r>
    </w:p>
    <w:p>
      <w:pPr>
        <w:spacing w:after="0" w:line="200" w:lineRule="exact"/>
        <w:rPr>
          <w:sz w:val="20"/>
          <w:szCs w:val="20"/>
          <w:color w:val="auto"/>
        </w:rPr>
      </w:pPr>
    </w:p>
    <w:p>
      <w:pPr>
        <w:spacing w:after="0" w:line="33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SA-2</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SA-3</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SA-3</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SA-4</w:t>
      </w:r>
    </w:p>
    <w:p>
      <w:pPr>
        <w:spacing w:after="0" w:line="31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SA-3</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SA-4</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SA-3</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SA-3</w:t>
      </w:r>
    </w:p>
    <w:p>
      <w:pPr>
        <w:spacing w:after="0" w:line="200" w:lineRule="exact"/>
        <w:rPr>
          <w:sz w:val="20"/>
          <w:szCs w:val="20"/>
          <w:color w:val="auto"/>
        </w:rPr>
      </w:pPr>
    </w:p>
    <w:p>
      <w:pPr>
        <w:spacing w:after="0" w:line="33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SA-3</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SA-3</w:t>
      </w:r>
    </w:p>
    <w:p>
      <w:pPr>
        <w:spacing w:after="0" w:line="200" w:lineRule="exact"/>
        <w:rPr>
          <w:sz w:val="20"/>
          <w:szCs w:val="20"/>
          <w:color w:val="auto"/>
        </w:rPr>
      </w:pPr>
    </w:p>
    <w:p>
      <w:pPr>
        <w:spacing w:after="0" w:line="22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SA-2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SA-4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Table of Contents, Page 1</w:t>
      </w:r>
    </w:p>
    <w:p>
      <w:pPr>
        <w:spacing w:after="0" w:line="434" w:lineRule="exact"/>
        <w:rPr>
          <w:sz w:val="20"/>
          <w:szCs w:val="20"/>
          <w:color w:val="auto"/>
        </w:rPr>
      </w:pPr>
    </w:p>
    <w:p>
      <w:pPr>
        <w:sectPr>
          <w:pgSz w:w="11900" w:h="16838" w:orient="portrait"/>
          <w:cols w:equalWidth="0" w:num="2">
            <w:col w:w="8840" w:space="720"/>
            <w:col w:w="1860"/>
          </w:cols>
          <w:pgMar w:left="240" w:top="274" w:right="239" w:bottom="1440" w:gutter="0" w:footer="0" w:header="0"/>
          <w:type w:val="continuous"/>
        </w:sectPr>
      </w:pPr>
    </w:p>
    <w:p>
      <w:pPr>
        <w:spacing w:after="0" w:line="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154" w:name="page155"/>
    <w:bookmarkEnd w:id="154"/>
    <w:tbl>
      <w:tblPr>
        <w:tblLayout w:type="fixed"/>
        <w:tblInd w:w="0" w:type="dxa"/>
        <w:tblCellMar>
          <w:top w:w="0" w:type="dxa"/>
          <w:left w:w="0" w:type="dxa"/>
          <w:bottom w:w="0" w:type="dxa"/>
          <w:right w:w="0" w:type="dxa"/>
        </w:tblCellMar>
      </w:tblPr>
      <w:tr>
        <w:trPr>
          <w:trHeight w:val="230"/>
        </w:trPr>
        <w:tc>
          <w:tcPr>
            <w:tcW w:w="2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140" w:type="dxa"/>
            <w:vAlign w:val="bottom"/>
          </w:tcPr>
          <w:p>
            <w:pPr>
              <w:ind w:left="840"/>
              <w:spacing w:after="0"/>
              <w:rPr>
                <w:sz w:val="20"/>
                <w:szCs w:val="20"/>
                <w:color w:val="auto"/>
              </w:rPr>
            </w:pPr>
            <w:r>
              <w:rPr>
                <w:rFonts w:ascii="Arial" w:cs="Arial" w:eastAsia="Arial" w:hAnsi="Arial"/>
                <w:sz w:val="18"/>
                <w:szCs w:val="18"/>
                <w:color w:val="auto"/>
              </w:rPr>
              <w:t>TABLE OF CONTENTS, continued</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color w:val="auto"/>
              </w:rPr>
              <w:t>SA</w:t>
            </w:r>
          </w:p>
        </w:tc>
        <w:tc>
          <w:tcPr>
            <w:tcW w:w="0" w:type="dxa"/>
            <w:vAlign w:val="bottom"/>
          </w:tcPr>
          <w:p>
            <w:pPr>
              <w:spacing w:after="0"/>
              <w:rPr>
                <w:sz w:val="1"/>
                <w:szCs w:val="1"/>
                <w:color w:val="auto"/>
              </w:rPr>
            </w:pPr>
          </w:p>
        </w:tc>
      </w:tr>
      <w:tr>
        <w:trPr>
          <w:trHeight w:val="167"/>
        </w:trPr>
        <w:tc>
          <w:tcPr>
            <w:tcW w:w="3080" w:type="dxa"/>
            <w:vAlign w:val="bottom"/>
            <w:gridSpan w:val="2"/>
            <w:vMerge w:val="restart"/>
          </w:tcPr>
          <w:p>
            <w:pPr>
              <w:spacing w:after="0"/>
              <w:rPr>
                <w:sz w:val="20"/>
                <w:szCs w:val="20"/>
                <w:color w:val="auto"/>
              </w:rPr>
            </w:pPr>
            <w:r>
              <w:rPr>
                <w:rFonts w:ascii="Arial" w:cs="Arial" w:eastAsia="Arial" w:hAnsi="Arial"/>
                <w:sz w:val="18"/>
                <w:szCs w:val="18"/>
                <w:color w:val="auto"/>
                <w:w w:val="96"/>
              </w:rPr>
              <w:t>LETTER AGREEMENTS, CONTINUED</w:t>
            </w:r>
          </w:p>
        </w:tc>
        <w:tc>
          <w:tcPr>
            <w:tcW w:w="7620" w:type="dxa"/>
            <w:vAlign w:val="bottom"/>
            <w:gridSpan w:val="2"/>
            <w:vMerge w:val="restart"/>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NUMBER</w:t>
            </w:r>
          </w:p>
        </w:tc>
        <w:tc>
          <w:tcPr>
            <w:tcW w:w="0" w:type="dxa"/>
            <w:vAlign w:val="bottom"/>
          </w:tcPr>
          <w:p>
            <w:pPr>
              <w:spacing w:after="0"/>
              <w:rPr>
                <w:sz w:val="1"/>
                <w:szCs w:val="1"/>
                <w:color w:val="auto"/>
              </w:rPr>
            </w:pPr>
          </w:p>
        </w:tc>
      </w:tr>
      <w:tr>
        <w:trPr>
          <w:trHeight w:val="161"/>
        </w:trPr>
        <w:tc>
          <w:tcPr>
            <w:tcW w:w="3080" w:type="dxa"/>
            <w:vAlign w:val="bottom"/>
            <w:tcBorders>
              <w:bottom w:val="single" w:sz="8" w:color="auto"/>
            </w:tcBorders>
            <w:gridSpan w:val="2"/>
            <w:vMerge w:val="continue"/>
          </w:tcPr>
          <w:p>
            <w:pPr>
              <w:spacing w:after="0"/>
              <w:rPr>
                <w:sz w:val="13"/>
                <w:szCs w:val="13"/>
                <w:color w:val="auto"/>
              </w:rPr>
            </w:pPr>
          </w:p>
        </w:tc>
        <w:tc>
          <w:tcPr>
            <w:tcW w:w="762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20" w:type="dxa"/>
            <w:vAlign w:val="bottom"/>
          </w:tcPr>
          <w:p>
            <w:pPr>
              <w:spacing w:after="0"/>
              <w:rPr>
                <w:sz w:val="20"/>
                <w:szCs w:val="20"/>
                <w:color w:val="auto"/>
              </w:rPr>
            </w:pPr>
            <w:r>
              <w:rPr>
                <w:rFonts w:ascii="Arial" w:cs="Arial" w:eastAsia="Arial" w:hAnsi="Arial"/>
                <w:sz w:val="18"/>
                <w:szCs w:val="18"/>
                <w:color w:val="auto"/>
              </w:rPr>
              <w:t>3219-02</w:t>
            </w:r>
          </w:p>
        </w:tc>
        <w:tc>
          <w:tcPr>
            <w:tcW w:w="8680" w:type="dxa"/>
            <w:vAlign w:val="bottom"/>
            <w:gridSpan w:val="3"/>
          </w:tcPr>
          <w:p>
            <w:pPr>
              <w:spacing w:after="0"/>
              <w:rPr>
                <w:sz w:val="20"/>
                <w:szCs w:val="20"/>
                <w:color w:val="auto"/>
              </w:rPr>
            </w:pPr>
            <w:r>
              <w:rPr>
                <w:rFonts w:ascii="Arial" w:cs="Arial" w:eastAsia="Arial" w:hAnsi="Arial"/>
                <w:sz w:val="18"/>
                <w:szCs w:val="18"/>
                <w:color w:val="auto"/>
              </w:rPr>
              <w:t>Special Terms – Seats and In-Flight Entertainment</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3219-04</w:t>
            </w:r>
          </w:p>
        </w:tc>
        <w:tc>
          <w:tcPr>
            <w:tcW w:w="8680" w:type="dxa"/>
            <w:vAlign w:val="bottom"/>
            <w:gridSpan w:val="3"/>
          </w:tcPr>
          <w:p>
            <w:pPr>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3219-05R1</w:t>
            </w:r>
          </w:p>
        </w:tc>
        <w:tc>
          <w:tcPr>
            <w:tcW w:w="8680" w:type="dxa"/>
            <w:vAlign w:val="bottom"/>
            <w:gridSpan w:val="3"/>
          </w:tcPr>
          <w:p>
            <w:pPr>
              <w:spacing w:after="0"/>
              <w:rPr>
                <w:sz w:val="20"/>
                <w:szCs w:val="20"/>
                <w:color w:val="auto"/>
              </w:rPr>
            </w:pPr>
            <w:r>
              <w:rPr>
                <w:rFonts w:ascii="Arial" w:cs="Arial" w:eastAsia="Arial" w:hAnsi="Arial"/>
                <w:sz w:val="18"/>
                <w:szCs w:val="18"/>
                <w:color w:val="auto"/>
              </w:rPr>
              <w:t>Spare Parts Commitments</w:t>
            </w:r>
          </w:p>
        </w:tc>
        <w:tc>
          <w:tcPr>
            <w:tcW w:w="620" w:type="dxa"/>
            <w:vAlign w:val="bottom"/>
          </w:tcPr>
          <w:p>
            <w:pPr>
              <w:jc w:val="right"/>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3219-06R1</w:t>
            </w:r>
          </w:p>
        </w:tc>
        <w:tc>
          <w:tcPr>
            <w:tcW w:w="8680" w:type="dxa"/>
            <w:vAlign w:val="bottom"/>
            <w:gridSpan w:val="3"/>
          </w:tcPr>
          <w:p>
            <w:pPr>
              <w:spacing w:after="0"/>
              <w:rPr>
                <w:sz w:val="20"/>
                <w:szCs w:val="20"/>
                <w:color w:val="auto"/>
              </w:rPr>
            </w:pPr>
            <w:r>
              <w:rPr>
                <w:rFonts w:ascii="Arial" w:cs="Arial" w:eastAsia="Arial" w:hAnsi="Arial"/>
                <w:sz w:val="18"/>
                <w:szCs w:val="18"/>
                <w:color w:val="auto"/>
              </w:rPr>
              <w:t>Spare Parts Initial Provisioning</w:t>
            </w:r>
          </w:p>
        </w:tc>
        <w:tc>
          <w:tcPr>
            <w:tcW w:w="620" w:type="dxa"/>
            <w:vAlign w:val="bottom"/>
          </w:tcPr>
          <w:p>
            <w:pPr>
              <w:jc w:val="right"/>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3219-08R2</w:t>
            </w:r>
          </w:p>
        </w:tc>
        <w:tc>
          <w:tcPr>
            <w:tcW w:w="8680" w:type="dxa"/>
            <w:vAlign w:val="bottom"/>
            <w:gridSpan w:val="3"/>
          </w:tcPr>
          <w:p>
            <w:pPr>
              <w:spacing w:after="0"/>
              <w:rPr>
                <w:sz w:val="20"/>
                <w:szCs w:val="20"/>
                <w:color w:val="auto"/>
              </w:rPr>
            </w:pPr>
            <w:r>
              <w:rPr>
                <w:rFonts w:ascii="Arial" w:cs="Arial" w:eastAsia="Arial" w:hAnsi="Arial"/>
                <w:sz w:val="18"/>
                <w:szCs w:val="18"/>
                <w:color w:val="auto"/>
              </w:rPr>
              <w:t>Open Configuration Matters</w:t>
            </w:r>
          </w:p>
        </w:tc>
        <w:tc>
          <w:tcPr>
            <w:tcW w:w="620" w:type="dxa"/>
            <w:vAlign w:val="bottom"/>
          </w:tcPr>
          <w:p>
            <w:pPr>
              <w:jc w:val="right"/>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strike w:val="1"/>
              </w:rPr>
              <w:t>6-1162-AKP-071R1</w:t>
            </w:r>
          </w:p>
        </w:tc>
        <w:tc>
          <w:tcPr>
            <w:tcW w:w="1540" w:type="dxa"/>
            <w:vAlign w:val="bottom"/>
            <w:gridSpan w:val="2"/>
          </w:tcPr>
          <w:p>
            <w:pPr>
              <w:spacing w:after="0"/>
              <w:rPr>
                <w:sz w:val="20"/>
                <w:szCs w:val="20"/>
                <w:color w:val="auto"/>
              </w:rPr>
            </w:pPr>
            <w:r>
              <w:rPr>
                <w:rFonts w:ascii="Arial" w:cs="Arial" w:eastAsia="Arial" w:hAnsi="Arial"/>
                <w:sz w:val="18"/>
                <w:szCs w:val="18"/>
                <w:color w:val="auto"/>
                <w:strike w:val="1"/>
                <w:w w:val="88"/>
              </w:rPr>
              <w:t>Purchase Obligations</w:t>
            </w:r>
          </w:p>
        </w:tc>
        <w:tc>
          <w:tcPr>
            <w:tcW w:w="7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Terminated per AAL-PA-1977-LA-1105595</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20" w:type="dxa"/>
            <w:vAlign w:val="bottom"/>
          </w:tcPr>
          <w:p>
            <w:pPr>
              <w:spacing w:after="0"/>
              <w:rPr>
                <w:sz w:val="20"/>
                <w:szCs w:val="20"/>
                <w:color w:val="auto"/>
              </w:rPr>
            </w:pPr>
            <w:r>
              <w:rPr>
                <w:rFonts w:ascii="Arial" w:cs="Arial" w:eastAsia="Arial" w:hAnsi="Arial"/>
                <w:sz w:val="18"/>
                <w:szCs w:val="18"/>
                <w:color w:val="auto"/>
                <w:strike w:val="1"/>
              </w:rPr>
              <w:t>6-1162-AKP-072R2</w:t>
            </w:r>
          </w:p>
        </w:tc>
        <w:tc>
          <w:tcPr>
            <w:tcW w:w="8680" w:type="dxa"/>
            <w:vAlign w:val="bottom"/>
            <w:gridSpan w:val="3"/>
          </w:tcPr>
          <w:p>
            <w:pPr>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Terminated per AAL-PA-1977-LA-1105595</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6-1162-AKP-073R1</w:t>
            </w:r>
          </w:p>
        </w:tc>
        <w:tc>
          <w:tcPr>
            <w:tcW w:w="8680" w:type="dxa"/>
            <w:vAlign w:val="bottom"/>
            <w:gridSpan w:val="3"/>
          </w:tcPr>
          <w:p>
            <w:pPr>
              <w:spacing w:after="0"/>
              <w:rPr>
                <w:sz w:val="20"/>
                <w:szCs w:val="20"/>
                <w:color w:val="auto"/>
              </w:rPr>
            </w:pPr>
            <w:r>
              <w:rPr>
                <w:rFonts w:ascii="Arial" w:cs="Arial" w:eastAsia="Arial" w:hAnsi="Arial"/>
                <w:sz w:val="18"/>
                <w:szCs w:val="18"/>
                <w:color w:val="auto"/>
              </w:rPr>
              <w:t>Accident Claims and Litigation</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strike w:val="1"/>
              </w:rPr>
              <w:t>6-1162-CLO-1031R1</w:t>
            </w:r>
          </w:p>
        </w:tc>
        <w:tc>
          <w:tcPr>
            <w:tcW w:w="8680" w:type="dxa"/>
            <w:vAlign w:val="bottom"/>
            <w:gridSpan w:val="3"/>
          </w:tcPr>
          <w:p>
            <w:pPr>
              <w:spacing w:after="0"/>
              <w:rPr>
                <w:sz w:val="20"/>
                <w:szCs w:val="20"/>
                <w:color w:val="auto"/>
              </w:rPr>
            </w:pPr>
            <w:r>
              <w:rPr>
                <w:rFonts w:ascii="Arial" w:cs="Arial" w:eastAsia="Arial" w:hAnsi="Arial"/>
                <w:sz w:val="18"/>
                <w:szCs w:val="18"/>
                <w:color w:val="auto"/>
              </w:rPr>
              <w:t>[*CTR]</w:t>
            </w:r>
          </w:p>
        </w:tc>
        <w:tc>
          <w:tcPr>
            <w:tcW w:w="620" w:type="dxa"/>
            <w:vAlign w:val="bottom"/>
          </w:tcPr>
          <w:p>
            <w:pPr>
              <w:jc w:val="right"/>
              <w:spacing w:after="0"/>
              <w:rPr>
                <w:sz w:val="20"/>
                <w:szCs w:val="20"/>
                <w:color w:val="auto"/>
              </w:rPr>
            </w:pPr>
            <w:r>
              <w:rPr>
                <w:rFonts w:ascii="Arial" w:cs="Arial" w:eastAsia="Arial" w:hAnsi="Arial"/>
                <w:sz w:val="18"/>
                <w:szCs w:val="18"/>
                <w:color w:val="auto"/>
                <w:strike w:val="1"/>
              </w:rPr>
              <w:t>SA-2</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Withdrawn</w:t>
            </w:r>
          </w:p>
        </w:tc>
        <w:tc>
          <w:tcPr>
            <w:tcW w:w="620" w:type="dxa"/>
            <w:vAlign w:val="bottom"/>
          </w:tcPr>
          <w:p>
            <w:pPr>
              <w:jc w:val="right"/>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strike w:val="1"/>
              </w:rPr>
              <w:t>6-1162-CLO-1032R1</w:t>
            </w:r>
          </w:p>
        </w:tc>
        <w:tc>
          <w:tcPr>
            <w:tcW w:w="8680" w:type="dxa"/>
            <w:vAlign w:val="bottom"/>
            <w:gridSpan w:val="3"/>
          </w:tcPr>
          <w:p>
            <w:pPr>
              <w:spacing w:after="0"/>
              <w:rPr>
                <w:sz w:val="20"/>
                <w:szCs w:val="20"/>
                <w:color w:val="auto"/>
              </w:rPr>
            </w:pPr>
            <w:r>
              <w:rPr>
                <w:rFonts w:ascii="Arial" w:cs="Arial" w:eastAsia="Arial" w:hAnsi="Arial"/>
                <w:sz w:val="18"/>
                <w:szCs w:val="18"/>
                <w:color w:val="auto"/>
              </w:rPr>
              <w:t>[*CTR]</w:t>
            </w:r>
          </w:p>
        </w:tc>
        <w:tc>
          <w:tcPr>
            <w:tcW w:w="620" w:type="dxa"/>
            <w:vAlign w:val="bottom"/>
          </w:tcPr>
          <w:p>
            <w:pPr>
              <w:jc w:val="right"/>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Terminated</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6-1162-CLO-1039</w:t>
            </w:r>
          </w:p>
        </w:tc>
        <w:tc>
          <w:tcPr>
            <w:tcW w:w="8680" w:type="dxa"/>
            <w:vAlign w:val="bottom"/>
            <w:gridSpan w:val="3"/>
          </w:tcPr>
          <w:p>
            <w:pPr>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6-1162-CLO-1042</w:t>
            </w:r>
          </w:p>
        </w:tc>
        <w:tc>
          <w:tcPr>
            <w:tcW w:w="8680" w:type="dxa"/>
            <w:vAlign w:val="bottom"/>
            <w:gridSpan w:val="3"/>
          </w:tcPr>
          <w:p>
            <w:pPr>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6-1162-CLO-1043R1</w:t>
            </w:r>
          </w:p>
        </w:tc>
        <w:tc>
          <w:tcPr>
            <w:tcW w:w="8680" w:type="dxa"/>
            <w:vAlign w:val="bottom"/>
            <w:gridSpan w:val="3"/>
          </w:tcPr>
          <w:p>
            <w:pPr>
              <w:spacing w:after="0"/>
              <w:rPr>
                <w:sz w:val="20"/>
                <w:szCs w:val="20"/>
                <w:color w:val="auto"/>
              </w:rPr>
            </w:pPr>
            <w:r>
              <w:rPr>
                <w:rFonts w:ascii="Arial" w:cs="Arial" w:eastAsia="Arial" w:hAnsi="Arial"/>
                <w:sz w:val="18"/>
                <w:szCs w:val="18"/>
                <w:color w:val="auto"/>
              </w:rPr>
              <w:t>787 Inspection Process</w:t>
            </w:r>
          </w:p>
        </w:tc>
        <w:tc>
          <w:tcPr>
            <w:tcW w:w="620" w:type="dxa"/>
            <w:vAlign w:val="bottom"/>
          </w:tcPr>
          <w:p>
            <w:pPr>
              <w:jc w:val="right"/>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6-1162-CLO-1045R1</w:t>
            </w:r>
          </w:p>
        </w:tc>
        <w:tc>
          <w:tcPr>
            <w:tcW w:w="8680" w:type="dxa"/>
            <w:vAlign w:val="bottom"/>
            <w:gridSpan w:val="3"/>
          </w:tcPr>
          <w:p>
            <w:pPr>
              <w:spacing w:after="0"/>
              <w:rPr>
                <w:sz w:val="20"/>
                <w:szCs w:val="20"/>
                <w:color w:val="auto"/>
              </w:rPr>
            </w:pPr>
            <w:r>
              <w:rPr>
                <w:rFonts w:ascii="Arial" w:cs="Arial" w:eastAsia="Arial" w:hAnsi="Arial"/>
                <w:sz w:val="18"/>
                <w:szCs w:val="18"/>
                <w:color w:val="auto"/>
              </w:rPr>
              <w:t>[*CTR]</w:t>
            </w:r>
          </w:p>
        </w:tc>
        <w:tc>
          <w:tcPr>
            <w:tcW w:w="620" w:type="dxa"/>
            <w:vAlign w:val="bottom"/>
          </w:tcPr>
          <w:p>
            <w:pPr>
              <w:jc w:val="right"/>
              <w:spacing w:after="0"/>
              <w:rPr>
                <w:sz w:val="20"/>
                <w:szCs w:val="20"/>
                <w:color w:val="auto"/>
              </w:rPr>
            </w:pPr>
            <w:r>
              <w:rPr>
                <w:rFonts w:ascii="Arial" w:cs="Arial" w:eastAsia="Arial" w:hAnsi="Arial"/>
                <w:sz w:val="18"/>
                <w:szCs w:val="18"/>
                <w:color w:val="auto"/>
              </w:rPr>
              <w:t>SA-2</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strike w:val="1"/>
              </w:rPr>
              <w:t>6-1162-CLO-1046</w:t>
            </w:r>
          </w:p>
        </w:tc>
        <w:tc>
          <w:tcPr>
            <w:tcW w:w="8680" w:type="dxa"/>
            <w:vAlign w:val="bottom"/>
            <w:gridSpan w:val="3"/>
          </w:tcPr>
          <w:p>
            <w:pPr>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8680" w:type="dxa"/>
            <w:vAlign w:val="bottom"/>
            <w:gridSpan w:val="3"/>
          </w:tcPr>
          <w:p>
            <w:pPr>
              <w:spacing w:after="0"/>
              <w:rPr>
                <w:sz w:val="20"/>
                <w:szCs w:val="20"/>
                <w:color w:val="auto"/>
              </w:rPr>
            </w:pPr>
            <w:r>
              <w:rPr>
                <w:rFonts w:ascii="Arial" w:cs="Arial" w:eastAsia="Arial" w:hAnsi="Arial"/>
                <w:sz w:val="18"/>
                <w:szCs w:val="18"/>
                <w:color w:val="auto"/>
              </w:rPr>
              <w:t>Withdrawn</w:t>
            </w:r>
          </w:p>
        </w:tc>
        <w:tc>
          <w:tcPr>
            <w:tcW w:w="620" w:type="dxa"/>
            <w:vAlign w:val="bottom"/>
          </w:tcPr>
          <w:p>
            <w:pPr>
              <w:jc w:val="right"/>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6-1162-CLO-1047R1</w:t>
            </w:r>
          </w:p>
        </w:tc>
        <w:tc>
          <w:tcPr>
            <w:tcW w:w="8680" w:type="dxa"/>
            <w:vAlign w:val="bottom"/>
            <w:gridSpan w:val="3"/>
          </w:tcPr>
          <w:p>
            <w:pPr>
              <w:spacing w:after="0"/>
              <w:rPr>
                <w:sz w:val="20"/>
                <w:szCs w:val="20"/>
                <w:color w:val="auto"/>
              </w:rPr>
            </w:pPr>
            <w:r>
              <w:rPr>
                <w:rFonts w:ascii="Arial" w:cs="Arial" w:eastAsia="Arial" w:hAnsi="Arial"/>
                <w:sz w:val="18"/>
                <w:szCs w:val="18"/>
                <w:color w:val="auto"/>
              </w:rPr>
              <w:t>[*CTR]</w:t>
            </w:r>
          </w:p>
        </w:tc>
        <w:tc>
          <w:tcPr>
            <w:tcW w:w="620" w:type="dxa"/>
            <w:vAlign w:val="bottom"/>
          </w:tcPr>
          <w:p>
            <w:pPr>
              <w:jc w:val="right"/>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strike w:val="1"/>
              </w:rPr>
              <w:t>6-1162-CLO-1048</w:t>
            </w:r>
          </w:p>
        </w:tc>
        <w:tc>
          <w:tcPr>
            <w:tcW w:w="1060" w:type="dxa"/>
            <w:vAlign w:val="bottom"/>
          </w:tcPr>
          <w:p>
            <w:pPr>
              <w:spacing w:after="0"/>
              <w:rPr>
                <w:sz w:val="20"/>
                <w:szCs w:val="20"/>
                <w:color w:val="auto"/>
              </w:rPr>
            </w:pPr>
            <w:r>
              <w:rPr>
                <w:rFonts w:ascii="Arial" w:cs="Arial" w:eastAsia="Arial" w:hAnsi="Arial"/>
                <w:sz w:val="18"/>
                <w:szCs w:val="18"/>
                <w:color w:val="auto"/>
                <w:strike w:val="1"/>
                <w:w w:val="99"/>
              </w:rPr>
              <w:t>Final Matters</w:t>
            </w:r>
          </w:p>
        </w:tc>
        <w:tc>
          <w:tcPr>
            <w:tcW w:w="7620" w:type="dxa"/>
            <w:vAlign w:val="bottom"/>
            <w:gridSpan w:val="2"/>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SA-2</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6-1162-CLO-1049R1</w:t>
            </w:r>
          </w:p>
        </w:tc>
        <w:tc>
          <w:tcPr>
            <w:tcW w:w="8680" w:type="dxa"/>
            <w:vAlign w:val="bottom"/>
            <w:gridSpan w:val="3"/>
          </w:tcPr>
          <w:p>
            <w:pPr>
              <w:spacing w:after="0"/>
              <w:rPr>
                <w:sz w:val="20"/>
                <w:szCs w:val="20"/>
                <w:color w:val="auto"/>
              </w:rPr>
            </w:pPr>
            <w:r>
              <w:rPr>
                <w:rFonts w:ascii="Arial" w:cs="Arial" w:eastAsia="Arial" w:hAnsi="Arial"/>
                <w:sz w:val="18"/>
                <w:szCs w:val="18"/>
                <w:color w:val="auto"/>
              </w:rPr>
              <w:t>CS1 Matters</w:t>
            </w:r>
          </w:p>
        </w:tc>
        <w:tc>
          <w:tcPr>
            <w:tcW w:w="620" w:type="dxa"/>
            <w:vAlign w:val="bottom"/>
          </w:tcPr>
          <w:p>
            <w:pPr>
              <w:jc w:val="right"/>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6-1162-TRW-0664R1</w:t>
            </w:r>
          </w:p>
        </w:tc>
        <w:tc>
          <w:tcPr>
            <w:tcW w:w="8680" w:type="dxa"/>
            <w:vAlign w:val="bottom"/>
            <w:gridSpan w:val="3"/>
          </w:tcPr>
          <w:p>
            <w:pPr>
              <w:spacing w:after="0"/>
              <w:rPr>
                <w:sz w:val="20"/>
                <w:szCs w:val="20"/>
                <w:color w:val="auto"/>
              </w:rPr>
            </w:pPr>
            <w:r>
              <w:rPr>
                <w:rFonts w:ascii="Arial" w:cs="Arial" w:eastAsia="Arial" w:hAnsi="Arial"/>
                <w:sz w:val="18"/>
                <w:szCs w:val="18"/>
                <w:color w:val="auto"/>
              </w:rPr>
              <w:t>Aircraft Purchase Rights and Substitution Rights</w:t>
            </w:r>
          </w:p>
        </w:tc>
        <w:tc>
          <w:tcPr>
            <w:tcW w:w="620" w:type="dxa"/>
            <w:vAlign w:val="bottom"/>
          </w:tcPr>
          <w:p>
            <w:pPr>
              <w:jc w:val="right"/>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8680" w:type="dxa"/>
            <w:vAlign w:val="bottom"/>
            <w:gridSpan w:val="3"/>
          </w:tcPr>
          <w:p>
            <w:pPr>
              <w:ind w:left="360"/>
              <w:spacing w:after="0"/>
              <w:rPr>
                <w:sz w:val="20"/>
                <w:szCs w:val="20"/>
                <w:color w:val="auto"/>
              </w:rPr>
            </w:pPr>
            <w:r>
              <w:rPr>
                <w:rFonts w:ascii="Arial" w:cs="Arial" w:eastAsia="Arial" w:hAnsi="Arial"/>
                <w:sz w:val="18"/>
                <w:szCs w:val="18"/>
                <w:color w:val="auto"/>
              </w:rPr>
              <w:t>Attachment A(R1) – MADP Exercise Dates</w:t>
            </w:r>
          </w:p>
        </w:tc>
        <w:tc>
          <w:tcPr>
            <w:tcW w:w="620" w:type="dxa"/>
            <w:vAlign w:val="bottom"/>
          </w:tcPr>
          <w:p>
            <w:pPr>
              <w:jc w:val="right"/>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8680" w:type="dxa"/>
            <w:vAlign w:val="bottom"/>
            <w:gridSpan w:val="3"/>
          </w:tcPr>
          <w:p>
            <w:pPr>
              <w:ind w:left="360"/>
              <w:spacing w:after="0"/>
              <w:rPr>
                <w:sz w:val="20"/>
                <w:szCs w:val="20"/>
                <w:color w:val="auto"/>
              </w:rPr>
            </w:pPr>
            <w:r>
              <w:rPr>
                <w:rFonts w:ascii="Arial" w:cs="Arial" w:eastAsia="Arial" w:hAnsi="Arial"/>
                <w:sz w:val="18"/>
                <w:szCs w:val="18"/>
                <w:color w:val="auto"/>
              </w:rPr>
              <w:t>Attachment B(R1) – QADP Exercise Dates</w:t>
            </w:r>
          </w:p>
        </w:tc>
        <w:tc>
          <w:tcPr>
            <w:tcW w:w="620" w:type="dxa"/>
            <w:vAlign w:val="bottom"/>
          </w:tcPr>
          <w:p>
            <w:pPr>
              <w:jc w:val="right"/>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8680" w:type="dxa"/>
            <w:vAlign w:val="bottom"/>
            <w:gridSpan w:val="3"/>
          </w:tcPr>
          <w:p>
            <w:pPr>
              <w:ind w:left="360"/>
              <w:spacing w:after="0"/>
              <w:rPr>
                <w:sz w:val="20"/>
                <w:szCs w:val="20"/>
                <w:color w:val="auto"/>
              </w:rPr>
            </w:pPr>
            <w:r>
              <w:rPr>
                <w:rFonts w:ascii="Arial" w:cs="Arial" w:eastAsia="Arial" w:hAnsi="Arial"/>
                <w:sz w:val="18"/>
                <w:szCs w:val="18"/>
                <w:color w:val="auto"/>
              </w:rPr>
              <w:t>Attachment C(R1) – MADP &amp; QADP Rights</w:t>
            </w:r>
          </w:p>
        </w:tc>
        <w:tc>
          <w:tcPr>
            <w:tcW w:w="620" w:type="dxa"/>
            <w:vAlign w:val="bottom"/>
          </w:tcPr>
          <w:p>
            <w:pPr>
              <w:jc w:val="right"/>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8680" w:type="dxa"/>
            <w:vAlign w:val="bottom"/>
            <w:gridSpan w:val="3"/>
          </w:tcPr>
          <w:p>
            <w:pPr>
              <w:ind w:left="360"/>
              <w:spacing w:after="0"/>
              <w:rPr>
                <w:sz w:val="20"/>
                <w:szCs w:val="20"/>
                <w:color w:val="auto"/>
              </w:rPr>
            </w:pPr>
            <w:r>
              <w:rPr>
                <w:rFonts w:ascii="Arial" w:cs="Arial" w:eastAsia="Arial" w:hAnsi="Arial"/>
                <w:sz w:val="18"/>
                <w:szCs w:val="18"/>
                <w:color w:val="auto"/>
              </w:rPr>
              <w:t>Aircraft</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strike w:val="1"/>
              </w:rPr>
              <w:t>6-1162-TRW-0665</w:t>
            </w:r>
          </w:p>
        </w:tc>
        <w:tc>
          <w:tcPr>
            <w:tcW w:w="8680" w:type="dxa"/>
            <w:vAlign w:val="bottom"/>
            <w:gridSpan w:val="3"/>
          </w:tcPr>
          <w:p>
            <w:pPr>
              <w:ind w:left="540"/>
              <w:spacing w:after="0"/>
              <w:rPr>
                <w:sz w:val="20"/>
                <w:szCs w:val="20"/>
                <w:color w:val="auto"/>
              </w:rPr>
            </w:pPr>
            <w:r>
              <w:rPr>
                <w:rFonts w:ascii="Arial" w:cs="Arial" w:eastAsia="Arial" w:hAnsi="Arial"/>
                <w:sz w:val="18"/>
                <w:szCs w:val="18"/>
                <w:color w:val="auto"/>
              </w:rPr>
              <w:t>[*CTR]</w:t>
            </w:r>
          </w:p>
        </w:tc>
        <w:tc>
          <w:tcPr>
            <w:tcW w:w="620" w:type="dxa"/>
            <w:vAlign w:val="bottom"/>
          </w:tcPr>
          <w:p>
            <w:pPr>
              <w:jc w:val="right"/>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strike w:val="1"/>
              </w:rPr>
              <w:t>6-1162-TRW-0666</w:t>
            </w:r>
          </w:p>
        </w:tc>
        <w:tc>
          <w:tcPr>
            <w:tcW w:w="8680" w:type="dxa"/>
            <w:vAlign w:val="bottom"/>
            <w:gridSpan w:val="3"/>
          </w:tcPr>
          <w:p>
            <w:pPr>
              <w:ind w:left="540"/>
              <w:spacing w:after="0"/>
              <w:rPr>
                <w:sz w:val="20"/>
                <w:szCs w:val="20"/>
                <w:color w:val="auto"/>
              </w:rPr>
            </w:pPr>
            <w:r>
              <w:rPr>
                <w:rFonts w:ascii="Arial" w:cs="Arial" w:eastAsia="Arial" w:hAnsi="Arial"/>
                <w:sz w:val="18"/>
                <w:szCs w:val="18"/>
                <w:color w:val="auto"/>
              </w:rPr>
              <w:t>[*CTR]</w:t>
            </w:r>
          </w:p>
        </w:tc>
        <w:tc>
          <w:tcPr>
            <w:tcW w:w="620" w:type="dxa"/>
            <w:vAlign w:val="bottom"/>
          </w:tcPr>
          <w:p>
            <w:pPr>
              <w:jc w:val="right"/>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P.A. No. 3219</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SA-4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Table of Contents, Page 2</w:t>
      </w:r>
    </w:p>
    <w:p>
      <w:pPr>
        <w:spacing w:after="0" w:line="32" w:lineRule="exact"/>
        <w:rPr>
          <w:sz w:val="20"/>
          <w:szCs w:val="20"/>
          <w:color w:val="auto"/>
        </w:rPr>
      </w:pPr>
    </w:p>
    <w:p>
      <w:pPr>
        <w:sectPr>
          <w:pgSz w:w="11900" w:h="16838" w:orient="portrait"/>
          <w:cols w:equalWidth="0" w:num="2">
            <w:col w:w="8840" w:space="720"/>
            <w:col w:w="186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BOEING PROPRIETARY</w:t>
      </w:r>
    </w:p>
    <w:p>
      <w:pPr>
        <w:sectPr>
          <w:pgSz w:w="11900" w:h="16838" w:orient="portrait"/>
          <w:cols w:equalWidth="0" w:num="1">
            <w:col w:w="11420"/>
          </w:cols>
          <w:pgMar w:left="240" w:top="274" w:right="239" w:bottom="1440" w:gutter="0" w:footer="0" w:header="0"/>
          <w:type w:val="continuous"/>
        </w:sectPr>
      </w:pPr>
    </w:p>
    <w:p>
      <w:pPr>
        <w:spacing w:after="0" w:line="23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155" w:name="page156"/>
    <w:bookmarkEnd w:id="155"/>
    <w:tbl>
      <w:tblPr>
        <w:tblLayout w:type="fixed"/>
        <w:tblInd w:w="0" w:type="dxa"/>
        <w:tblCellMar>
          <w:top w:w="0" w:type="dxa"/>
          <w:left w:w="0" w:type="dxa"/>
          <w:bottom w:w="0" w:type="dxa"/>
          <w:right w:w="0" w:type="dxa"/>
        </w:tblCellMar>
      </w:tblPr>
      <w:tr>
        <w:trPr>
          <w:trHeight w:val="230"/>
        </w:trPr>
        <w:tc>
          <w:tcPr>
            <w:tcW w:w="2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20" w:type="dxa"/>
            <w:vAlign w:val="bottom"/>
          </w:tcPr>
          <w:p>
            <w:pPr>
              <w:ind w:left="1320"/>
              <w:spacing w:after="0"/>
              <w:rPr>
                <w:sz w:val="20"/>
                <w:szCs w:val="20"/>
                <w:color w:val="auto"/>
              </w:rPr>
            </w:pPr>
            <w:r>
              <w:rPr>
                <w:rFonts w:ascii="Arial" w:cs="Arial" w:eastAsia="Arial" w:hAnsi="Arial"/>
                <w:sz w:val="18"/>
                <w:szCs w:val="18"/>
                <w:color w:val="auto"/>
              </w:rPr>
              <w:t>TABLE OF CONTENTS, continued</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color w:val="auto"/>
              </w:rPr>
              <w:t>SA</w:t>
            </w:r>
          </w:p>
        </w:tc>
        <w:tc>
          <w:tcPr>
            <w:tcW w:w="0" w:type="dxa"/>
            <w:vAlign w:val="bottom"/>
          </w:tcPr>
          <w:p>
            <w:pPr>
              <w:spacing w:after="0"/>
              <w:rPr>
                <w:sz w:val="1"/>
                <w:szCs w:val="1"/>
                <w:color w:val="auto"/>
              </w:rPr>
            </w:pPr>
          </w:p>
        </w:tc>
      </w:tr>
      <w:tr>
        <w:trPr>
          <w:trHeight w:val="167"/>
        </w:trPr>
        <w:tc>
          <w:tcPr>
            <w:tcW w:w="3080" w:type="dxa"/>
            <w:vAlign w:val="bottom"/>
            <w:gridSpan w:val="2"/>
            <w:vMerge w:val="restart"/>
          </w:tcPr>
          <w:p>
            <w:pPr>
              <w:spacing w:after="0"/>
              <w:rPr>
                <w:sz w:val="20"/>
                <w:szCs w:val="20"/>
                <w:color w:val="auto"/>
              </w:rPr>
            </w:pPr>
            <w:r>
              <w:rPr>
                <w:rFonts w:ascii="Arial" w:cs="Arial" w:eastAsia="Arial" w:hAnsi="Arial"/>
                <w:sz w:val="18"/>
                <w:szCs w:val="18"/>
                <w:color w:val="auto"/>
                <w:w w:val="96"/>
              </w:rPr>
              <w:t>LETTER AGREEMENTS, CONTINUED</w:t>
            </w:r>
          </w:p>
        </w:tc>
        <w:tc>
          <w:tcPr>
            <w:tcW w:w="7620" w:type="dxa"/>
            <w:vAlign w:val="bottom"/>
            <w:vMerge w:val="restart"/>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NUMBER</w:t>
            </w:r>
          </w:p>
        </w:tc>
        <w:tc>
          <w:tcPr>
            <w:tcW w:w="0" w:type="dxa"/>
            <w:vAlign w:val="bottom"/>
          </w:tcPr>
          <w:p>
            <w:pPr>
              <w:spacing w:after="0"/>
              <w:rPr>
                <w:sz w:val="1"/>
                <w:szCs w:val="1"/>
                <w:color w:val="auto"/>
              </w:rPr>
            </w:pPr>
          </w:p>
        </w:tc>
      </w:tr>
      <w:tr>
        <w:trPr>
          <w:trHeight w:val="161"/>
        </w:trPr>
        <w:tc>
          <w:tcPr>
            <w:tcW w:w="3080" w:type="dxa"/>
            <w:vAlign w:val="bottom"/>
            <w:tcBorders>
              <w:bottom w:val="single" w:sz="8" w:color="auto"/>
            </w:tcBorders>
            <w:gridSpan w:val="2"/>
            <w:vMerge w:val="continue"/>
          </w:tcPr>
          <w:p>
            <w:pPr>
              <w:spacing w:after="0"/>
              <w:rPr>
                <w:sz w:val="13"/>
                <w:szCs w:val="13"/>
                <w:color w:val="auto"/>
              </w:rPr>
            </w:pPr>
          </w:p>
        </w:tc>
        <w:tc>
          <w:tcPr>
            <w:tcW w:w="762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120" w:type="dxa"/>
            <w:vAlign w:val="bottom"/>
          </w:tcPr>
          <w:p>
            <w:pPr>
              <w:spacing w:after="0"/>
              <w:rPr>
                <w:sz w:val="20"/>
                <w:szCs w:val="20"/>
                <w:color w:val="auto"/>
              </w:rPr>
            </w:pPr>
            <w:r>
              <w:rPr>
                <w:rFonts w:ascii="Arial" w:cs="Arial" w:eastAsia="Arial" w:hAnsi="Arial"/>
                <w:sz w:val="18"/>
                <w:szCs w:val="18"/>
                <w:color w:val="auto"/>
              </w:rPr>
              <w:t>6-1162-TRW-0667R1</w:t>
            </w:r>
          </w:p>
        </w:tc>
        <w:tc>
          <w:tcPr>
            <w:tcW w:w="8580" w:type="dxa"/>
            <w:vAlign w:val="bottom"/>
            <w:gridSpan w:val="2"/>
          </w:tcPr>
          <w:p>
            <w:pPr>
              <w:ind w:left="240"/>
              <w:spacing w:after="0"/>
              <w:rPr>
                <w:sz w:val="20"/>
                <w:szCs w:val="20"/>
                <w:color w:val="auto"/>
              </w:rPr>
            </w:pPr>
            <w:r>
              <w:rPr>
                <w:rFonts w:ascii="Arial" w:cs="Arial" w:eastAsia="Arial" w:hAnsi="Arial"/>
                <w:sz w:val="18"/>
                <w:szCs w:val="18"/>
                <w:color w:val="auto"/>
              </w:rPr>
              <w:t>[*CTR]</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6-1162-TRW-0668R1</w:t>
            </w:r>
          </w:p>
        </w:tc>
        <w:tc>
          <w:tcPr>
            <w:tcW w:w="8580" w:type="dxa"/>
            <w:vAlign w:val="bottom"/>
            <w:gridSpan w:val="2"/>
          </w:tcPr>
          <w:p>
            <w:pPr>
              <w:ind w:left="240"/>
              <w:spacing w:after="0"/>
              <w:rPr>
                <w:sz w:val="20"/>
                <w:szCs w:val="20"/>
                <w:color w:val="auto"/>
              </w:rPr>
            </w:pPr>
            <w:r>
              <w:rPr>
                <w:rFonts w:ascii="Arial" w:cs="Arial" w:eastAsia="Arial" w:hAnsi="Arial"/>
                <w:sz w:val="18"/>
                <w:szCs w:val="18"/>
                <w:color w:val="auto"/>
              </w:rPr>
              <w:t>[*CTR]</w:t>
            </w:r>
          </w:p>
        </w:tc>
        <w:tc>
          <w:tcPr>
            <w:tcW w:w="620" w:type="dxa"/>
            <w:vAlign w:val="bottom"/>
          </w:tcPr>
          <w:p>
            <w:pPr>
              <w:jc w:val="right"/>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6-1162-TRW-0670R1</w:t>
            </w:r>
          </w:p>
        </w:tc>
        <w:tc>
          <w:tcPr>
            <w:tcW w:w="8580" w:type="dxa"/>
            <w:vAlign w:val="bottom"/>
            <w:gridSpan w:val="2"/>
          </w:tcPr>
          <w:p>
            <w:pPr>
              <w:ind w:left="240"/>
              <w:spacing w:after="0"/>
              <w:rPr>
                <w:sz w:val="20"/>
                <w:szCs w:val="20"/>
                <w:color w:val="auto"/>
              </w:rPr>
            </w:pPr>
            <w:r>
              <w:rPr>
                <w:rFonts w:ascii="Arial" w:cs="Arial" w:eastAsia="Arial" w:hAnsi="Arial"/>
                <w:sz w:val="18"/>
                <w:szCs w:val="18"/>
                <w:color w:val="auto"/>
              </w:rPr>
              <w:t>Miscellaneous Commitments for Model 787</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8580" w:type="dxa"/>
            <w:vAlign w:val="bottom"/>
            <w:gridSpan w:val="2"/>
          </w:tcPr>
          <w:p>
            <w:pPr>
              <w:ind w:left="240"/>
              <w:spacing w:after="0"/>
              <w:rPr>
                <w:sz w:val="20"/>
                <w:szCs w:val="20"/>
                <w:color w:val="auto"/>
              </w:rPr>
            </w:pPr>
            <w:r>
              <w:rPr>
                <w:rFonts w:ascii="Arial" w:cs="Arial" w:eastAsia="Arial" w:hAnsi="Arial"/>
                <w:sz w:val="18"/>
                <w:szCs w:val="18"/>
                <w:color w:val="auto"/>
              </w:rPr>
              <w:t>Aircraft</w:t>
            </w:r>
          </w:p>
        </w:tc>
        <w:tc>
          <w:tcPr>
            <w:tcW w:w="620" w:type="dxa"/>
            <w:vAlign w:val="bottom"/>
          </w:tcPr>
          <w:p>
            <w:pPr>
              <w:jc w:val="right"/>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strike w:val="1"/>
              </w:rPr>
              <w:t>6-1162-TRW-0671</w:t>
            </w:r>
          </w:p>
        </w:tc>
        <w:tc>
          <w:tcPr>
            <w:tcW w:w="8580" w:type="dxa"/>
            <w:vAlign w:val="bottom"/>
            <w:gridSpan w:val="2"/>
          </w:tcPr>
          <w:p>
            <w:pPr>
              <w:ind w:left="240"/>
              <w:spacing w:after="0"/>
              <w:rPr>
                <w:sz w:val="20"/>
                <w:szCs w:val="20"/>
                <w:color w:val="auto"/>
              </w:rPr>
            </w:pPr>
            <w:r>
              <w:rPr>
                <w:rFonts w:ascii="Arial" w:cs="Arial" w:eastAsia="Arial" w:hAnsi="Arial"/>
                <w:sz w:val="18"/>
                <w:szCs w:val="18"/>
                <w:color w:val="auto"/>
              </w:rPr>
              <w:t>[*CTR]</w:t>
            </w:r>
          </w:p>
        </w:tc>
        <w:tc>
          <w:tcPr>
            <w:tcW w:w="620" w:type="dxa"/>
            <w:vAlign w:val="bottom"/>
          </w:tcPr>
          <w:p>
            <w:pPr>
              <w:jc w:val="right"/>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8580" w:type="dxa"/>
            <w:vAlign w:val="bottom"/>
            <w:gridSpan w:val="2"/>
          </w:tcPr>
          <w:p>
            <w:pPr>
              <w:ind w:left="240"/>
              <w:spacing w:after="0"/>
              <w:rPr>
                <w:sz w:val="20"/>
                <w:szCs w:val="20"/>
                <w:color w:val="auto"/>
              </w:rPr>
            </w:pPr>
            <w:r>
              <w:rPr>
                <w:rFonts w:ascii="Arial" w:cs="Arial" w:eastAsia="Arial" w:hAnsi="Arial"/>
                <w:sz w:val="18"/>
                <w:szCs w:val="18"/>
                <w:color w:val="auto"/>
              </w:rPr>
              <w:t>Withdrawn</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02"/>
        </w:trPr>
        <w:tc>
          <w:tcPr>
            <w:tcW w:w="2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6-1162-TRW-0672R1</w:t>
            </w:r>
          </w:p>
        </w:tc>
        <w:tc>
          <w:tcPr>
            <w:tcW w:w="8580" w:type="dxa"/>
            <w:vAlign w:val="bottom"/>
            <w:gridSpan w:val="2"/>
          </w:tcPr>
          <w:p>
            <w:pPr>
              <w:ind w:left="240"/>
              <w:spacing w:after="0"/>
              <w:rPr>
                <w:sz w:val="20"/>
                <w:szCs w:val="20"/>
                <w:color w:val="auto"/>
              </w:rPr>
            </w:pPr>
            <w:r>
              <w:rPr>
                <w:rFonts w:ascii="Arial" w:cs="Arial" w:eastAsia="Arial" w:hAnsi="Arial"/>
                <w:sz w:val="18"/>
                <w:szCs w:val="18"/>
                <w:color w:val="auto"/>
              </w:rPr>
              <w:t>[*CTR]</w:t>
            </w:r>
          </w:p>
        </w:tc>
        <w:tc>
          <w:tcPr>
            <w:tcW w:w="620" w:type="dxa"/>
            <w:vAlign w:val="bottom"/>
          </w:tcPr>
          <w:p>
            <w:pPr>
              <w:jc w:val="right"/>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6-1162-TRW-0673R1</w:t>
            </w:r>
          </w:p>
        </w:tc>
        <w:tc>
          <w:tcPr>
            <w:tcW w:w="8580" w:type="dxa"/>
            <w:vAlign w:val="bottom"/>
            <w:gridSpan w:val="2"/>
          </w:tcPr>
          <w:p>
            <w:pPr>
              <w:ind w:left="240"/>
              <w:spacing w:after="0"/>
              <w:rPr>
                <w:sz w:val="20"/>
                <w:szCs w:val="20"/>
                <w:color w:val="auto"/>
              </w:rPr>
            </w:pPr>
            <w:r>
              <w:rPr>
                <w:rFonts w:ascii="Arial" w:cs="Arial" w:eastAsia="Arial" w:hAnsi="Arial"/>
                <w:sz w:val="18"/>
                <w:szCs w:val="18"/>
                <w:color w:val="auto"/>
              </w:rPr>
              <w:t>Confidentiality</w:t>
            </w:r>
          </w:p>
        </w:tc>
        <w:tc>
          <w:tcPr>
            <w:tcW w:w="620" w:type="dxa"/>
            <w:vAlign w:val="bottom"/>
          </w:tcPr>
          <w:p>
            <w:pPr>
              <w:jc w:val="right"/>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6-1162-TRW-0674R2</w:t>
            </w:r>
          </w:p>
        </w:tc>
        <w:tc>
          <w:tcPr>
            <w:tcW w:w="8580" w:type="dxa"/>
            <w:vAlign w:val="bottom"/>
            <w:gridSpan w:val="2"/>
          </w:tcPr>
          <w:p>
            <w:pPr>
              <w:ind w:left="240"/>
              <w:spacing w:after="0"/>
              <w:rPr>
                <w:sz w:val="20"/>
                <w:szCs w:val="20"/>
                <w:color w:val="auto"/>
              </w:rPr>
            </w:pPr>
            <w:r>
              <w:rPr>
                <w:rFonts w:ascii="Arial" w:cs="Arial" w:eastAsia="Arial" w:hAnsi="Arial"/>
                <w:sz w:val="18"/>
                <w:szCs w:val="18"/>
                <w:color w:val="auto"/>
              </w:rPr>
              <w:t>Business Considerations</w:t>
            </w:r>
          </w:p>
        </w:tc>
        <w:tc>
          <w:tcPr>
            <w:tcW w:w="620" w:type="dxa"/>
            <w:vAlign w:val="bottom"/>
          </w:tcPr>
          <w:p>
            <w:pPr>
              <w:jc w:val="right"/>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AAL-PA-3219-LA-08836</w:t>
            </w:r>
          </w:p>
        </w:tc>
        <w:tc>
          <w:tcPr>
            <w:tcW w:w="8580" w:type="dxa"/>
            <w:vAlign w:val="bottom"/>
            <w:gridSpan w:val="2"/>
          </w:tcPr>
          <w:p>
            <w:pPr>
              <w:ind w:left="240"/>
              <w:spacing w:after="0"/>
              <w:rPr>
                <w:sz w:val="20"/>
                <w:szCs w:val="20"/>
                <w:color w:val="auto"/>
              </w:rPr>
            </w:pPr>
            <w:r>
              <w:rPr>
                <w:rFonts w:ascii="Arial" w:cs="Arial" w:eastAsia="Arial" w:hAnsi="Arial"/>
                <w:sz w:val="18"/>
                <w:szCs w:val="18"/>
                <w:color w:val="auto"/>
              </w:rPr>
              <w:t>[*CTR]</w:t>
            </w:r>
          </w:p>
        </w:tc>
        <w:tc>
          <w:tcPr>
            <w:tcW w:w="620" w:type="dxa"/>
            <w:vAlign w:val="bottom"/>
          </w:tcPr>
          <w:p>
            <w:pPr>
              <w:jc w:val="right"/>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AAL-PA-3219-LA-08837</w:t>
            </w:r>
          </w:p>
        </w:tc>
        <w:tc>
          <w:tcPr>
            <w:tcW w:w="8580" w:type="dxa"/>
            <w:vAlign w:val="bottom"/>
            <w:gridSpan w:val="2"/>
          </w:tcPr>
          <w:p>
            <w:pPr>
              <w:ind w:left="240"/>
              <w:spacing w:after="0"/>
              <w:rPr>
                <w:sz w:val="20"/>
                <w:szCs w:val="20"/>
                <w:color w:val="auto"/>
              </w:rPr>
            </w:pPr>
            <w:r>
              <w:rPr>
                <w:rFonts w:ascii="Arial" w:cs="Arial" w:eastAsia="Arial" w:hAnsi="Arial"/>
                <w:sz w:val="18"/>
                <w:szCs w:val="18"/>
                <w:color w:val="auto"/>
              </w:rPr>
              <w:t>[*CTR]</w:t>
            </w:r>
          </w:p>
        </w:tc>
        <w:tc>
          <w:tcPr>
            <w:tcW w:w="620" w:type="dxa"/>
            <w:vAlign w:val="bottom"/>
          </w:tcPr>
          <w:p>
            <w:pPr>
              <w:jc w:val="right"/>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AAL-PA-3219-LA-08838</w:t>
            </w:r>
          </w:p>
        </w:tc>
        <w:tc>
          <w:tcPr>
            <w:tcW w:w="8580" w:type="dxa"/>
            <w:vAlign w:val="bottom"/>
            <w:gridSpan w:val="2"/>
          </w:tcPr>
          <w:p>
            <w:pPr>
              <w:ind w:left="240"/>
              <w:spacing w:after="0"/>
              <w:rPr>
                <w:sz w:val="20"/>
                <w:szCs w:val="20"/>
                <w:color w:val="auto"/>
              </w:rPr>
            </w:pPr>
            <w:r>
              <w:rPr>
                <w:rFonts w:ascii="Arial" w:cs="Arial" w:eastAsia="Arial" w:hAnsi="Arial"/>
                <w:sz w:val="18"/>
                <w:szCs w:val="18"/>
                <w:color w:val="auto"/>
              </w:rPr>
              <w:t>[*CTR]</w:t>
            </w:r>
          </w:p>
        </w:tc>
        <w:tc>
          <w:tcPr>
            <w:tcW w:w="620" w:type="dxa"/>
            <w:vAlign w:val="bottom"/>
          </w:tcPr>
          <w:p>
            <w:pPr>
              <w:jc w:val="right"/>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AAL-LA-1106678</w:t>
            </w:r>
          </w:p>
        </w:tc>
        <w:tc>
          <w:tcPr>
            <w:tcW w:w="8580" w:type="dxa"/>
            <w:vAlign w:val="bottom"/>
            <w:gridSpan w:val="2"/>
          </w:tcPr>
          <w:p>
            <w:pPr>
              <w:ind w:left="240"/>
              <w:spacing w:after="0"/>
              <w:rPr>
                <w:sz w:val="20"/>
                <w:szCs w:val="20"/>
                <w:color w:val="auto"/>
              </w:rPr>
            </w:pPr>
            <w:r>
              <w:rPr>
                <w:rFonts w:ascii="Arial" w:cs="Arial" w:eastAsia="Arial" w:hAnsi="Arial"/>
                <w:sz w:val="18"/>
                <w:szCs w:val="18"/>
                <w:color w:val="auto"/>
              </w:rPr>
              <w:t>Assignment Matters</w:t>
            </w:r>
          </w:p>
        </w:tc>
        <w:tc>
          <w:tcPr>
            <w:tcW w:w="620" w:type="dxa"/>
            <w:vAlign w:val="bottom"/>
          </w:tcPr>
          <w:p>
            <w:pPr>
              <w:jc w:val="right"/>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P.A. No. 3219</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SA-4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Table of Contents, Page 3</w:t>
      </w:r>
    </w:p>
    <w:p>
      <w:pPr>
        <w:spacing w:after="0" w:line="32" w:lineRule="exact"/>
        <w:rPr>
          <w:sz w:val="20"/>
          <w:szCs w:val="20"/>
          <w:color w:val="auto"/>
        </w:rPr>
      </w:pPr>
    </w:p>
    <w:p>
      <w:pPr>
        <w:sectPr>
          <w:pgSz w:w="11900" w:h="16838" w:orient="portrait"/>
          <w:cols w:equalWidth="0" w:num="2">
            <w:col w:w="8840" w:space="720"/>
            <w:col w:w="186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BOEING PROPRIETARY</w:t>
      </w:r>
    </w:p>
    <w:p>
      <w:pPr>
        <w:sectPr>
          <w:pgSz w:w="11900" w:h="16838" w:orient="portrait"/>
          <w:cols w:equalWidth="0" w:num="1">
            <w:col w:w="11420"/>
          </w:cols>
          <w:pgMar w:left="240" w:top="274" w:right="239" w:bottom="1440" w:gutter="0" w:footer="0" w:header="0"/>
          <w:type w:val="continuous"/>
        </w:sectPr>
      </w:pPr>
    </w:p>
    <w:p>
      <w:pPr>
        <w:spacing w:after="0" w:line="23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3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Agreement No. PA-03219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787-8 Aircraft Delivery, Description, Price and Advance Payments—Four (4) [*CTR] Aircraft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gridSpan w:val="3"/>
          </w:tcPr>
          <w:p>
            <w:pPr>
              <w:spacing w:after="0"/>
              <w:rPr>
                <w:sz w:val="20"/>
                <w:szCs w:val="20"/>
                <w:color w:val="auto"/>
              </w:rPr>
            </w:pPr>
            <w:r>
              <w:rPr>
                <w:rFonts w:ascii="Arial" w:cs="Arial" w:eastAsia="Arial" w:hAnsi="Arial"/>
                <w:sz w:val="18"/>
                <w:szCs w:val="18"/>
                <w:b w:val="1"/>
                <w:bCs w:val="1"/>
                <w:color w:val="auto"/>
              </w:rPr>
              <w:t>Airframe Model/MTOW:</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787-8</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rPr>
              <w:t>502500 pounds</w:t>
            </w:r>
          </w:p>
        </w:tc>
        <w:tc>
          <w:tcPr>
            <w:tcW w:w="80" w:type="dxa"/>
            <w:vAlign w:val="bottom"/>
          </w:tcPr>
          <w:p>
            <w:pPr>
              <w:spacing w:after="0"/>
              <w:rPr>
                <w:sz w:val="20"/>
                <w:szCs w:val="20"/>
                <w:color w:val="auto"/>
              </w:rPr>
            </w:pPr>
          </w:p>
        </w:tc>
        <w:tc>
          <w:tcPr>
            <w:tcW w:w="2120" w:type="dxa"/>
            <w:vAlign w:val="bottom"/>
            <w:gridSpan w:val="7"/>
          </w:tcPr>
          <w:p>
            <w:pPr>
              <w:spacing w:after="0"/>
              <w:rPr>
                <w:sz w:val="20"/>
                <w:szCs w:val="20"/>
                <w:color w:val="auto"/>
              </w:rPr>
            </w:pPr>
            <w:r>
              <w:rPr>
                <w:rFonts w:ascii="Arial" w:cs="Arial" w:eastAsia="Arial" w:hAnsi="Arial"/>
                <w:sz w:val="18"/>
                <w:szCs w:val="18"/>
                <w:b w:val="1"/>
                <w:bCs w:val="1"/>
                <w:color w:val="auto"/>
              </w:rPr>
              <w:t>Detail Specification:</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gridSpan w:val="3"/>
          </w:tcPr>
          <w:p>
            <w:pPr>
              <w:ind w:left="140"/>
              <w:spacing w:after="0"/>
              <w:rPr>
                <w:sz w:val="20"/>
                <w:szCs w:val="20"/>
                <w:color w:val="auto"/>
              </w:rPr>
            </w:pPr>
            <w:r>
              <w:rPr>
                <w:rFonts w:ascii="Arial" w:cs="Arial" w:eastAsia="Arial" w:hAnsi="Arial"/>
                <w:sz w:val="18"/>
                <w:szCs w:val="18"/>
                <w:color w:val="auto"/>
              </w:rPr>
              <w:t>[*CTR]</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940" w:type="dxa"/>
            <w:vAlign w:val="bottom"/>
            <w:gridSpan w:val="3"/>
          </w:tcPr>
          <w:p>
            <w:pPr>
              <w:spacing w:after="0"/>
              <w:rPr>
                <w:sz w:val="20"/>
                <w:szCs w:val="20"/>
                <w:color w:val="auto"/>
              </w:rPr>
            </w:pPr>
            <w:r>
              <w:rPr>
                <w:rFonts w:ascii="Arial" w:cs="Arial" w:eastAsia="Arial" w:hAnsi="Arial"/>
                <w:sz w:val="18"/>
                <w:szCs w:val="18"/>
                <w:b w:val="1"/>
                <w:bCs w:val="1"/>
                <w:color w:val="auto"/>
              </w:rPr>
              <w:t>Engine Model/Thrust:</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8"/>
          </w:tcPr>
          <w:p>
            <w:pPr>
              <w:ind w:left="160"/>
              <w:spacing w:after="0"/>
              <w:rPr>
                <w:sz w:val="20"/>
                <w:szCs w:val="20"/>
                <w:color w:val="auto"/>
              </w:rPr>
            </w:pPr>
            <w:r>
              <w:rPr>
                <w:rFonts w:ascii="Arial" w:cs="Arial" w:eastAsia="Arial" w:hAnsi="Arial"/>
                <w:sz w:val="18"/>
                <w:szCs w:val="18"/>
                <w:color w:val="auto"/>
              </w:rPr>
              <w:t>GENX-1B70  69800 pounds</w:t>
            </w:r>
          </w:p>
        </w:tc>
        <w:tc>
          <w:tcPr>
            <w:tcW w:w="80" w:type="dxa"/>
            <w:vAlign w:val="bottom"/>
          </w:tcPr>
          <w:p>
            <w:pPr>
              <w:spacing w:after="0"/>
              <w:rPr>
                <w:sz w:val="24"/>
                <w:szCs w:val="24"/>
                <w:color w:val="auto"/>
              </w:rPr>
            </w:pPr>
          </w:p>
        </w:tc>
        <w:tc>
          <w:tcPr>
            <w:tcW w:w="4320" w:type="dxa"/>
            <w:vAlign w:val="bottom"/>
            <w:gridSpan w:val="13"/>
          </w:tcPr>
          <w:p>
            <w:pPr>
              <w:spacing w:after="0"/>
              <w:rPr>
                <w:sz w:val="20"/>
                <w:szCs w:val="20"/>
                <w:color w:val="auto"/>
              </w:rPr>
            </w:pPr>
            <w:r>
              <w:rPr>
                <w:rFonts w:ascii="Arial" w:cs="Arial" w:eastAsia="Arial" w:hAnsi="Arial"/>
                <w:sz w:val="18"/>
                <w:szCs w:val="18"/>
                <w:b w:val="1"/>
                <w:bCs w:val="1"/>
                <w:color w:val="auto"/>
                <w:w w:val="95"/>
              </w:rPr>
              <w:t xml:space="preserve">Airframe Price Base Year/Escalation Formula: </w:t>
            </w:r>
            <w:r>
              <w:rPr>
                <w:rFonts w:ascii="Arial" w:cs="Arial" w:eastAsia="Arial" w:hAnsi="Arial"/>
                <w:sz w:val="18"/>
                <w:szCs w:val="18"/>
                <w:color w:val="auto"/>
                <w:w w:val="95"/>
              </w:rPr>
              <w:t>[*CTR]</w:t>
            </w:r>
          </w:p>
        </w:tc>
        <w:tc>
          <w:tcPr>
            <w:tcW w:w="820" w:type="dxa"/>
            <w:vAlign w:val="bottom"/>
          </w:tcPr>
          <w:p>
            <w:pPr>
              <w:ind w:left="1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324"/>
        </w:trPr>
        <w:tc>
          <w:tcPr>
            <w:tcW w:w="2940" w:type="dxa"/>
            <w:vAlign w:val="bottom"/>
            <w:gridSpan w:val="3"/>
          </w:tcPr>
          <w:p>
            <w:pPr>
              <w:spacing w:after="0"/>
              <w:rPr>
                <w:sz w:val="20"/>
                <w:szCs w:val="20"/>
                <w:color w:val="auto"/>
              </w:rPr>
            </w:pPr>
            <w:r>
              <w:rPr>
                <w:rFonts w:ascii="Arial" w:cs="Arial" w:eastAsia="Arial" w:hAnsi="Arial"/>
                <w:sz w:val="18"/>
                <w:szCs w:val="18"/>
                <w:b w:val="1"/>
                <w:bCs w:val="1"/>
                <w:color w:val="auto"/>
              </w:rPr>
              <w:t>Airframe Price:</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24"/>
                <w:szCs w:val="24"/>
                <w:color w:val="auto"/>
              </w:rPr>
            </w:pPr>
          </w:p>
        </w:tc>
        <w:tc>
          <w:tcPr>
            <w:tcW w:w="3560" w:type="dxa"/>
            <w:vAlign w:val="bottom"/>
            <w:gridSpan w:val="10"/>
          </w:tcPr>
          <w:p>
            <w:pPr>
              <w:spacing w:after="0"/>
              <w:rPr>
                <w:sz w:val="20"/>
                <w:szCs w:val="20"/>
                <w:color w:val="auto"/>
              </w:rPr>
            </w:pPr>
            <w:r>
              <w:rPr>
                <w:rFonts w:ascii="Arial" w:cs="Arial" w:eastAsia="Arial" w:hAnsi="Arial"/>
                <w:sz w:val="18"/>
                <w:szCs w:val="18"/>
                <w:b w:val="1"/>
                <w:bCs w:val="1"/>
                <w:color w:val="auto"/>
                <w:w w:val="93"/>
              </w:rPr>
              <w:t>Engine Price Base Year/Escalation Formula:</w:t>
            </w:r>
          </w:p>
        </w:tc>
        <w:tc>
          <w:tcPr>
            <w:tcW w:w="760" w:type="dxa"/>
            <w:vAlign w:val="bottom"/>
            <w:gridSpan w:val="3"/>
          </w:tcPr>
          <w:p>
            <w:pPr>
              <w:ind w:left="140"/>
              <w:spacing w:after="0"/>
              <w:rPr>
                <w:sz w:val="20"/>
                <w:szCs w:val="20"/>
                <w:color w:val="auto"/>
              </w:rPr>
            </w:pPr>
            <w:r>
              <w:rPr>
                <w:rFonts w:ascii="Arial" w:cs="Arial" w:eastAsia="Arial" w:hAnsi="Arial"/>
                <w:sz w:val="18"/>
                <w:szCs w:val="18"/>
                <w:color w:val="auto"/>
              </w:rPr>
              <w:t>[*CTR]</w:t>
            </w:r>
          </w:p>
        </w:tc>
        <w:tc>
          <w:tcPr>
            <w:tcW w:w="820" w:type="dxa"/>
            <w:vAlign w:val="bottom"/>
          </w:tcPr>
          <w:p>
            <w:pPr>
              <w:ind w:left="1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324"/>
        </w:trPr>
        <w:tc>
          <w:tcPr>
            <w:tcW w:w="2940" w:type="dxa"/>
            <w:vAlign w:val="bottom"/>
            <w:gridSpan w:val="3"/>
          </w:tcPr>
          <w:p>
            <w:pPr>
              <w:spacing w:after="0"/>
              <w:rPr>
                <w:sz w:val="20"/>
                <w:szCs w:val="20"/>
                <w:color w:val="auto"/>
              </w:rPr>
            </w:pPr>
            <w:r>
              <w:rPr>
                <w:rFonts w:ascii="Arial" w:cs="Arial" w:eastAsia="Arial" w:hAnsi="Arial"/>
                <w:sz w:val="18"/>
                <w:szCs w:val="18"/>
                <w:b w:val="1"/>
                <w:bCs w:val="1"/>
                <w:color w:val="auto"/>
              </w:rPr>
              <w:t>Optional Features: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940" w:type="dxa"/>
            <w:vAlign w:val="bottom"/>
            <w:gridSpan w:val="3"/>
          </w:tcPr>
          <w:p>
            <w:pPr>
              <w:spacing w:after="0"/>
              <w:rPr>
                <w:sz w:val="20"/>
                <w:szCs w:val="20"/>
                <w:color w:val="auto"/>
              </w:rPr>
            </w:pPr>
            <w:r>
              <w:rPr>
                <w:rFonts w:ascii="Arial" w:cs="Arial" w:eastAsia="Arial" w:hAnsi="Arial"/>
                <w:sz w:val="18"/>
                <w:szCs w:val="18"/>
                <w:b w:val="1"/>
                <w:bCs w:val="1"/>
                <w:color w:val="auto"/>
                <w:w w:val="95"/>
              </w:rPr>
              <w:t>Sub-Total of Airframe and Features:</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24"/>
                <w:szCs w:val="24"/>
                <w:color w:val="auto"/>
              </w:rPr>
            </w:pPr>
          </w:p>
        </w:tc>
        <w:tc>
          <w:tcPr>
            <w:tcW w:w="204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2"/>
              </w:rPr>
              <w:t>Airframe Escalation Data:</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940" w:type="dxa"/>
            <w:vAlign w:val="bottom"/>
            <w:gridSpan w:val="3"/>
          </w:tcPr>
          <w:p>
            <w:pPr>
              <w:spacing w:after="0"/>
              <w:rPr>
                <w:sz w:val="20"/>
                <w:szCs w:val="20"/>
                <w:color w:val="auto"/>
              </w:rPr>
            </w:pPr>
            <w:r>
              <w:rPr>
                <w:rFonts w:ascii="Arial" w:cs="Arial" w:eastAsia="Arial" w:hAnsi="Arial"/>
                <w:sz w:val="18"/>
                <w:szCs w:val="18"/>
                <w:b w:val="1"/>
                <w:bCs w:val="1"/>
                <w:color w:val="auto"/>
              </w:rPr>
              <w:t>Engine Price (Per Aircraft):</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20"/>
                <w:szCs w:val="20"/>
                <w:color w:val="auto"/>
              </w:rPr>
            </w:pPr>
          </w:p>
        </w:tc>
        <w:tc>
          <w:tcPr>
            <w:tcW w:w="2120" w:type="dxa"/>
            <w:vAlign w:val="bottom"/>
            <w:gridSpan w:val="7"/>
          </w:tcPr>
          <w:p>
            <w:pPr>
              <w:spacing w:after="0"/>
              <w:rPr>
                <w:sz w:val="20"/>
                <w:szCs w:val="20"/>
                <w:color w:val="auto"/>
              </w:rPr>
            </w:pPr>
            <w:r>
              <w:rPr>
                <w:rFonts w:ascii="Arial" w:cs="Arial" w:eastAsia="Arial" w:hAnsi="Arial"/>
                <w:sz w:val="18"/>
                <w:szCs w:val="18"/>
                <w:b w:val="1"/>
                <w:bCs w:val="1"/>
                <w:color w:val="auto"/>
              </w:rPr>
              <w:t>Base Year Index (ECI):</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ind w:left="1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84"/>
        </w:trPr>
        <w:tc>
          <w:tcPr>
            <w:tcW w:w="3580" w:type="dxa"/>
            <w:vAlign w:val="bottom"/>
            <w:gridSpan w:val="5"/>
          </w:tcPr>
          <w:p>
            <w:pPr>
              <w:spacing w:after="0"/>
              <w:rPr>
                <w:sz w:val="20"/>
                <w:szCs w:val="20"/>
                <w:color w:val="auto"/>
              </w:rPr>
            </w:pPr>
            <w:r>
              <w:rPr>
                <w:rFonts w:ascii="Arial" w:cs="Arial" w:eastAsia="Arial" w:hAnsi="Arial"/>
                <w:sz w:val="18"/>
                <w:szCs w:val="18"/>
                <w:b w:val="1"/>
                <w:bCs w:val="1"/>
                <w:color w:val="auto"/>
                <w:w w:val="99"/>
              </w:rPr>
              <w:t>Aircraft Basic Price (Excluding BFE/SPE):</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24"/>
                <w:szCs w:val="24"/>
                <w:color w:val="auto"/>
              </w:rPr>
            </w:pPr>
          </w:p>
        </w:tc>
        <w:tc>
          <w:tcPr>
            <w:tcW w:w="2120" w:type="dxa"/>
            <w:vAlign w:val="bottom"/>
            <w:gridSpan w:val="7"/>
          </w:tcPr>
          <w:p>
            <w:pPr>
              <w:spacing w:after="0"/>
              <w:rPr>
                <w:sz w:val="20"/>
                <w:szCs w:val="20"/>
                <w:color w:val="auto"/>
              </w:rPr>
            </w:pPr>
            <w:r>
              <w:rPr>
                <w:rFonts w:ascii="Arial" w:cs="Arial" w:eastAsia="Arial" w:hAnsi="Arial"/>
                <w:sz w:val="18"/>
                <w:szCs w:val="18"/>
                <w:b w:val="1"/>
                <w:bCs w:val="1"/>
                <w:color w:val="auto"/>
              </w:rPr>
              <w:t>Base Year Index (CPI):</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ind w:left="1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0"/>
        </w:trPr>
        <w:tc>
          <w:tcPr>
            <w:tcW w:w="3580" w:type="dxa"/>
            <w:vAlign w:val="bottom"/>
            <w:gridSpan w:val="5"/>
            <w:vMerge w:val="restart"/>
          </w:tcPr>
          <w:p>
            <w:pPr>
              <w:spacing w:after="0"/>
              <w:rPr>
                <w:sz w:val="20"/>
                <w:szCs w:val="20"/>
                <w:color w:val="auto"/>
              </w:rPr>
            </w:pPr>
            <w:r>
              <w:rPr>
                <w:rFonts w:ascii="Arial" w:cs="Arial" w:eastAsia="Arial" w:hAnsi="Arial"/>
                <w:sz w:val="18"/>
                <w:szCs w:val="18"/>
                <w:b w:val="1"/>
                <w:bCs w:val="1"/>
                <w:color w:val="auto"/>
                <w:w w:val="93"/>
              </w:rPr>
              <w:t>Buyer Furnished Equipment (BFE) Estimate:</w:t>
            </w: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89"/>
              </w:rPr>
              <w:t>Engine Escalation Data:</w:t>
            </w:r>
          </w:p>
        </w:tc>
        <w:tc>
          <w:tcPr>
            <w:tcW w:w="260" w:type="dxa"/>
            <w:vAlign w:val="bottom"/>
            <w:gridSpan w:val="3"/>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3580" w:type="dxa"/>
            <w:vAlign w:val="bottom"/>
            <w:gridSpan w:val="5"/>
            <w:vMerge w:val="continue"/>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24"/>
                <w:szCs w:val="24"/>
                <w:color w:val="auto"/>
              </w:rPr>
            </w:pPr>
          </w:p>
        </w:tc>
        <w:tc>
          <w:tcPr>
            <w:tcW w:w="1860" w:type="dxa"/>
            <w:vAlign w:val="bottom"/>
            <w:tcBorders>
              <w:bottom w:val="single" w:sz="8" w:color="auto"/>
            </w:tcBorders>
            <w:gridSpan w:val="4"/>
            <w:vMerge w:val="continue"/>
          </w:tcPr>
          <w:p>
            <w:pPr>
              <w:spacing w:after="0"/>
              <w:rPr>
                <w:sz w:val="24"/>
                <w:szCs w:val="24"/>
                <w:color w:val="auto"/>
              </w:rPr>
            </w:pPr>
          </w:p>
        </w:tc>
        <w:tc>
          <w:tcPr>
            <w:tcW w:w="260" w:type="dxa"/>
            <w:vAlign w:val="bottom"/>
            <w:gridSpan w:val="3"/>
            <w:vMerge w:val="continue"/>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400" w:type="dxa"/>
            <w:vAlign w:val="bottom"/>
            <w:gridSpan w:val="7"/>
          </w:tcPr>
          <w:p>
            <w:pPr>
              <w:spacing w:after="0"/>
              <w:rPr>
                <w:sz w:val="20"/>
                <w:szCs w:val="20"/>
                <w:color w:val="auto"/>
              </w:rPr>
            </w:pPr>
            <w:r>
              <w:rPr>
                <w:rFonts w:ascii="Arial" w:cs="Arial" w:eastAsia="Arial" w:hAnsi="Arial"/>
                <w:sz w:val="18"/>
                <w:szCs w:val="18"/>
                <w:b w:val="1"/>
                <w:bCs w:val="1"/>
                <w:color w:val="auto"/>
              </w:rPr>
              <w:t>//Seller Purchased Equipment (SPE)/In-Flight Ente</w:t>
            </w:r>
          </w:p>
        </w:tc>
        <w:tc>
          <w:tcPr>
            <w:tcW w:w="48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18"/>
                <w:szCs w:val="18"/>
                <w:color w:val="auto"/>
              </w:rPr>
            </w:pPr>
          </w:p>
        </w:tc>
        <w:tc>
          <w:tcPr>
            <w:tcW w:w="2120" w:type="dxa"/>
            <w:vAlign w:val="bottom"/>
            <w:gridSpan w:val="7"/>
          </w:tcPr>
          <w:p>
            <w:pPr>
              <w:spacing w:after="0"/>
              <w:rPr>
                <w:sz w:val="20"/>
                <w:szCs w:val="20"/>
                <w:color w:val="auto"/>
              </w:rPr>
            </w:pPr>
            <w:r>
              <w:rPr>
                <w:rFonts w:ascii="Arial" w:cs="Arial" w:eastAsia="Arial" w:hAnsi="Arial"/>
                <w:sz w:val="18"/>
                <w:szCs w:val="18"/>
                <w:b w:val="1"/>
                <w:bCs w:val="1"/>
                <w:color w:val="auto"/>
              </w:rPr>
              <w:t>Base Year Index (ECI):</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ind w:left="1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gridSpan w:val="7"/>
          </w:tcPr>
          <w:p>
            <w:pPr>
              <w:spacing w:after="0"/>
              <w:rPr>
                <w:sz w:val="20"/>
                <w:szCs w:val="20"/>
                <w:color w:val="auto"/>
              </w:rPr>
            </w:pPr>
            <w:r>
              <w:rPr>
                <w:rFonts w:ascii="Arial" w:cs="Arial" w:eastAsia="Arial" w:hAnsi="Arial"/>
                <w:sz w:val="18"/>
                <w:szCs w:val="18"/>
                <w:b w:val="1"/>
                <w:bCs w:val="1"/>
                <w:color w:val="auto"/>
              </w:rPr>
              <w:t>Base Year Index (CPI):</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ind w:left="1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324"/>
        </w:trPr>
        <w:tc>
          <w:tcPr>
            <w:tcW w:w="2940" w:type="dxa"/>
            <w:vAlign w:val="bottom"/>
            <w:gridSpan w:val="3"/>
          </w:tcPr>
          <w:p>
            <w:pPr>
              <w:spacing w:after="0"/>
              <w:rPr>
                <w:sz w:val="20"/>
                <w:szCs w:val="20"/>
                <w:color w:val="auto"/>
              </w:rPr>
            </w:pPr>
            <w:r>
              <w:rPr>
                <w:rFonts w:ascii="Arial" w:cs="Arial" w:eastAsia="Arial" w:hAnsi="Arial"/>
                <w:sz w:val="18"/>
                <w:szCs w:val="18"/>
                <w:b w:val="1"/>
                <w:bCs w:val="1"/>
                <w:color w:val="auto"/>
              </w:rPr>
              <w:t>Deposit per Aircraft:</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gridSpan w:val="5"/>
          </w:tcPr>
          <w:p>
            <w:pPr>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Escalation</w:t>
            </w:r>
          </w:p>
        </w:tc>
        <w:tc>
          <w:tcPr>
            <w:tcW w:w="4220" w:type="dxa"/>
            <w:vAlign w:val="bottom"/>
            <w:gridSpan w:val="12"/>
          </w:tcPr>
          <w:p>
            <w:pPr>
              <w:ind w:left="40"/>
              <w:spacing w:after="0"/>
              <w:rPr>
                <w:sz w:val="20"/>
                <w:szCs w:val="20"/>
                <w:color w:val="auto"/>
              </w:rPr>
            </w:pPr>
            <w:r>
              <w:rPr>
                <w:rFonts w:ascii="Arial" w:cs="Arial" w:eastAsia="Arial" w:hAnsi="Arial"/>
                <w:sz w:val="14"/>
                <w:szCs w:val="14"/>
                <w:b w:val="1"/>
                <w:bCs w:val="1"/>
                <w:color w:val="auto"/>
                <w:w w:val="95"/>
              </w:rPr>
              <w:t>Advance Payment Per Aircraft (Amts. Due/Mos. Prior to Delivery):</w:t>
            </w:r>
          </w:p>
        </w:tc>
        <w:tc>
          <w:tcPr>
            <w:tcW w:w="0" w:type="dxa"/>
            <w:vAlign w:val="bottom"/>
          </w:tcPr>
          <w:p>
            <w:pPr>
              <w:spacing w:after="0"/>
              <w:rPr>
                <w:sz w:val="1"/>
                <w:szCs w:val="1"/>
                <w:color w:val="auto"/>
              </w:rPr>
            </w:pPr>
          </w:p>
        </w:tc>
      </w:tr>
      <w:tr>
        <w:trPr>
          <w:trHeight w:val="27"/>
        </w:trPr>
        <w:tc>
          <w:tcPr>
            <w:tcW w:w="2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Delivery</w:t>
            </w:r>
          </w:p>
        </w:tc>
        <w:tc>
          <w:tcPr>
            <w:tcW w:w="640" w:type="dxa"/>
            <w:vAlign w:val="bottom"/>
            <w:gridSpan w:val="2"/>
            <w:vMerge w:val="restart"/>
          </w:tcPr>
          <w:p>
            <w:pPr>
              <w:jc w:val="center"/>
              <w:ind w:right="120"/>
              <w:spacing w:after="0" w:line="113" w:lineRule="exact"/>
              <w:rPr>
                <w:sz w:val="20"/>
                <w:szCs w:val="20"/>
                <w:color w:val="auto"/>
              </w:rPr>
            </w:pPr>
            <w:r>
              <w:rPr>
                <w:rFonts w:ascii="Arial" w:cs="Arial" w:eastAsia="Arial" w:hAnsi="Arial"/>
                <w:sz w:val="13"/>
                <w:szCs w:val="13"/>
                <w:b w:val="1"/>
                <w:bCs w:val="1"/>
                <w:color w:val="auto"/>
              </w:rPr>
              <w:t>Number</w:t>
            </w:r>
          </w:p>
        </w:tc>
        <w:tc>
          <w:tcPr>
            <w:tcW w:w="820" w:type="dxa"/>
            <w:vAlign w:val="bottom"/>
            <w:gridSpan w:val="2"/>
            <w:vMerge w:val="restart"/>
          </w:tcPr>
          <w:p>
            <w:pPr>
              <w:jc w:val="center"/>
              <w:ind w:right="140"/>
              <w:spacing w:after="0" w:line="113" w:lineRule="exact"/>
              <w:rPr>
                <w:sz w:val="20"/>
                <w:szCs w:val="20"/>
                <w:color w:val="auto"/>
              </w:rPr>
            </w:pPr>
            <w:r>
              <w:rPr>
                <w:rFonts w:ascii="Arial" w:cs="Arial" w:eastAsia="Arial" w:hAnsi="Arial"/>
                <w:sz w:val="13"/>
                <w:szCs w:val="13"/>
                <w:b w:val="1"/>
                <w:bCs w:val="1"/>
                <w:color w:val="auto"/>
                <w:w w:val="98"/>
              </w:rPr>
              <w:t>Escalation</w:t>
            </w:r>
          </w:p>
        </w:tc>
        <w:tc>
          <w:tcPr>
            <w:tcW w:w="780" w:type="dxa"/>
            <w:vAlign w:val="bottom"/>
            <w:gridSpan w:val="3"/>
            <w:vMerge w:val="restart"/>
          </w:tcPr>
          <w:p>
            <w:pPr>
              <w:jc w:val="center"/>
              <w:ind w:right="140"/>
              <w:spacing w:after="0" w:line="113" w:lineRule="exact"/>
              <w:rPr>
                <w:sz w:val="20"/>
                <w:szCs w:val="20"/>
                <w:color w:val="auto"/>
              </w:rPr>
            </w:pPr>
            <w:r>
              <w:rPr>
                <w:rFonts w:ascii="Arial" w:cs="Arial" w:eastAsia="Arial" w:hAnsi="Arial"/>
                <w:sz w:val="13"/>
                <w:szCs w:val="13"/>
                <w:b w:val="1"/>
                <w:bCs w:val="1"/>
                <w:color w:val="auto"/>
                <w:w w:val="98"/>
              </w:rPr>
              <w:t>Escalation</w:t>
            </w:r>
          </w:p>
        </w:tc>
        <w:tc>
          <w:tcPr>
            <w:tcW w:w="1020" w:type="dxa"/>
            <w:vAlign w:val="bottom"/>
            <w:gridSpan w:val="3"/>
            <w:vMerge w:val="restart"/>
          </w:tcPr>
          <w:p>
            <w:pPr>
              <w:jc w:val="center"/>
              <w:ind w:right="140"/>
              <w:spacing w:after="0" w:line="113" w:lineRule="exact"/>
              <w:rPr>
                <w:sz w:val="20"/>
                <w:szCs w:val="20"/>
                <w:color w:val="auto"/>
              </w:rPr>
            </w:pPr>
            <w:r>
              <w:rPr>
                <w:rFonts w:ascii="Arial" w:cs="Arial" w:eastAsia="Arial" w:hAnsi="Arial"/>
                <w:sz w:val="13"/>
                <w:szCs w:val="13"/>
                <w:b w:val="1"/>
                <w:bCs w:val="1"/>
                <w:color w:val="auto"/>
              </w:rPr>
              <w:t>Manufacturer</w:t>
            </w:r>
          </w:p>
        </w:tc>
        <w:tc>
          <w:tcPr>
            <w:tcW w:w="1000" w:type="dxa"/>
            <w:vAlign w:val="bottom"/>
            <w:gridSpan w:val="3"/>
            <w:vMerge w:val="restart"/>
          </w:tcPr>
          <w:p>
            <w:pPr>
              <w:jc w:val="center"/>
              <w:ind w:right="140"/>
              <w:spacing w:after="0" w:line="113" w:lineRule="exact"/>
              <w:rPr>
                <w:sz w:val="20"/>
                <w:szCs w:val="20"/>
                <w:color w:val="auto"/>
              </w:rPr>
            </w:pPr>
            <w:r>
              <w:rPr>
                <w:rFonts w:ascii="Arial" w:cs="Arial" w:eastAsia="Arial" w:hAnsi="Arial"/>
                <w:sz w:val="13"/>
                <w:szCs w:val="13"/>
                <w:b w:val="1"/>
                <w:bCs w:val="1"/>
                <w:color w:val="auto"/>
                <w:w w:val="99"/>
              </w:rPr>
              <w:t>Estimate Adv</w:t>
            </w: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2940" w:type="dxa"/>
            <w:vAlign w:val="bottom"/>
            <w:gridSpan w:val="3"/>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940" w:type="dxa"/>
            <w:vAlign w:val="bottom"/>
            <w:gridSpan w:val="3"/>
            <w:vMerge w:val="continue"/>
          </w:tcPr>
          <w:p>
            <w:pPr>
              <w:spacing w:after="0"/>
              <w:rPr>
                <w:sz w:val="12"/>
                <w:szCs w:val="12"/>
                <w:color w:val="auto"/>
              </w:rPr>
            </w:pPr>
          </w:p>
        </w:tc>
        <w:tc>
          <w:tcPr>
            <w:tcW w:w="64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0"/>
              </w:rPr>
              <w:t>of</w:t>
            </w:r>
          </w:p>
        </w:tc>
        <w:tc>
          <w:tcPr>
            <w:tcW w:w="82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3"/>
              </w:rPr>
              <w:t>Factor</w:t>
            </w:r>
          </w:p>
        </w:tc>
        <w:tc>
          <w:tcPr>
            <w:tcW w:w="780" w:type="dxa"/>
            <w:vAlign w:val="bottom"/>
            <w:gridSpan w:val="3"/>
          </w:tcPr>
          <w:p>
            <w:pPr>
              <w:jc w:val="center"/>
              <w:ind w:right="140"/>
              <w:spacing w:after="0" w:line="145" w:lineRule="exact"/>
              <w:rPr>
                <w:sz w:val="20"/>
                <w:szCs w:val="20"/>
                <w:color w:val="auto"/>
              </w:rPr>
            </w:pPr>
            <w:r>
              <w:rPr>
                <w:rFonts w:ascii="Arial" w:cs="Arial" w:eastAsia="Arial" w:hAnsi="Arial"/>
                <w:sz w:val="14"/>
                <w:szCs w:val="14"/>
                <w:b w:val="1"/>
                <w:bCs w:val="1"/>
                <w:color w:val="auto"/>
                <w:w w:val="93"/>
              </w:rPr>
              <w:t>Factor</w:t>
            </w:r>
          </w:p>
        </w:tc>
        <w:tc>
          <w:tcPr>
            <w:tcW w:w="1020" w:type="dxa"/>
            <w:vAlign w:val="bottom"/>
            <w:gridSpan w:val="3"/>
          </w:tcPr>
          <w:p>
            <w:pPr>
              <w:jc w:val="center"/>
              <w:ind w:right="140"/>
              <w:spacing w:after="0" w:line="145" w:lineRule="exact"/>
              <w:rPr>
                <w:sz w:val="20"/>
                <w:szCs w:val="20"/>
                <w:color w:val="auto"/>
              </w:rPr>
            </w:pPr>
            <w:r>
              <w:rPr>
                <w:rFonts w:ascii="Arial" w:cs="Arial" w:eastAsia="Arial" w:hAnsi="Arial"/>
                <w:sz w:val="14"/>
                <w:szCs w:val="14"/>
                <w:b w:val="1"/>
                <w:bCs w:val="1"/>
                <w:color w:val="auto"/>
                <w:w w:val="94"/>
              </w:rPr>
              <w:t>Serial</w:t>
            </w:r>
          </w:p>
        </w:tc>
        <w:tc>
          <w:tcPr>
            <w:tcW w:w="1000" w:type="dxa"/>
            <w:vAlign w:val="bottom"/>
            <w:gridSpan w:val="3"/>
          </w:tcPr>
          <w:p>
            <w:pPr>
              <w:jc w:val="center"/>
              <w:ind w:right="140"/>
              <w:spacing w:after="0" w:line="145" w:lineRule="exact"/>
              <w:rPr>
                <w:sz w:val="20"/>
                <w:szCs w:val="20"/>
                <w:color w:val="auto"/>
              </w:rPr>
            </w:pPr>
            <w:r>
              <w:rPr>
                <w:rFonts w:ascii="Arial" w:cs="Arial" w:eastAsia="Arial" w:hAnsi="Arial"/>
                <w:sz w:val="14"/>
                <w:szCs w:val="14"/>
                <w:b w:val="1"/>
                <w:bCs w:val="1"/>
                <w:color w:val="auto"/>
                <w:w w:val="89"/>
              </w:rPr>
              <w:t>Payment Base</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0" w:type="dxa"/>
            <w:vAlign w:val="bottom"/>
            <w:tcBorders>
              <w:bottom w:val="single" w:sz="8" w:color="auto"/>
            </w:tcBorders>
          </w:tcPr>
          <w:p>
            <w:pPr>
              <w:spacing w:after="0" w:line="115" w:lineRule="exact"/>
              <w:rPr>
                <w:sz w:val="20"/>
                <w:szCs w:val="20"/>
                <w:color w:val="auto"/>
              </w:rPr>
            </w:pPr>
            <w:r>
              <w:rPr>
                <w:rFonts w:ascii="Arial" w:cs="Arial" w:eastAsia="Arial" w:hAnsi="Arial"/>
                <w:sz w:val="13"/>
                <w:szCs w:val="13"/>
                <w:b w:val="1"/>
                <w:bCs w:val="1"/>
                <w:color w:val="auto"/>
              </w:rPr>
              <w:t>Date</w:t>
            </w:r>
          </w:p>
        </w:tc>
        <w:tc>
          <w:tcPr>
            <w:tcW w:w="2420" w:type="dxa"/>
            <w:vAlign w:val="bottom"/>
          </w:tcPr>
          <w:p>
            <w:pPr>
              <w:spacing w:after="0"/>
              <w:rPr>
                <w:sz w:val="11"/>
                <w:szCs w:val="11"/>
                <w:color w:val="auto"/>
              </w:rPr>
            </w:pPr>
          </w:p>
        </w:tc>
        <w:tc>
          <w:tcPr>
            <w:tcW w:w="64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rPr>
              <w:t>Aircraft</w:t>
            </w:r>
          </w:p>
        </w:tc>
        <w:tc>
          <w:tcPr>
            <w:tcW w:w="82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rPr>
              <w:t>(Airframe)</w:t>
            </w:r>
          </w:p>
        </w:tc>
        <w:tc>
          <w:tcPr>
            <w:tcW w:w="78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92"/>
              </w:rPr>
              <w:t>(Engine)</w:t>
            </w:r>
          </w:p>
        </w:tc>
        <w:tc>
          <w:tcPr>
            <w:tcW w:w="102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98"/>
              </w:rPr>
              <w:t>Number</w:t>
            </w:r>
          </w:p>
        </w:tc>
        <w:tc>
          <w:tcPr>
            <w:tcW w:w="100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93"/>
              </w:rPr>
              <w:t>Price Per A/P</w:t>
            </w:r>
          </w:p>
        </w:tc>
        <w:tc>
          <w:tcPr>
            <w:tcW w:w="1200" w:type="dxa"/>
            <w:vAlign w:val="bottom"/>
            <w:gridSpan w:val="5"/>
          </w:tcPr>
          <w:p>
            <w:pPr>
              <w:jc w:val="center"/>
              <w:ind w:right="280"/>
              <w:spacing w:after="0" w:line="129" w:lineRule="exact"/>
              <w:rPr>
                <w:sz w:val="20"/>
                <w:szCs w:val="20"/>
                <w:color w:val="auto"/>
              </w:rPr>
            </w:pPr>
            <w:r>
              <w:rPr>
                <w:rFonts w:ascii="Arial" w:cs="Arial" w:eastAsia="Arial" w:hAnsi="Arial"/>
                <w:sz w:val="14"/>
                <w:szCs w:val="14"/>
                <w:color w:val="auto"/>
              </w:rPr>
              <w:t>[*CTR]</w:t>
            </w:r>
          </w:p>
        </w:tc>
        <w:tc>
          <w:tcPr>
            <w:tcW w:w="1000" w:type="dxa"/>
            <w:vAlign w:val="bottom"/>
            <w:gridSpan w:val="2"/>
          </w:tcPr>
          <w:p>
            <w:pPr>
              <w:jc w:val="center"/>
              <w:ind w:right="280"/>
              <w:spacing w:after="0" w:line="129" w:lineRule="exact"/>
              <w:rPr>
                <w:sz w:val="20"/>
                <w:szCs w:val="20"/>
                <w:color w:val="auto"/>
              </w:rPr>
            </w:pPr>
            <w:r>
              <w:rPr>
                <w:rFonts w:ascii="Arial" w:cs="Arial" w:eastAsia="Arial" w:hAnsi="Arial"/>
                <w:sz w:val="14"/>
                <w:szCs w:val="14"/>
                <w:color w:val="auto"/>
              </w:rPr>
              <w:t>[*CTR]</w:t>
            </w:r>
          </w:p>
        </w:tc>
        <w:tc>
          <w:tcPr>
            <w:tcW w:w="1200" w:type="dxa"/>
            <w:vAlign w:val="bottom"/>
            <w:gridSpan w:val="4"/>
          </w:tcPr>
          <w:p>
            <w:pPr>
              <w:jc w:val="center"/>
              <w:ind w:right="300"/>
              <w:spacing w:after="0" w:line="129" w:lineRule="exact"/>
              <w:rPr>
                <w:sz w:val="20"/>
                <w:szCs w:val="20"/>
                <w:color w:val="auto"/>
              </w:rPr>
            </w:pPr>
            <w:r>
              <w:rPr>
                <w:rFonts w:ascii="Arial" w:cs="Arial" w:eastAsia="Arial" w:hAnsi="Arial"/>
                <w:sz w:val="14"/>
                <w:szCs w:val="14"/>
                <w:color w:val="auto"/>
              </w:rPr>
              <w:t>[*CTR]</w:t>
            </w:r>
          </w:p>
        </w:tc>
        <w:tc>
          <w:tcPr>
            <w:tcW w:w="820" w:type="dxa"/>
            <w:vAlign w:val="bottom"/>
          </w:tcPr>
          <w:p>
            <w:pPr>
              <w:ind w:left="140"/>
              <w:spacing w:after="0" w:line="129" w:lineRule="exact"/>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[*CTR]-2015</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right="14"/>
              <w:spacing w:after="0"/>
              <w:rPr>
                <w:sz w:val="20"/>
                <w:szCs w:val="20"/>
                <w:color w:val="auto"/>
              </w:rPr>
            </w:pPr>
            <w:r>
              <w:rPr>
                <w:rFonts w:ascii="Arial" w:cs="Arial" w:eastAsia="Arial" w:hAnsi="Arial"/>
                <w:sz w:val="18"/>
                <w:szCs w:val="18"/>
                <w:color w:val="auto"/>
              </w:rPr>
              <w:t>[*CTR]</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[*CTR]</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[*CTR]-2016</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780" w:type="dxa"/>
            <w:vAlign w:val="bottom"/>
            <w:gridSpan w:val="3"/>
          </w:tcPr>
          <w:p>
            <w:pPr>
              <w:jc w:val="center"/>
              <w:ind w:right="140"/>
              <w:spacing w:after="0"/>
              <w:rPr>
                <w:sz w:val="20"/>
                <w:szCs w:val="20"/>
                <w:color w:val="auto"/>
              </w:rPr>
            </w:pPr>
            <w:r>
              <w:rPr>
                <w:rFonts w:ascii="Arial" w:cs="Arial" w:eastAsia="Arial" w:hAnsi="Arial"/>
                <w:sz w:val="18"/>
                <w:szCs w:val="18"/>
                <w:color w:val="auto"/>
              </w:rPr>
              <w:t>[*CTR]</w:t>
            </w:r>
          </w:p>
        </w:tc>
        <w:tc>
          <w:tcPr>
            <w:tcW w:w="1020" w:type="dxa"/>
            <w:vAlign w:val="bottom"/>
            <w:gridSpan w:val="3"/>
          </w:tcPr>
          <w:p>
            <w:pPr>
              <w:jc w:val="center"/>
              <w:ind w:right="140"/>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5"/>
          </w:tcPr>
          <w:p>
            <w:pPr>
              <w:jc w:val="center"/>
              <w:ind w:right="280"/>
              <w:spacing w:after="0"/>
              <w:rPr>
                <w:sz w:val="20"/>
                <w:szCs w:val="20"/>
                <w:color w:val="auto"/>
              </w:rPr>
            </w:pPr>
            <w:r>
              <w:rPr>
                <w:rFonts w:ascii="Arial" w:cs="Arial" w:eastAsia="Arial" w:hAnsi="Arial"/>
                <w:sz w:val="18"/>
                <w:szCs w:val="18"/>
                <w:color w:val="auto"/>
              </w:rPr>
              <w:t>[*CTR]</w:t>
            </w: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color w:val="auto"/>
              </w:rPr>
              <w:t>[*CTR]</w:t>
            </w:r>
          </w:p>
        </w:tc>
        <w:tc>
          <w:tcPr>
            <w:tcW w:w="1200" w:type="dxa"/>
            <w:vAlign w:val="bottom"/>
            <w:gridSpan w:val="4"/>
          </w:tcPr>
          <w:p>
            <w:pPr>
              <w:jc w:val="center"/>
              <w:ind w:right="280"/>
              <w:spacing w:after="0"/>
              <w:rPr>
                <w:sz w:val="20"/>
                <w:szCs w:val="20"/>
                <w:color w:val="auto"/>
              </w:rPr>
            </w:pPr>
            <w:r>
              <w:rPr>
                <w:rFonts w:ascii="Arial" w:cs="Arial" w:eastAsia="Arial" w:hAnsi="Arial"/>
                <w:sz w:val="18"/>
                <w:szCs w:val="18"/>
                <w:color w:val="auto"/>
              </w:rPr>
              <w:t>[*CTR]</w:t>
            </w:r>
          </w:p>
        </w:tc>
        <w:tc>
          <w:tcPr>
            <w:tcW w:w="820" w:type="dxa"/>
            <w:vAlign w:val="bottom"/>
          </w:tcPr>
          <w:p>
            <w:pPr>
              <w:ind w:left="8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[*CTR]-2016</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[*CTR]</w:t>
            </w:r>
          </w:p>
        </w:tc>
        <w:tc>
          <w:tcPr>
            <w:tcW w:w="78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rPr>
              <w:t>[*CTR]</w:t>
            </w:r>
          </w:p>
        </w:tc>
        <w:tc>
          <w:tcPr>
            <w:tcW w:w="102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rPr>
              <w:t>[*CTR]</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5"/>
            <w:shd w:val="clear" w:color="auto" w:fill="CCEEFF"/>
          </w:tcPr>
          <w:p>
            <w:pPr>
              <w:jc w:val="center"/>
              <w:ind w:right="280"/>
              <w:spacing w:after="0"/>
              <w:rPr>
                <w:sz w:val="20"/>
                <w:szCs w:val="20"/>
                <w:color w:val="auto"/>
              </w:rPr>
            </w:pPr>
            <w:r>
              <w:rPr>
                <w:rFonts w:ascii="Arial" w:cs="Arial" w:eastAsia="Arial" w:hAnsi="Arial"/>
                <w:sz w:val="18"/>
                <w:szCs w:val="18"/>
                <w:color w:val="auto"/>
              </w:rPr>
              <w:t>[*CTR]</w:t>
            </w:r>
          </w:p>
        </w:tc>
        <w:tc>
          <w:tcPr>
            <w:tcW w:w="10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rPr>
              <w:t>[*CTR]</w:t>
            </w:r>
          </w:p>
        </w:tc>
        <w:tc>
          <w:tcPr>
            <w:tcW w:w="1200" w:type="dxa"/>
            <w:vAlign w:val="bottom"/>
            <w:gridSpan w:val="4"/>
            <w:shd w:val="clear" w:color="auto" w:fill="CCEEFF"/>
          </w:tcPr>
          <w:p>
            <w:pPr>
              <w:jc w:val="center"/>
              <w:ind w:right="280"/>
              <w:spacing w:after="0"/>
              <w:rPr>
                <w:sz w:val="20"/>
                <w:szCs w:val="20"/>
                <w:color w:val="auto"/>
              </w:rPr>
            </w:pPr>
            <w:r>
              <w:rPr>
                <w:rFonts w:ascii="Arial" w:cs="Arial" w:eastAsia="Arial" w:hAnsi="Arial"/>
                <w:sz w:val="18"/>
                <w:szCs w:val="18"/>
                <w:color w:val="auto"/>
              </w:rPr>
              <w:t>[*CTR]</w:t>
            </w:r>
          </w:p>
        </w:tc>
        <w:tc>
          <w:tcPr>
            <w:tcW w:w="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[*CTR]-2016</w:t>
            </w:r>
          </w:p>
        </w:tc>
        <w:tc>
          <w:tcPr>
            <w:tcW w:w="5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0"/>
                <w:szCs w:val="20"/>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780" w:type="dxa"/>
            <w:vAlign w:val="bottom"/>
            <w:gridSpan w:val="3"/>
          </w:tcPr>
          <w:p>
            <w:pPr>
              <w:jc w:val="center"/>
              <w:ind w:right="140"/>
              <w:spacing w:after="0"/>
              <w:rPr>
                <w:sz w:val="20"/>
                <w:szCs w:val="20"/>
                <w:color w:val="auto"/>
              </w:rPr>
            </w:pPr>
            <w:r>
              <w:rPr>
                <w:rFonts w:ascii="Arial" w:cs="Arial" w:eastAsia="Arial" w:hAnsi="Arial"/>
                <w:sz w:val="18"/>
                <w:szCs w:val="18"/>
                <w:color w:val="auto"/>
              </w:rPr>
              <w:t>[*CTR]</w:t>
            </w:r>
          </w:p>
        </w:tc>
        <w:tc>
          <w:tcPr>
            <w:tcW w:w="1020" w:type="dxa"/>
            <w:vAlign w:val="bottom"/>
            <w:gridSpan w:val="3"/>
          </w:tcPr>
          <w:p>
            <w:pPr>
              <w:jc w:val="center"/>
              <w:ind w:right="140"/>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color w:val="auto"/>
              </w:rPr>
              <w:t>[*CTR]</w:t>
            </w:r>
          </w:p>
        </w:tc>
        <w:tc>
          <w:tcPr>
            <w:tcW w:w="1200" w:type="dxa"/>
            <w:vAlign w:val="bottom"/>
            <w:gridSpan w:val="5"/>
          </w:tcPr>
          <w:p>
            <w:pPr>
              <w:jc w:val="center"/>
              <w:ind w:right="280"/>
              <w:spacing w:after="0"/>
              <w:rPr>
                <w:sz w:val="20"/>
                <w:szCs w:val="20"/>
                <w:color w:val="auto"/>
              </w:rPr>
            </w:pPr>
            <w:r>
              <w:rPr>
                <w:rFonts w:ascii="Arial" w:cs="Arial" w:eastAsia="Arial" w:hAnsi="Arial"/>
                <w:sz w:val="18"/>
                <w:szCs w:val="18"/>
                <w:color w:val="auto"/>
              </w:rPr>
              <w:t>[*CTR]</w:t>
            </w: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color w:val="auto"/>
              </w:rPr>
              <w:t>[*CTR]</w:t>
            </w:r>
          </w:p>
        </w:tc>
        <w:tc>
          <w:tcPr>
            <w:tcW w:w="1200" w:type="dxa"/>
            <w:vAlign w:val="bottom"/>
            <w:gridSpan w:val="4"/>
          </w:tcPr>
          <w:p>
            <w:pPr>
              <w:jc w:val="center"/>
              <w:ind w:right="280"/>
              <w:spacing w:after="0"/>
              <w:rPr>
                <w:sz w:val="20"/>
                <w:szCs w:val="20"/>
                <w:color w:val="auto"/>
              </w:rPr>
            </w:pPr>
            <w:r>
              <w:rPr>
                <w:rFonts w:ascii="Arial" w:cs="Arial" w:eastAsia="Arial" w:hAnsi="Arial"/>
                <w:sz w:val="18"/>
                <w:szCs w:val="18"/>
                <w:color w:val="auto"/>
              </w:rPr>
              <w:t>[*CTR]</w:t>
            </w:r>
          </w:p>
        </w:tc>
        <w:tc>
          <w:tcPr>
            <w:tcW w:w="820" w:type="dxa"/>
            <w:vAlign w:val="bottom"/>
          </w:tcPr>
          <w:p>
            <w:pPr>
              <w:ind w:left="8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Total: 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AAL-PA-03219</w:t>
      </w:r>
    </w:p>
    <w:p>
      <w:pPr>
        <w:spacing w:after="0" w:line="23" w:lineRule="exact"/>
        <w:rPr>
          <w:sz w:val="20"/>
          <w:szCs w:val="20"/>
          <w:color w:val="auto"/>
        </w:rPr>
      </w:pPr>
    </w:p>
    <w:p>
      <w:pPr>
        <w:jc w:val="right"/>
        <w:ind w:right="4680"/>
        <w:spacing w:after="0" w:line="266" w:lineRule="auto"/>
        <w:rPr>
          <w:sz w:val="20"/>
          <w:szCs w:val="20"/>
          <w:color w:val="auto"/>
        </w:rPr>
      </w:pPr>
      <w:r>
        <w:rPr>
          <w:rFonts w:ascii="Arial" w:cs="Arial" w:eastAsia="Arial" w:hAnsi="Arial"/>
          <w:sz w:val="18"/>
          <w:szCs w:val="18"/>
          <w:color w:val="auto"/>
        </w:rPr>
        <w:t xml:space="preserve">69079-1F.TXT                                              </w:t>
      </w:r>
      <w:r>
        <w:rPr>
          <w:rFonts w:ascii="Arial" w:cs="Arial" w:eastAsia="Arial" w:hAnsi="Arial"/>
          <w:sz w:val="18"/>
          <w:szCs w:val="18"/>
          <w:b w:val="1"/>
          <w:bCs w:val="1"/>
          <w:color w:val="auto"/>
        </w:rPr>
        <w:t>Boeing Proprietary</w:t>
      </w:r>
      <w:r>
        <w:rPr>
          <w:rFonts w:ascii="Arial" w:cs="Arial" w:eastAsia="Arial" w:hAnsi="Arial"/>
          <w:sz w:val="18"/>
          <w:szCs w:val="18"/>
          <w:color w:val="auto"/>
        </w:rPr>
        <w:t xml:space="preserve"> SA-4, Table 3, Page 1</w:t>
      </w:r>
    </w:p>
    <w:p>
      <w:pPr>
        <w:ind w:right="760"/>
        <w:spacing w:after="0" w:line="276"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sectPr>
      </w:pPr>
    </w:p>
    <w:bookmarkStart w:id="157" w:name="page158"/>
    <w:bookmarkEnd w:id="157"/>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AIRCRAFT CONFIGURATION</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BOEING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AMERICAN AIRLINES, INC.</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P.A. No. 3219</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Exhibit A2(R1) to Purchase Agreement Number 3219</w:t>
      </w:r>
    </w:p>
    <w:p>
      <w:pPr>
        <w:spacing w:after="0" w:line="181"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SA-4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Page 1 of Exhibit A2(R1)</w:t>
      </w:r>
    </w:p>
    <w:p>
      <w:pPr>
        <w:sectPr>
          <w:pgSz w:w="11900" w:h="16838" w:orient="portrait"/>
          <w:cols w:equalWidth="0" w:num="3">
            <w:col w:w="3040" w:space="720"/>
            <w:col w:w="5100" w:space="720"/>
            <w:col w:w="1840"/>
          </w:cols>
          <w:pgMar w:left="240" w:top="274" w:right="239" w:bottom="1440" w:gutter="0" w:footer="0" w:header="0"/>
          <w:type w:val="continuous"/>
        </w:sectPr>
      </w:pPr>
    </w:p>
    <w:bookmarkStart w:id="158" w:name="page159"/>
    <w:bookmarkEnd w:id="15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A2(R1) to Purchase Agreement Number 3219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AIRCRAFT CONFIGURATION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relating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BOEING MODEL 787-8 AIRCRAFT</w:t>
      </w:r>
    </w:p>
    <w:p>
      <w:pPr>
        <w:spacing w:after="0" w:line="225" w:lineRule="exact"/>
        <w:rPr>
          <w:sz w:val="20"/>
          <w:szCs w:val="20"/>
          <w:color w:val="auto"/>
        </w:rPr>
      </w:pPr>
    </w:p>
    <w:p>
      <w:pPr>
        <w:ind w:left="180" w:hanging="172"/>
        <w:spacing w:after="0"/>
        <w:tabs>
          <w:tab w:leader="none" w:pos="1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[*CTR]</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[*CTR]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158" w:lineRule="exact"/>
        <w:rPr>
          <w:sz w:val="20"/>
          <w:szCs w:val="20"/>
          <w:color w:val="auto"/>
        </w:rPr>
      </w:pPr>
    </w:p>
    <w:p>
      <w:pPr>
        <w:spacing w:after="0"/>
        <w:tabs>
          <w:tab w:leader="none" w:pos="5640" w:val="left"/>
          <w:tab w:leader="none" w:pos="9560" w:val="left"/>
        </w:tabs>
        <w:rPr>
          <w:sz w:val="20"/>
          <w:szCs w:val="20"/>
          <w:color w:val="auto"/>
        </w:rPr>
      </w:pPr>
      <w:r>
        <w:rPr>
          <w:rFonts w:ascii="Arial" w:cs="Arial" w:eastAsia="Arial" w:hAnsi="Arial"/>
          <w:sz w:val="18"/>
          <w:szCs w:val="18"/>
          <w:color w:val="auto"/>
        </w:rPr>
        <w:t>P.A. No. 3219</w:t>
      </w:r>
      <w:r>
        <w:rPr>
          <w:sz w:val="20"/>
          <w:szCs w:val="20"/>
          <w:color w:val="auto"/>
        </w:rPr>
        <w:tab/>
      </w:r>
      <w:r>
        <w:rPr>
          <w:rFonts w:ascii="Arial" w:cs="Arial" w:eastAsia="Arial" w:hAnsi="Arial"/>
          <w:sz w:val="18"/>
          <w:szCs w:val="18"/>
          <w:color w:val="auto"/>
        </w:rPr>
        <w:t>SA-4</w:t>
      </w:r>
      <w:r>
        <w:rPr>
          <w:sz w:val="20"/>
          <w:szCs w:val="20"/>
          <w:color w:val="auto"/>
        </w:rPr>
        <w:tab/>
      </w:r>
      <w:r>
        <w:rPr>
          <w:rFonts w:ascii="Arial" w:cs="Arial" w:eastAsia="Arial" w:hAnsi="Arial"/>
          <w:sz w:val="16"/>
          <w:szCs w:val="16"/>
          <w:color w:val="auto"/>
        </w:rPr>
        <w:t>Page 2 of Exhibit A2(R1)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9"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rPr>
              <w:t>[*CTR]</w:t>
            </w:r>
          </w:p>
        </w:tc>
      </w:tr>
      <w:tr>
        <w:trPr>
          <w:trHeight w:val="149"/>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rPr>
              <w:t>[*CTR]</w:t>
            </w:r>
          </w:p>
        </w:tc>
      </w:tr>
      <w:tr>
        <w:trPr>
          <w:trHeight w:val="149"/>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5"/>
              </w:rPr>
              <w:t>AP Price</w:t>
            </w:r>
          </w:p>
        </w:tc>
      </w:tr>
      <w:tr>
        <w:trPr>
          <w:trHeight w:val="187"/>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Option Number</w:t>
            </w:r>
          </w:p>
        </w:tc>
        <w:tc>
          <w:tcPr>
            <w:tcW w:w="4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080" w:type="dxa"/>
            <w:vAlign w:val="bottom"/>
          </w:tcPr>
          <w:p>
            <w:pPr>
              <w:ind w:left="2120"/>
              <w:spacing w:after="0"/>
              <w:rPr>
                <w:sz w:val="20"/>
                <w:szCs w:val="20"/>
                <w:color w:val="auto"/>
              </w:rPr>
            </w:pPr>
            <w:r>
              <w:rPr>
                <w:rFonts w:ascii="Arial" w:cs="Arial" w:eastAsia="Arial" w:hAnsi="Arial"/>
                <w:sz w:val="14"/>
                <w:szCs w:val="14"/>
                <w:color w:val="auto"/>
              </w:rPr>
              <w:t>Title</w:t>
            </w:r>
          </w:p>
        </w:tc>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3"/>
              </w:rPr>
              <w:t>Per A/C</w:t>
            </w:r>
          </w:p>
        </w:tc>
      </w:tr>
      <w:tr>
        <w:trPr>
          <w:trHeight w:val="203"/>
        </w:trPr>
        <w:tc>
          <w:tcPr>
            <w:tcW w:w="13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[*CTR]</w:t>
            </w:r>
          </w:p>
        </w:tc>
        <w:tc>
          <w:tcPr>
            <w:tcW w:w="24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[*CTR]</w:t>
            </w:r>
          </w:p>
        </w:tc>
        <w:tc>
          <w:tcPr>
            <w:tcW w:w="4080" w:type="dxa"/>
            <w:vAlign w:val="bottom"/>
            <w:tcBorders>
              <w:top w:val="single" w:sz="8" w:color="auto"/>
            </w:tcBorders>
            <w:shd w:val="clear" w:color="auto" w:fill="CCEEFF"/>
          </w:tcPr>
          <w:p>
            <w:pPr>
              <w:spacing w:after="0"/>
              <w:rPr>
                <w:sz w:val="17"/>
                <w:szCs w:val="17"/>
                <w:color w:val="auto"/>
              </w:rPr>
            </w:pPr>
          </w:p>
        </w:tc>
        <w:tc>
          <w:tcPr>
            <w:tcW w:w="2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350"/>
        </w:trPr>
        <w:tc>
          <w:tcPr>
            <w:tcW w:w="1380" w:type="dxa"/>
            <w:vAlign w:val="bottom"/>
            <w:gridSpan w:val="2"/>
          </w:tcPr>
          <w:p>
            <w:pPr>
              <w:spacing w:after="0"/>
              <w:rPr>
                <w:sz w:val="20"/>
                <w:szCs w:val="20"/>
                <w:color w:val="auto"/>
              </w:rPr>
            </w:pPr>
            <w:r>
              <w:rPr>
                <w:rFonts w:ascii="Arial" w:cs="Arial" w:eastAsia="Arial" w:hAnsi="Arial"/>
                <w:sz w:val="18"/>
                <w:szCs w:val="18"/>
                <w:color w:val="auto"/>
              </w:rPr>
              <w:t>P.A. No. 3219</w:t>
            </w:r>
          </w:p>
        </w:tc>
        <w:tc>
          <w:tcPr>
            <w:tcW w:w="2420" w:type="dxa"/>
            <w:vAlign w:val="bottom"/>
          </w:tcPr>
          <w:p>
            <w:pPr>
              <w:spacing w:after="0"/>
              <w:rPr>
                <w:sz w:val="24"/>
                <w:szCs w:val="24"/>
                <w:color w:val="auto"/>
              </w:rPr>
            </w:pPr>
          </w:p>
        </w:tc>
        <w:tc>
          <w:tcPr>
            <w:tcW w:w="4080" w:type="dxa"/>
            <w:vAlign w:val="bottom"/>
          </w:tcPr>
          <w:p>
            <w:pPr>
              <w:ind w:left="1860"/>
              <w:spacing w:after="0"/>
              <w:rPr>
                <w:sz w:val="20"/>
                <w:szCs w:val="20"/>
                <w:color w:val="auto"/>
              </w:rPr>
            </w:pPr>
            <w:r>
              <w:rPr>
                <w:rFonts w:ascii="Arial" w:cs="Arial" w:eastAsia="Arial" w:hAnsi="Arial"/>
                <w:sz w:val="18"/>
                <w:szCs w:val="18"/>
                <w:color w:val="auto"/>
              </w:rPr>
              <w:t>SA-4</w:t>
            </w:r>
          </w:p>
        </w:tc>
        <w:tc>
          <w:tcPr>
            <w:tcW w:w="3540" w:type="dxa"/>
            <w:vAlign w:val="bottom"/>
            <w:gridSpan w:val="3"/>
          </w:tcPr>
          <w:p>
            <w:pPr>
              <w:ind w:left="1700"/>
              <w:spacing w:after="0"/>
              <w:rPr>
                <w:sz w:val="20"/>
                <w:szCs w:val="20"/>
                <w:color w:val="auto"/>
              </w:rPr>
            </w:pPr>
            <w:r>
              <w:rPr>
                <w:rFonts w:ascii="Arial" w:cs="Arial" w:eastAsia="Arial" w:hAnsi="Arial"/>
                <w:sz w:val="18"/>
                <w:szCs w:val="18"/>
                <w:color w:val="auto"/>
                <w:w w:val="91"/>
              </w:rPr>
              <w:t>Page 3 of Exhibit A2(R1)</w:t>
            </w:r>
          </w:p>
        </w:tc>
      </w:tr>
    </w:tbl>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BOEING PROPRIETARY</w:t>
      </w:r>
    </w:p>
    <w:p>
      <w:pPr>
        <w:spacing w:after="0" w:line="9"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57" w:right="2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rPr>
              <w:t>[*CTR]</w:t>
            </w:r>
          </w:p>
        </w:tc>
      </w:tr>
      <w:tr>
        <w:trPr>
          <w:trHeight w:val="149"/>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rPr>
              <w:t>[*CTR]</w:t>
            </w:r>
          </w:p>
        </w:tc>
      </w:tr>
      <w:tr>
        <w:trPr>
          <w:trHeight w:val="149"/>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5"/>
              </w:rPr>
              <w:t>AP Price</w:t>
            </w:r>
          </w:p>
        </w:tc>
      </w:tr>
      <w:tr>
        <w:trPr>
          <w:trHeight w:val="187"/>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Option Number</w:t>
            </w:r>
          </w:p>
        </w:tc>
        <w:tc>
          <w:tcPr>
            <w:tcW w:w="4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080" w:type="dxa"/>
            <w:vAlign w:val="bottom"/>
          </w:tcPr>
          <w:p>
            <w:pPr>
              <w:ind w:left="2120"/>
              <w:spacing w:after="0"/>
              <w:rPr>
                <w:sz w:val="20"/>
                <w:szCs w:val="20"/>
                <w:color w:val="auto"/>
              </w:rPr>
            </w:pPr>
            <w:r>
              <w:rPr>
                <w:rFonts w:ascii="Arial" w:cs="Arial" w:eastAsia="Arial" w:hAnsi="Arial"/>
                <w:sz w:val="14"/>
                <w:szCs w:val="14"/>
                <w:color w:val="auto"/>
              </w:rPr>
              <w:t>Title</w:t>
            </w:r>
          </w:p>
        </w:tc>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3"/>
              </w:rPr>
              <w:t>Per A/C</w:t>
            </w:r>
          </w:p>
        </w:tc>
      </w:tr>
      <w:tr>
        <w:trPr>
          <w:trHeight w:val="203"/>
        </w:trPr>
        <w:tc>
          <w:tcPr>
            <w:tcW w:w="13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[*CTR]</w:t>
            </w:r>
          </w:p>
        </w:tc>
        <w:tc>
          <w:tcPr>
            <w:tcW w:w="24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[*CTR]</w:t>
            </w:r>
          </w:p>
        </w:tc>
        <w:tc>
          <w:tcPr>
            <w:tcW w:w="4080" w:type="dxa"/>
            <w:vAlign w:val="bottom"/>
            <w:tcBorders>
              <w:top w:val="single" w:sz="8" w:color="auto"/>
            </w:tcBorders>
            <w:shd w:val="clear" w:color="auto" w:fill="CCEEFF"/>
          </w:tcPr>
          <w:p>
            <w:pPr>
              <w:spacing w:after="0"/>
              <w:rPr>
                <w:sz w:val="17"/>
                <w:szCs w:val="17"/>
                <w:color w:val="auto"/>
              </w:rPr>
            </w:pPr>
          </w:p>
        </w:tc>
        <w:tc>
          <w:tcPr>
            <w:tcW w:w="2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365"/>
        </w:trPr>
        <w:tc>
          <w:tcPr>
            <w:tcW w:w="1380" w:type="dxa"/>
            <w:vAlign w:val="bottom"/>
            <w:gridSpan w:val="2"/>
          </w:tcPr>
          <w:p>
            <w:pPr>
              <w:spacing w:after="0"/>
              <w:rPr>
                <w:sz w:val="20"/>
                <w:szCs w:val="20"/>
                <w:color w:val="auto"/>
              </w:rPr>
            </w:pPr>
            <w:r>
              <w:rPr>
                <w:rFonts w:ascii="Arial" w:cs="Arial" w:eastAsia="Arial" w:hAnsi="Arial"/>
                <w:sz w:val="18"/>
                <w:szCs w:val="18"/>
                <w:color w:val="auto"/>
              </w:rPr>
              <w:t>P.A. No. 3219</w:t>
            </w:r>
          </w:p>
        </w:tc>
        <w:tc>
          <w:tcPr>
            <w:tcW w:w="2420" w:type="dxa"/>
            <w:vAlign w:val="bottom"/>
          </w:tcPr>
          <w:p>
            <w:pPr>
              <w:spacing w:after="0"/>
              <w:rPr>
                <w:sz w:val="24"/>
                <w:szCs w:val="24"/>
                <w:color w:val="auto"/>
              </w:rPr>
            </w:pPr>
          </w:p>
        </w:tc>
        <w:tc>
          <w:tcPr>
            <w:tcW w:w="4080" w:type="dxa"/>
            <w:vAlign w:val="bottom"/>
          </w:tcPr>
          <w:p>
            <w:pPr>
              <w:ind w:left="1860"/>
              <w:spacing w:after="0"/>
              <w:rPr>
                <w:sz w:val="20"/>
                <w:szCs w:val="20"/>
                <w:color w:val="auto"/>
              </w:rPr>
            </w:pPr>
            <w:r>
              <w:rPr>
                <w:rFonts w:ascii="Arial" w:cs="Arial" w:eastAsia="Arial" w:hAnsi="Arial"/>
                <w:sz w:val="18"/>
                <w:szCs w:val="18"/>
                <w:color w:val="auto"/>
              </w:rPr>
              <w:t>SA-4</w:t>
            </w:r>
          </w:p>
        </w:tc>
        <w:tc>
          <w:tcPr>
            <w:tcW w:w="3540" w:type="dxa"/>
            <w:vAlign w:val="bottom"/>
            <w:gridSpan w:val="3"/>
          </w:tcPr>
          <w:p>
            <w:pPr>
              <w:ind w:left="1700"/>
              <w:spacing w:after="0"/>
              <w:rPr>
                <w:sz w:val="20"/>
                <w:szCs w:val="20"/>
                <w:color w:val="auto"/>
              </w:rPr>
            </w:pPr>
            <w:r>
              <w:rPr>
                <w:rFonts w:ascii="Arial" w:cs="Arial" w:eastAsia="Arial" w:hAnsi="Arial"/>
                <w:sz w:val="18"/>
                <w:szCs w:val="18"/>
                <w:color w:val="auto"/>
                <w:w w:val="91"/>
              </w:rPr>
              <w:t>Page 4 of Exhibit A2(R1)</w:t>
            </w:r>
          </w:p>
        </w:tc>
      </w:tr>
    </w:tbl>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BOEING PROPRIETARY</w:t>
      </w:r>
    </w:p>
    <w:p>
      <w:pPr>
        <w:spacing w:after="0" w:line="9"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57" w:right="2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rPr>
              <w:t>[*CTR]</w:t>
            </w:r>
          </w:p>
        </w:tc>
      </w:tr>
      <w:tr>
        <w:trPr>
          <w:trHeight w:val="149"/>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rPr>
              <w:t>[*CTR]</w:t>
            </w:r>
          </w:p>
        </w:tc>
      </w:tr>
      <w:tr>
        <w:trPr>
          <w:trHeight w:val="149"/>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5"/>
              </w:rPr>
              <w:t>AP Price</w:t>
            </w:r>
          </w:p>
        </w:tc>
      </w:tr>
      <w:tr>
        <w:trPr>
          <w:trHeight w:val="187"/>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Option Number</w:t>
            </w:r>
          </w:p>
        </w:tc>
        <w:tc>
          <w:tcPr>
            <w:tcW w:w="4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080" w:type="dxa"/>
            <w:vAlign w:val="bottom"/>
          </w:tcPr>
          <w:p>
            <w:pPr>
              <w:ind w:left="2120"/>
              <w:spacing w:after="0"/>
              <w:rPr>
                <w:sz w:val="20"/>
                <w:szCs w:val="20"/>
                <w:color w:val="auto"/>
              </w:rPr>
            </w:pPr>
            <w:r>
              <w:rPr>
                <w:rFonts w:ascii="Arial" w:cs="Arial" w:eastAsia="Arial" w:hAnsi="Arial"/>
                <w:sz w:val="14"/>
                <w:szCs w:val="14"/>
                <w:color w:val="auto"/>
              </w:rPr>
              <w:t>Title</w:t>
            </w:r>
          </w:p>
        </w:tc>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3"/>
              </w:rPr>
              <w:t>Per A/C</w:t>
            </w:r>
          </w:p>
        </w:tc>
      </w:tr>
      <w:tr>
        <w:trPr>
          <w:trHeight w:val="203"/>
        </w:trPr>
        <w:tc>
          <w:tcPr>
            <w:tcW w:w="13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[*CTR]</w:t>
            </w:r>
          </w:p>
        </w:tc>
        <w:tc>
          <w:tcPr>
            <w:tcW w:w="24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[*CTR]</w:t>
            </w:r>
          </w:p>
        </w:tc>
        <w:tc>
          <w:tcPr>
            <w:tcW w:w="4080" w:type="dxa"/>
            <w:vAlign w:val="bottom"/>
            <w:tcBorders>
              <w:top w:val="single" w:sz="8" w:color="auto"/>
            </w:tcBorders>
            <w:shd w:val="clear" w:color="auto" w:fill="CCEEFF"/>
          </w:tcPr>
          <w:p>
            <w:pPr>
              <w:spacing w:after="0"/>
              <w:rPr>
                <w:sz w:val="17"/>
                <w:szCs w:val="17"/>
                <w:color w:val="auto"/>
              </w:rPr>
            </w:pPr>
          </w:p>
        </w:tc>
        <w:tc>
          <w:tcPr>
            <w:tcW w:w="2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[*CTR]</w:t>
            </w:r>
          </w:p>
        </w:tc>
      </w:t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[*CTR]</w:t>
            </w:r>
          </w:p>
        </w:tc>
        <w:tc>
          <w:tcPr>
            <w:tcW w:w="2420" w:type="dxa"/>
            <w:vAlign w:val="bottom"/>
          </w:tcPr>
          <w:p>
            <w:pPr>
              <w:spacing w:after="0"/>
              <w:rPr>
                <w:sz w:val="20"/>
                <w:szCs w:val="20"/>
                <w:color w:val="auto"/>
              </w:rPr>
            </w:pPr>
            <w:r>
              <w:rPr>
                <w:rFonts w:ascii="Arial" w:cs="Arial" w:eastAsia="Arial" w:hAnsi="Arial"/>
                <w:sz w:val="18"/>
                <w:szCs w:val="18"/>
                <w:color w:val="auto"/>
              </w:rPr>
              <w:t>[*CTR]</w:t>
            </w:r>
          </w:p>
        </w:tc>
        <w:tc>
          <w:tcPr>
            <w:tcW w:w="40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350"/>
        </w:trPr>
        <w:tc>
          <w:tcPr>
            <w:tcW w:w="1380" w:type="dxa"/>
            <w:vAlign w:val="bottom"/>
            <w:gridSpan w:val="2"/>
          </w:tcPr>
          <w:p>
            <w:pPr>
              <w:spacing w:after="0"/>
              <w:rPr>
                <w:sz w:val="20"/>
                <w:szCs w:val="20"/>
                <w:color w:val="auto"/>
              </w:rPr>
            </w:pPr>
            <w:r>
              <w:rPr>
                <w:rFonts w:ascii="Arial" w:cs="Arial" w:eastAsia="Arial" w:hAnsi="Arial"/>
                <w:sz w:val="18"/>
                <w:szCs w:val="18"/>
                <w:color w:val="auto"/>
              </w:rPr>
              <w:t>P.A. No. 3219</w:t>
            </w:r>
          </w:p>
        </w:tc>
        <w:tc>
          <w:tcPr>
            <w:tcW w:w="2420" w:type="dxa"/>
            <w:vAlign w:val="bottom"/>
          </w:tcPr>
          <w:p>
            <w:pPr>
              <w:spacing w:after="0"/>
              <w:rPr>
                <w:sz w:val="24"/>
                <w:szCs w:val="24"/>
                <w:color w:val="auto"/>
              </w:rPr>
            </w:pPr>
          </w:p>
        </w:tc>
        <w:tc>
          <w:tcPr>
            <w:tcW w:w="4080" w:type="dxa"/>
            <w:vAlign w:val="bottom"/>
          </w:tcPr>
          <w:p>
            <w:pPr>
              <w:ind w:left="1860"/>
              <w:spacing w:after="0"/>
              <w:rPr>
                <w:sz w:val="20"/>
                <w:szCs w:val="20"/>
                <w:color w:val="auto"/>
              </w:rPr>
            </w:pPr>
            <w:r>
              <w:rPr>
                <w:rFonts w:ascii="Arial" w:cs="Arial" w:eastAsia="Arial" w:hAnsi="Arial"/>
                <w:sz w:val="18"/>
                <w:szCs w:val="18"/>
                <w:color w:val="auto"/>
              </w:rPr>
              <w:t>SA-4</w:t>
            </w:r>
          </w:p>
        </w:tc>
        <w:tc>
          <w:tcPr>
            <w:tcW w:w="3540" w:type="dxa"/>
            <w:vAlign w:val="bottom"/>
            <w:gridSpan w:val="3"/>
          </w:tcPr>
          <w:p>
            <w:pPr>
              <w:ind w:left="1700"/>
              <w:spacing w:after="0"/>
              <w:rPr>
                <w:sz w:val="20"/>
                <w:szCs w:val="20"/>
                <w:color w:val="auto"/>
              </w:rPr>
            </w:pPr>
            <w:r>
              <w:rPr>
                <w:rFonts w:ascii="Arial" w:cs="Arial" w:eastAsia="Arial" w:hAnsi="Arial"/>
                <w:sz w:val="18"/>
                <w:szCs w:val="18"/>
                <w:color w:val="auto"/>
                <w:w w:val="91"/>
              </w:rPr>
              <w:t>Page 5 of Exhibit A2(R1)</w:t>
            </w:r>
          </w:p>
        </w:tc>
      </w:tr>
    </w:tbl>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BOEING PROPRIETARY</w:t>
      </w:r>
    </w:p>
    <w:p>
      <w:pPr>
        <w:spacing w:after="0" w:line="9"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57" w:right="2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rPr>
              <w:t>[*CTR]</w:t>
            </w:r>
          </w:p>
        </w:tc>
      </w:tr>
      <w:tr>
        <w:trPr>
          <w:trHeight w:val="149"/>
        </w:trPr>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color w:val="auto"/>
                <w:w w:val="99"/>
              </w:rPr>
              <w:t>[*CTR] AP Price</w:t>
            </w:r>
          </w:p>
        </w:tc>
      </w:tr>
      <w:tr>
        <w:trPr>
          <w:trHeight w:val="187"/>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Option Number</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540" w:type="dxa"/>
            <w:vAlign w:val="bottom"/>
          </w:tcPr>
          <w:p>
            <w:pPr>
              <w:ind w:left="4320"/>
              <w:spacing w:after="0"/>
              <w:rPr>
                <w:sz w:val="20"/>
                <w:szCs w:val="20"/>
                <w:color w:val="auto"/>
              </w:rPr>
            </w:pPr>
            <w:r>
              <w:rPr>
                <w:rFonts w:ascii="Arial" w:cs="Arial" w:eastAsia="Arial" w:hAnsi="Arial"/>
                <w:sz w:val="14"/>
                <w:szCs w:val="14"/>
                <w:color w:val="auto"/>
              </w:rPr>
              <w:t>Title</w:t>
            </w:r>
          </w:p>
        </w:tc>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3"/>
              </w:rPr>
              <w:t>Per A/C</w:t>
            </w:r>
          </w:p>
        </w:tc>
      </w:tr>
      <w:tr>
        <w:trPr>
          <w:trHeight w:val="203"/>
        </w:trPr>
        <w:tc>
          <w:tcPr>
            <w:tcW w:w="1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[*CTR]</w:t>
            </w:r>
          </w:p>
        </w:tc>
        <w:tc>
          <w:tcPr>
            <w:tcW w:w="120" w:type="dxa"/>
            <w:vAlign w:val="bottom"/>
            <w:tcBorders>
              <w:top w:val="single" w:sz="8" w:color="CCEEFF"/>
            </w:tcBorders>
            <w:shd w:val="clear" w:color="auto" w:fill="CCEEFF"/>
          </w:tcPr>
          <w:p>
            <w:pPr>
              <w:spacing w:after="0"/>
              <w:rPr>
                <w:sz w:val="17"/>
                <w:szCs w:val="17"/>
                <w:color w:val="auto"/>
              </w:rPr>
            </w:pPr>
          </w:p>
        </w:tc>
        <w:tc>
          <w:tcPr>
            <w:tcW w:w="6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[*CTR]</w:t>
            </w:r>
          </w:p>
        </w:tc>
        <w:tc>
          <w:tcPr>
            <w:tcW w:w="2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[*CTR]</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[*CTR]</w:t>
            </w:r>
          </w:p>
        </w:tc>
        <w:tc>
          <w:tcPr>
            <w:tcW w:w="6660" w:type="dxa"/>
            <w:vAlign w:val="bottom"/>
            <w:gridSpan w:val="2"/>
          </w:tcPr>
          <w:p>
            <w:pPr>
              <w:ind w:left="120"/>
              <w:spacing w:after="0"/>
              <w:rPr>
                <w:sz w:val="20"/>
                <w:szCs w:val="20"/>
                <w:color w:val="auto"/>
              </w:rPr>
            </w:pPr>
            <w:r>
              <w:rPr>
                <w:rFonts w:ascii="Arial" w:cs="Arial" w:eastAsia="Arial" w:hAnsi="Arial"/>
                <w:sz w:val="18"/>
                <w:szCs w:val="18"/>
                <w:color w:val="auto"/>
              </w:rPr>
              <w:t>[*CTR]</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[*CTR]</w:t>
            </w: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6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[*CTR]</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[*CTR]</w:t>
            </w:r>
          </w:p>
        </w:tc>
        <w:tc>
          <w:tcPr>
            <w:tcW w:w="6660" w:type="dxa"/>
            <w:vAlign w:val="bottom"/>
            <w:gridSpan w:val="2"/>
          </w:tcPr>
          <w:p>
            <w:pPr>
              <w:ind w:left="120"/>
              <w:spacing w:after="0"/>
              <w:rPr>
                <w:sz w:val="20"/>
                <w:szCs w:val="20"/>
                <w:color w:val="auto"/>
              </w:rPr>
            </w:pPr>
            <w:r>
              <w:rPr>
                <w:rFonts w:ascii="Arial" w:cs="Arial" w:eastAsia="Arial" w:hAnsi="Arial"/>
                <w:sz w:val="18"/>
                <w:szCs w:val="18"/>
                <w:color w:val="auto"/>
              </w:rPr>
              <w:t>[*CTR]</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[*CTR]</w:t>
            </w: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6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[*CTR]</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[*CTR]</w:t>
            </w:r>
          </w:p>
        </w:tc>
        <w:tc>
          <w:tcPr>
            <w:tcW w:w="6660" w:type="dxa"/>
            <w:vAlign w:val="bottom"/>
            <w:gridSpan w:val="2"/>
          </w:tcPr>
          <w:p>
            <w:pPr>
              <w:ind w:left="120"/>
              <w:spacing w:after="0"/>
              <w:rPr>
                <w:sz w:val="20"/>
                <w:szCs w:val="20"/>
                <w:color w:val="auto"/>
              </w:rPr>
            </w:pPr>
            <w:r>
              <w:rPr>
                <w:rFonts w:ascii="Arial" w:cs="Arial" w:eastAsia="Arial" w:hAnsi="Arial"/>
                <w:sz w:val="18"/>
                <w:szCs w:val="18"/>
                <w:color w:val="auto"/>
              </w:rPr>
              <w:t>[*CTR]</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[*CTR]</w:t>
            </w: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[*CTR]</w:t>
            </w:r>
          </w:p>
        </w:tc>
        <w:tc>
          <w:tcPr>
            <w:tcW w:w="6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[*CTR]</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[*CTR]</w:t>
            </w:r>
          </w:p>
        </w:tc>
        <w:tc>
          <w:tcPr>
            <w:tcW w:w="6660" w:type="dxa"/>
            <w:vAlign w:val="bottom"/>
            <w:gridSpan w:val="2"/>
          </w:tcPr>
          <w:p>
            <w:pPr>
              <w:ind w:left="120"/>
              <w:spacing w:after="0"/>
              <w:rPr>
                <w:sz w:val="20"/>
                <w:szCs w:val="20"/>
                <w:color w:val="auto"/>
              </w:rPr>
            </w:pPr>
            <w:r>
              <w:rPr>
                <w:rFonts w:ascii="Arial" w:cs="Arial" w:eastAsia="Arial" w:hAnsi="Arial"/>
                <w:sz w:val="18"/>
                <w:szCs w:val="18"/>
                <w:color w:val="auto"/>
              </w:rPr>
              <w:t>[*CTR]</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[*CTR]</w:t>
            </w:r>
          </w:p>
        </w:tc>
      </w:tr>
      <w:tr>
        <w:trPr>
          <w:trHeight w:val="216"/>
        </w:trPr>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5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OPTIONS SUBJECT TO ESCALATION</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[*CTR]</w:t>
            </w:r>
          </w:p>
        </w:tc>
      </w:tr>
      <w:tr>
        <w:trPr>
          <w:trHeight w:val="365"/>
        </w:trPr>
        <w:tc>
          <w:tcPr>
            <w:tcW w:w="1140" w:type="dxa"/>
            <w:vAlign w:val="bottom"/>
            <w:gridSpan w:val="2"/>
          </w:tcPr>
          <w:p>
            <w:pPr>
              <w:spacing w:after="0"/>
              <w:rPr>
                <w:sz w:val="20"/>
                <w:szCs w:val="20"/>
                <w:color w:val="auto"/>
              </w:rPr>
            </w:pPr>
            <w:r>
              <w:rPr>
                <w:rFonts w:ascii="Arial" w:cs="Arial" w:eastAsia="Arial" w:hAnsi="Arial"/>
                <w:sz w:val="18"/>
                <w:szCs w:val="18"/>
                <w:color w:val="auto"/>
                <w:w w:val="99"/>
              </w:rPr>
              <w:t>P.A. No. 3219</w:t>
            </w:r>
          </w:p>
        </w:tc>
        <w:tc>
          <w:tcPr>
            <w:tcW w:w="120" w:type="dxa"/>
            <w:vAlign w:val="bottom"/>
          </w:tcPr>
          <w:p>
            <w:pPr>
              <w:spacing w:after="0"/>
              <w:rPr>
                <w:sz w:val="24"/>
                <w:szCs w:val="24"/>
                <w:color w:val="auto"/>
              </w:rPr>
            </w:pPr>
          </w:p>
        </w:tc>
        <w:tc>
          <w:tcPr>
            <w:tcW w:w="6540" w:type="dxa"/>
            <w:vAlign w:val="bottom"/>
          </w:tcPr>
          <w:p>
            <w:pPr>
              <w:ind w:left="4400"/>
              <w:spacing w:after="0"/>
              <w:rPr>
                <w:sz w:val="20"/>
                <w:szCs w:val="20"/>
                <w:color w:val="auto"/>
              </w:rPr>
            </w:pPr>
            <w:r>
              <w:rPr>
                <w:rFonts w:ascii="Arial" w:cs="Arial" w:eastAsia="Arial" w:hAnsi="Arial"/>
                <w:sz w:val="18"/>
                <w:szCs w:val="18"/>
                <w:color w:val="auto"/>
              </w:rPr>
              <w:t>SA-4</w:t>
            </w:r>
          </w:p>
        </w:tc>
        <w:tc>
          <w:tcPr>
            <w:tcW w:w="3620" w:type="dxa"/>
            <w:vAlign w:val="bottom"/>
            <w:gridSpan w:val="3"/>
          </w:tcPr>
          <w:p>
            <w:pPr>
              <w:ind w:left="1780"/>
              <w:spacing w:after="0"/>
              <w:rPr>
                <w:sz w:val="20"/>
                <w:szCs w:val="20"/>
                <w:color w:val="auto"/>
              </w:rPr>
            </w:pPr>
            <w:r>
              <w:rPr>
                <w:rFonts w:ascii="Arial" w:cs="Arial" w:eastAsia="Arial" w:hAnsi="Arial"/>
                <w:sz w:val="18"/>
                <w:szCs w:val="18"/>
                <w:color w:val="auto"/>
                <w:w w:val="91"/>
              </w:rPr>
              <w:t>Page 6 of Exhibit A2(R1)</w:t>
            </w:r>
          </w:p>
        </w:tc>
      </w:tr>
    </w:tbl>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BOEING PROPRIETARY</w:t>
      </w:r>
    </w:p>
    <w:p>
      <w:pPr>
        <w:spacing w:after="0" w:line="9"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57" w:right="2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[*CTR]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BOEING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Exhibit EE2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Purchase Agreement Number 3219</w:t>
      </w:r>
    </w:p>
    <w:p>
      <w:pPr>
        <w:spacing w:after="0" w:line="143" w:lineRule="exact"/>
        <w:rPr>
          <w:sz w:val="20"/>
          <w:szCs w:val="20"/>
          <w:color w:val="auto"/>
        </w:rPr>
      </w:pPr>
    </w:p>
    <w:p>
      <w:pPr>
        <w:spacing w:after="0"/>
        <w:tabs>
          <w:tab w:leader="none" w:pos="5440" w:val="left"/>
          <w:tab w:leader="none" w:pos="10840" w:val="left"/>
        </w:tabs>
        <w:rPr>
          <w:sz w:val="20"/>
          <w:szCs w:val="20"/>
          <w:color w:val="auto"/>
        </w:rPr>
      </w:pPr>
      <w:r>
        <w:rPr>
          <w:rFonts w:ascii="Arial" w:cs="Arial" w:eastAsia="Arial" w:hAnsi="Arial"/>
          <w:sz w:val="18"/>
          <w:szCs w:val="18"/>
          <w:color w:val="auto"/>
        </w:rPr>
        <w:t>PA 3219</w:t>
      </w:r>
      <w:r>
        <w:rPr>
          <w:sz w:val="20"/>
          <w:szCs w:val="20"/>
          <w:color w:val="auto"/>
        </w:rPr>
        <w:tab/>
      </w:r>
      <w:r>
        <w:rPr>
          <w:rFonts w:ascii="Arial" w:cs="Arial" w:eastAsia="Arial" w:hAnsi="Arial"/>
          <w:sz w:val="18"/>
          <w:szCs w:val="18"/>
          <w:color w:val="auto"/>
        </w:rPr>
        <w:t>SA-4, EE2</w:t>
      </w:r>
      <w:r>
        <w:rPr>
          <w:sz w:val="20"/>
          <w:szCs w:val="20"/>
          <w:color w:val="auto"/>
        </w:rPr>
        <w:tab/>
      </w:r>
      <w:r>
        <w:rPr>
          <w:rFonts w:ascii="Arial" w:cs="Arial" w:eastAsia="Arial" w:hAnsi="Arial"/>
          <w:sz w:val="15"/>
          <w:szCs w:val="15"/>
          <w:color w:val="auto"/>
        </w:rPr>
        <w:t>Page |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27"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[*CTR]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relating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SUBSTITUTE 787-8 AIRCRAFT</w:t>
      </w:r>
    </w:p>
    <w:p>
      <w:pPr>
        <w:spacing w:after="0" w:line="256" w:lineRule="exact"/>
        <w:rPr>
          <w:sz w:val="20"/>
          <w:szCs w:val="20"/>
          <w:color w:val="auto"/>
        </w:rPr>
      </w:pPr>
    </w:p>
    <w:p>
      <w:pPr>
        <w:ind w:left="460" w:right="9100" w:hanging="452"/>
        <w:spacing w:after="0" w:line="402" w:lineRule="auto"/>
        <w:tabs>
          <w:tab w:leader="none" w:pos="449"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ENGINE ESCALATION</w:t>
      </w:r>
      <w:r>
        <w:rPr>
          <w:rFonts w:ascii="Arial" w:cs="Arial" w:eastAsia="Arial" w:hAnsi="Arial"/>
          <w:sz w:val="18"/>
          <w:szCs w:val="18"/>
          <w:color w:val="auto"/>
        </w:rPr>
        <w:t>. [*CTR]</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[*CTR]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[*CTR]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[*CTR]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[*CTR]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[*CTR]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[*CTR]</w:t>
      </w:r>
    </w:p>
    <w:p>
      <w:pPr>
        <w:spacing w:after="0" w:line="158" w:lineRule="exact"/>
        <w:rPr>
          <w:sz w:val="20"/>
          <w:szCs w:val="20"/>
          <w:color w:val="auto"/>
        </w:rPr>
      </w:pPr>
    </w:p>
    <w:p>
      <w:pPr>
        <w:spacing w:after="0"/>
        <w:tabs>
          <w:tab w:leader="none" w:pos="5440" w:val="left"/>
          <w:tab w:leader="none" w:pos="10840" w:val="left"/>
        </w:tabs>
        <w:rPr>
          <w:sz w:val="20"/>
          <w:szCs w:val="20"/>
          <w:color w:val="auto"/>
        </w:rPr>
      </w:pPr>
      <w:r>
        <w:rPr>
          <w:rFonts w:ascii="Arial" w:cs="Arial" w:eastAsia="Arial" w:hAnsi="Arial"/>
          <w:sz w:val="18"/>
          <w:szCs w:val="18"/>
          <w:color w:val="auto"/>
        </w:rPr>
        <w:t>PA 3219</w:t>
      </w:r>
      <w:r>
        <w:rPr>
          <w:sz w:val="20"/>
          <w:szCs w:val="20"/>
          <w:color w:val="auto"/>
        </w:rPr>
        <w:tab/>
      </w:r>
      <w:r>
        <w:rPr>
          <w:rFonts w:ascii="Arial" w:cs="Arial" w:eastAsia="Arial" w:hAnsi="Arial"/>
          <w:sz w:val="18"/>
          <w:szCs w:val="18"/>
          <w:color w:val="auto"/>
        </w:rPr>
        <w:t>SA-4, EE2</w:t>
      </w:r>
      <w:r>
        <w:rPr>
          <w:sz w:val="20"/>
          <w:szCs w:val="20"/>
          <w:color w:val="auto"/>
        </w:rPr>
        <w:tab/>
      </w:r>
      <w:r>
        <w:rPr>
          <w:rFonts w:ascii="Arial" w:cs="Arial" w:eastAsia="Arial" w:hAnsi="Arial"/>
          <w:sz w:val="15"/>
          <w:szCs w:val="15"/>
          <w:color w:val="auto"/>
        </w:rPr>
        <w:t>Page | 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27"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sectPr>
      </w:pPr>
    </w:p>
    <w:bookmarkStart w:id="165" w:name="page166"/>
    <w:bookmarkEnd w:id="16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[*CTR]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[*CTR]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[*CTR]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[*CTR]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225" w:lineRule="exact"/>
        <w:rPr>
          <w:sz w:val="20"/>
          <w:szCs w:val="20"/>
          <w:color w:val="auto"/>
        </w:rPr>
      </w:pPr>
    </w:p>
    <w:p>
      <w:pPr>
        <w:ind w:left="1140" w:hanging="219"/>
        <w:spacing w:after="0"/>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[*CTR]</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[*CTR]</w:t>
      </w:r>
    </w:p>
    <w:p>
      <w:pPr>
        <w:spacing w:after="0" w:line="117" w:lineRule="exact"/>
        <w:rPr>
          <w:rFonts w:ascii="Arial" w:cs="Arial" w:eastAsia="Arial" w:hAnsi="Arial"/>
          <w:sz w:val="18"/>
          <w:szCs w:val="18"/>
          <w:color w:val="auto"/>
        </w:rPr>
      </w:pPr>
    </w:p>
    <w:p>
      <w:pPr>
        <w:ind w:left="1240" w:hanging="319"/>
        <w:spacing w:after="0"/>
        <w:tabs>
          <w:tab w:leader="none" w:pos="12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[*CTR]</w:t>
      </w:r>
    </w:p>
    <w:p>
      <w:pPr>
        <w:spacing w:after="0" w:line="117" w:lineRule="exact"/>
        <w:rPr>
          <w:rFonts w:ascii="Arial" w:cs="Arial" w:eastAsia="Arial" w:hAnsi="Arial"/>
          <w:sz w:val="18"/>
          <w:szCs w:val="18"/>
          <w:color w:val="auto"/>
        </w:rPr>
      </w:pPr>
    </w:p>
    <w:p>
      <w:pPr>
        <w:ind w:left="1220" w:hanging="299"/>
        <w:spacing w:after="0"/>
        <w:tabs>
          <w:tab w:leader="none" w:pos="12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[*CTR]</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[*CTR]</w:t>
      </w:r>
    </w:p>
    <w:p>
      <w:pPr>
        <w:spacing w:after="0" w:line="117" w:lineRule="exact"/>
        <w:rPr>
          <w:rFonts w:ascii="Arial" w:cs="Arial" w:eastAsia="Arial" w:hAnsi="Arial"/>
          <w:sz w:val="18"/>
          <w:szCs w:val="18"/>
          <w:color w:val="auto"/>
        </w:rPr>
      </w:pPr>
    </w:p>
    <w:p>
      <w:pPr>
        <w:ind w:left="1220" w:hanging="299"/>
        <w:spacing w:after="0"/>
        <w:tabs>
          <w:tab w:leader="none" w:pos="12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[*CTR]</w:t>
      </w:r>
    </w:p>
    <w:p>
      <w:pPr>
        <w:spacing w:after="0" w:line="158" w:lineRule="exact"/>
        <w:rPr>
          <w:sz w:val="20"/>
          <w:szCs w:val="20"/>
          <w:color w:val="auto"/>
        </w:rPr>
      </w:pPr>
    </w:p>
    <w:p>
      <w:pPr>
        <w:spacing w:after="0"/>
        <w:tabs>
          <w:tab w:leader="none" w:pos="5440" w:val="left"/>
          <w:tab w:leader="none" w:pos="10840" w:val="left"/>
        </w:tabs>
        <w:rPr>
          <w:sz w:val="20"/>
          <w:szCs w:val="20"/>
          <w:color w:val="auto"/>
        </w:rPr>
      </w:pPr>
      <w:r>
        <w:rPr>
          <w:rFonts w:ascii="Arial" w:cs="Arial" w:eastAsia="Arial" w:hAnsi="Arial"/>
          <w:sz w:val="18"/>
          <w:szCs w:val="18"/>
          <w:color w:val="auto"/>
        </w:rPr>
        <w:t>PA 3219</w:t>
      </w:r>
      <w:r>
        <w:rPr>
          <w:sz w:val="20"/>
          <w:szCs w:val="20"/>
          <w:color w:val="auto"/>
        </w:rPr>
        <w:tab/>
      </w:r>
      <w:r>
        <w:rPr>
          <w:rFonts w:ascii="Arial" w:cs="Arial" w:eastAsia="Arial" w:hAnsi="Arial"/>
          <w:sz w:val="18"/>
          <w:szCs w:val="18"/>
          <w:color w:val="auto"/>
        </w:rPr>
        <w:t>SA-4, EE2</w:t>
      </w:r>
      <w:r>
        <w:rPr>
          <w:sz w:val="20"/>
          <w:szCs w:val="20"/>
          <w:color w:val="auto"/>
        </w:rPr>
        <w:tab/>
      </w:r>
      <w:r>
        <w:rPr>
          <w:rFonts w:ascii="Arial" w:cs="Arial" w:eastAsia="Arial" w:hAnsi="Arial"/>
          <w:sz w:val="15"/>
          <w:szCs w:val="15"/>
          <w:color w:val="auto"/>
        </w:rPr>
        <w:t>Page | 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27"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66" w:name="page167"/>
    <w:bookmarkEnd w:id="166"/>
    <w:p>
      <w:pPr>
        <w:ind w:left="460" w:right="7500" w:hanging="452"/>
        <w:spacing w:after="0" w:line="375" w:lineRule="auto"/>
        <w:tabs>
          <w:tab w:leader="none" w:pos="184"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Values to be Utilized in the Event of Unavailability</w:t>
      </w:r>
      <w:r>
        <w:rPr>
          <w:rFonts w:ascii="Arial" w:cs="Arial" w:eastAsia="Arial" w:hAnsi="Arial"/>
          <w:sz w:val="18"/>
          <w:szCs w:val="18"/>
          <w:color w:val="auto"/>
        </w:rPr>
        <w:t>. 2.1 [*CTR]</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2.2 [*CTR]</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2.3 [*CTR]</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2.4 [*CTR]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 [*CTR]</w:t>
      </w:r>
    </w:p>
    <w:p>
      <w:pPr>
        <w:spacing w:after="0" w:line="158" w:lineRule="exact"/>
        <w:rPr>
          <w:sz w:val="20"/>
          <w:szCs w:val="20"/>
          <w:color w:val="auto"/>
        </w:rPr>
      </w:pPr>
    </w:p>
    <w:p>
      <w:pPr>
        <w:spacing w:after="0"/>
        <w:tabs>
          <w:tab w:leader="none" w:pos="5440" w:val="left"/>
          <w:tab w:leader="none" w:pos="10840" w:val="left"/>
        </w:tabs>
        <w:rPr>
          <w:sz w:val="20"/>
          <w:szCs w:val="20"/>
          <w:color w:val="auto"/>
        </w:rPr>
      </w:pPr>
      <w:r>
        <w:rPr>
          <w:rFonts w:ascii="Arial" w:cs="Arial" w:eastAsia="Arial" w:hAnsi="Arial"/>
          <w:sz w:val="18"/>
          <w:szCs w:val="18"/>
          <w:color w:val="auto"/>
        </w:rPr>
        <w:t>PA 3219</w:t>
      </w:r>
      <w:r>
        <w:rPr>
          <w:sz w:val="20"/>
          <w:szCs w:val="20"/>
          <w:color w:val="auto"/>
        </w:rPr>
        <w:tab/>
      </w:r>
      <w:r>
        <w:rPr>
          <w:rFonts w:ascii="Arial" w:cs="Arial" w:eastAsia="Arial" w:hAnsi="Arial"/>
          <w:sz w:val="18"/>
          <w:szCs w:val="18"/>
          <w:color w:val="auto"/>
        </w:rPr>
        <w:t>SA-4, EE2</w:t>
      </w:r>
      <w:r>
        <w:rPr>
          <w:sz w:val="20"/>
          <w:szCs w:val="20"/>
          <w:color w:val="auto"/>
        </w:rPr>
        <w:tab/>
      </w:r>
      <w:r>
        <w:rPr>
          <w:rFonts w:ascii="Arial" w:cs="Arial" w:eastAsia="Arial" w:hAnsi="Arial"/>
          <w:sz w:val="15"/>
          <w:szCs w:val="15"/>
          <w:color w:val="auto"/>
        </w:rPr>
        <w:t>Page | 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27"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67" w:name="page168"/>
    <w:bookmarkEnd w:id="16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(ii) [*CTR]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 [*CTR]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 [*CTR]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 [*CTR]</w:t>
      </w:r>
    </w:p>
    <w:p>
      <w:pPr>
        <w:spacing w:after="0" w:line="158" w:lineRule="exact"/>
        <w:rPr>
          <w:sz w:val="20"/>
          <w:szCs w:val="20"/>
          <w:color w:val="auto"/>
        </w:rPr>
      </w:pPr>
    </w:p>
    <w:p>
      <w:pPr>
        <w:spacing w:after="0"/>
        <w:tabs>
          <w:tab w:leader="none" w:pos="5440" w:val="left"/>
          <w:tab w:leader="none" w:pos="10840" w:val="left"/>
        </w:tabs>
        <w:rPr>
          <w:sz w:val="20"/>
          <w:szCs w:val="20"/>
          <w:color w:val="auto"/>
        </w:rPr>
      </w:pPr>
      <w:r>
        <w:rPr>
          <w:rFonts w:ascii="Arial" w:cs="Arial" w:eastAsia="Arial" w:hAnsi="Arial"/>
          <w:sz w:val="18"/>
          <w:szCs w:val="18"/>
          <w:color w:val="auto"/>
        </w:rPr>
        <w:t>PA 3219</w:t>
      </w:r>
      <w:r>
        <w:rPr>
          <w:sz w:val="20"/>
          <w:szCs w:val="20"/>
          <w:color w:val="auto"/>
        </w:rPr>
        <w:tab/>
      </w:r>
      <w:r>
        <w:rPr>
          <w:rFonts w:ascii="Arial" w:cs="Arial" w:eastAsia="Arial" w:hAnsi="Arial"/>
          <w:sz w:val="18"/>
          <w:szCs w:val="18"/>
          <w:color w:val="auto"/>
        </w:rPr>
        <w:t>SA-4, EE2</w:t>
      </w:r>
      <w:r>
        <w:rPr>
          <w:sz w:val="20"/>
          <w:szCs w:val="20"/>
          <w:color w:val="auto"/>
        </w:rPr>
        <w:tab/>
      </w:r>
      <w:r>
        <w:rPr>
          <w:rFonts w:ascii="Arial" w:cs="Arial" w:eastAsia="Arial" w:hAnsi="Arial"/>
          <w:sz w:val="15"/>
          <w:szCs w:val="15"/>
          <w:color w:val="auto"/>
        </w:rPr>
        <w:t>Page | 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27"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10.7</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Airbus A320 Family Aircraft Purchase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October 2, 2007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AIRBUS S.A.S.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AIRWAYS, INC.</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Amendment No. 16 to the Amended and Restated Airbus A320 Family Aircraft Purchase Agreement between Airbus S.A.S. and US Airways, Inc. (this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is entered into as of July 1, 2014 by and between Airbus S.A.S., a </w:t>
      </w:r>
      <w:r>
        <w:rPr>
          <w:rFonts w:ascii="Arial" w:cs="Arial" w:eastAsia="Arial" w:hAnsi="Arial"/>
          <w:sz w:val="18"/>
          <w:szCs w:val="18"/>
          <w:i w:val="1"/>
          <w:iCs w:val="1"/>
          <w:color w:val="auto"/>
        </w:rPr>
        <w:t>société par actions simplifiée,</w:t>
      </w:r>
      <w:r>
        <w:rPr>
          <w:rFonts w:ascii="Arial" w:cs="Arial" w:eastAsia="Arial" w:hAnsi="Arial"/>
          <w:sz w:val="18"/>
          <w:szCs w:val="18"/>
          <w:color w:val="auto"/>
        </w:rPr>
        <w:t xml:space="preserve"> organized and existing under the laws of the Republic of France, having its registered office located at 1, rond-point Maurice Bellonte, 31700 Blagnac, France (the “</w:t>
      </w:r>
      <w:r>
        <w:rPr>
          <w:rFonts w:ascii="Arial" w:cs="Arial" w:eastAsia="Arial" w:hAnsi="Arial"/>
          <w:sz w:val="18"/>
          <w:szCs w:val="18"/>
          <w:u w:val="single" w:color="auto"/>
          <w:color w:val="auto"/>
        </w:rPr>
        <w:t>Seller</w:t>
      </w:r>
      <w:r>
        <w:rPr>
          <w:rFonts w:ascii="Arial" w:cs="Arial" w:eastAsia="Arial" w:hAnsi="Arial"/>
          <w:sz w:val="18"/>
          <w:szCs w:val="18"/>
          <w:color w:val="auto"/>
        </w:rPr>
        <w:t>”), and US Airways, Inc., a corporation organized and existing under the laws of the State of Delaware, United States of America, having its principal corporate offices located at 111 West Rio Salado Parkway, Tempe, Arizona 85281, U.S.A. (the “</w:t>
      </w:r>
      <w:r>
        <w:rPr>
          <w:rFonts w:ascii="Arial" w:cs="Arial" w:eastAsia="Arial" w:hAnsi="Arial"/>
          <w:sz w:val="18"/>
          <w:szCs w:val="18"/>
          <w:u w:val="single" w:color="auto"/>
          <w:color w:val="auto"/>
        </w:rPr>
        <w:t>Buyer</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WHEREAS, the Buyer and the Seller entered into an Amended and Restated Airbus A320 Family Purchase Agreement dated as of October 2, 2007, which agreement, as previously amended by and supplemented with all Exhibits, Appendices, Letter Agreements and amendments, including Amendment No. 1 dated as of January 11, 2008, Amendment No. 2 dated as of October 20, 2008 (“</w:t>
      </w:r>
      <w:r>
        <w:rPr>
          <w:rFonts w:ascii="Arial" w:cs="Arial" w:eastAsia="Arial" w:hAnsi="Arial"/>
          <w:sz w:val="17"/>
          <w:szCs w:val="17"/>
          <w:u w:val="single" w:color="auto"/>
          <w:color w:val="auto"/>
        </w:rPr>
        <w:t>Amendment No. 2</w:t>
      </w:r>
      <w:r>
        <w:rPr>
          <w:rFonts w:ascii="Arial" w:cs="Arial" w:eastAsia="Arial" w:hAnsi="Arial"/>
          <w:sz w:val="17"/>
          <w:szCs w:val="17"/>
          <w:color w:val="auto"/>
        </w:rPr>
        <w:t>”), Amendment No. 3 dated as of January 16, 2009, Amendment No. 4 dated as of August 11, 2009, Amendment No. 5 dated as of October 2, 2009, Amendment No. 6 dated as of November 20, 2009, Amendment No. 7 dated as of April 1, 2010, Amendment No. 8 dated as of January 13, 2011, Amendment No. 9 dated as of March 31, 2011, Amendment No. 10 dated as of October 17, 2011, Amendment No. 11 dated as of December 15, 2011, Amendment No. 12 dated as of October 19, 2012, Amendment No. 13 dated as of July 3, 2013, Amendment No. 14 dated as of September 30, 2013, and Amendment No. 15 dated as of December 20, 2013 (the “</w:t>
      </w:r>
      <w:r>
        <w:rPr>
          <w:rFonts w:ascii="Arial" w:cs="Arial" w:eastAsia="Arial" w:hAnsi="Arial"/>
          <w:sz w:val="17"/>
          <w:szCs w:val="17"/>
          <w:u w:val="single" w:color="auto"/>
          <w:color w:val="auto"/>
        </w:rPr>
        <w:t>Agreement</w:t>
      </w:r>
      <w:r>
        <w:rPr>
          <w:rFonts w:ascii="Arial" w:cs="Arial" w:eastAsia="Arial" w:hAnsi="Arial"/>
          <w:sz w:val="17"/>
          <w:szCs w:val="17"/>
          <w:color w:val="auto"/>
        </w:rPr>
        <w:t>”), relates to the sale by the Seller and the purchase by the Buyer of certain Airbus single-aisle aircraft;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WHEREAS, the Buyer and the Seller have agreed to amend certain terms of the Agreement as set forth herein.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IT IS AGREED AS FOLLOWS: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Capitalized terms used herein and not otherwise defined in this Amendment will have the meanings assigned to them in the Agreement. The terms “herein,” “hereof,” and “hereunder” and words of similar import refer to this Amendment.</w:t>
      </w:r>
    </w:p>
    <w:p>
      <w:pPr>
        <w:sectPr>
          <w:pgSz w:w="11900" w:h="16838" w:orient="portrait"/>
          <w:cols w:equalWidth="0" w:num="1">
            <w:col w:w="11420"/>
          </w:cols>
          <w:pgMar w:left="240" w:top="121" w:right="239" w:bottom="1440" w:gutter="0" w:footer="0" w:header="0"/>
        </w:sectPr>
      </w:pPr>
    </w:p>
    <w:bookmarkStart w:id="169" w:name="page170"/>
    <w:bookmarkEnd w:id="169"/>
    <w:p>
      <w:pPr>
        <w:ind w:left="460" w:hanging="452"/>
        <w:spacing w:after="0"/>
        <w:tabs>
          <w:tab w:leader="none" w:pos="4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A321 Delivery Matters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New paragraphs 3.7, 3.8 and 3.9 are added to the Amended and Restated Letter Agreement No. 5 to the Agreement with the following quoted text:</w:t>
      </w:r>
    </w:p>
    <w:p>
      <w:pPr>
        <w:spacing w:after="0" w:line="14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QUOTE</w:t>
      </w:r>
    </w:p>
    <w:p>
      <w:pPr>
        <w:spacing w:after="0" w:line="130" w:lineRule="exact"/>
        <w:rPr>
          <w:rFonts w:ascii="Arial" w:cs="Arial" w:eastAsia="Arial" w:hAnsi="Arial"/>
          <w:sz w:val="18"/>
          <w:szCs w:val="18"/>
          <w:b w:val="1"/>
          <w:bCs w:val="1"/>
          <w:color w:val="auto"/>
        </w:rPr>
      </w:pPr>
    </w:p>
    <w:p>
      <w:pPr>
        <w:ind w:left="900" w:right="20" w:hanging="446"/>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3.7 The Seller will provide to the Buyer a [*CTR] upon Delivery of each of the [*CTR] New A321 Aircraft identified in Clause 9.1.1 of the Agreement with New CAC IDs [*CTR].</w:t>
      </w:r>
    </w:p>
    <w:p>
      <w:pPr>
        <w:spacing w:after="0" w:line="7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3.8   [*CTR]</w:t>
      </w:r>
    </w:p>
    <w:p>
      <w:pPr>
        <w:spacing w:after="0" w:line="13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3.9   At the Buyer’s option, the [*CTR].</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UNQUOTE</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 OF AMENDMENT</w:t>
      </w:r>
    </w:p>
    <w:p>
      <w:pPr>
        <w:spacing w:after="0" w:line="135" w:lineRule="exact"/>
        <w:rPr>
          <w:sz w:val="20"/>
          <w:szCs w:val="20"/>
          <w:color w:val="auto"/>
        </w:rPr>
      </w:pPr>
    </w:p>
    <w:p>
      <w:pPr>
        <w:jc w:val="both"/>
        <w:ind w:left="460" w:hanging="445"/>
        <w:spacing w:after="0" w:line="259" w:lineRule="auto"/>
        <w:tabs>
          <w:tab w:leader="none" w:pos="440" w:val="left"/>
        </w:tabs>
        <w:rPr>
          <w:sz w:val="20"/>
          <w:szCs w:val="20"/>
          <w:color w:val="auto"/>
        </w:rPr>
      </w:pPr>
      <w:r>
        <w:rPr>
          <w:rFonts w:ascii="Arial" w:cs="Arial" w:eastAsia="Arial" w:hAnsi="Arial"/>
          <w:sz w:val="18"/>
          <w:szCs w:val="18"/>
          <w:color w:val="auto"/>
        </w:rPr>
        <w:t>2.1</w:t>
        <w:tab/>
        <w:t>The provisions of this Amendment constitute a valid amendment to the Agreement and the Agreement will be deemed to be amended to the extent herein provided and, except as specifically amended hereby, will continue in full force and effect in accordance with its original terms. This Amendment supersedes any previous understandings, commitments, or representations whatsoever, whether oral or written, related to the subject matter of this Amendment.</w:t>
      </w:r>
    </w:p>
    <w:p>
      <w:pPr>
        <w:spacing w:after="0" w:line="92" w:lineRule="exact"/>
        <w:rPr>
          <w:sz w:val="20"/>
          <w:szCs w:val="20"/>
          <w:color w:val="auto"/>
        </w:rPr>
      </w:pPr>
    </w:p>
    <w:p>
      <w:pPr>
        <w:jc w:val="both"/>
        <w:ind w:left="460" w:hanging="445"/>
        <w:spacing w:after="0" w:line="286" w:lineRule="auto"/>
        <w:tabs>
          <w:tab w:leader="none" w:pos="4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Both parties agree that this Amendment will constitute an integral, nonseverable part of the Agreement, that the provisions of said Agreement are hereby incorporated herein by reference, and that this Amendment will be governed by the provisions of the Agreement, except that if the Agreement and this Amendment have specific provisions that are inconsistent, the specific provisions contained in this Amendment will govern.</w:t>
      </w:r>
    </w:p>
    <w:p>
      <w:pPr>
        <w:spacing w:after="0" w:line="310"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This Amendment is subject to the confidentiality provisions set forth in Clause 22.7 of the Agreement.</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governing law shall be as set forth in Clause 22.4 of the Agreement.</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p>
    <w:p>
      <w:pPr>
        <w:spacing w:after="0" w:line="121" w:lineRule="exact"/>
        <w:rPr>
          <w:rFonts w:ascii="Arial" w:cs="Arial" w:eastAsia="Arial" w:hAnsi="Arial"/>
          <w:sz w:val="18"/>
          <w:szCs w:val="18"/>
          <w:b w:val="1"/>
          <w:bCs w:val="1"/>
          <w:color w:val="auto"/>
        </w:rPr>
      </w:pPr>
    </w:p>
    <w:p>
      <w:pPr>
        <w:ind w:left="4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This Amendment may be signed in separate counterparts. Each counterpart, when signed and delivered (including counterparts delivered by facsimile transmission or electronic mail), will be an original, and the counterparts will together constitute one and the same instrument.</w:t>
      </w:r>
    </w:p>
    <w:p>
      <w:pPr>
        <w:sectPr>
          <w:pgSz w:w="11900" w:h="16838" w:orient="portrait"/>
          <w:cols w:equalWidth="0" w:num="1">
            <w:col w:w="11420"/>
          </w:cols>
          <w:pgMar w:left="240" w:top="270" w:right="239" w:bottom="1440" w:gutter="0" w:footer="0" w:header="0"/>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USA – Amendment No. 16 to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Amended and Restated Airbus A320 Family Purchase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CT0803167-AMD16-USA-A320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PRIVILEGED AND CONFIDENTIAL</w:t>
      </w:r>
    </w:p>
    <w:p>
      <w:pPr>
        <w:spacing w:after="0" w:line="212"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[*CTR] = [CONFIDENTIAL PORTION OMITTED AND FILED SEPARATELY WITH THE COMMISSION</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PURSUANT TO A REQUEST FOR CONFIDENTIAL TREATMENT]</w:t>
      </w:r>
    </w:p>
    <w:p>
      <w:pPr>
        <w:sectPr>
          <w:pgSz w:w="11900" w:h="16838" w:orient="portrait"/>
          <w:cols w:equalWidth="0" w:num="1">
            <w:col w:w="11420"/>
          </w:cols>
          <w:pgMar w:left="240" w:top="270" w:right="239" w:bottom="1440" w:gutter="0" w:footer="0" w:header="0"/>
          <w:type w:val="continuous"/>
        </w:sectPr>
      </w:pPr>
    </w:p>
    <w:bookmarkStart w:id="170" w:name="page171"/>
    <w:bookmarkEnd w:id="1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these presents were entered into as of the day and year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US AIRWAYS, INC.</w:t>
            </w:r>
          </w:p>
        </w:tc>
        <w:tc>
          <w:tcPr>
            <w:tcW w:w="6020" w:type="dxa"/>
            <w:vAlign w:val="bottom"/>
            <w:gridSpan w:val="2"/>
          </w:tcPr>
          <w:p>
            <w:pPr>
              <w:ind w:left="640"/>
              <w:spacing w:after="0"/>
              <w:rPr>
                <w:sz w:val="20"/>
                <w:szCs w:val="20"/>
                <w:color w:val="auto"/>
              </w:rPr>
            </w:pPr>
            <w:r>
              <w:rPr>
                <w:rFonts w:ascii="Arial" w:cs="Arial" w:eastAsia="Arial" w:hAnsi="Arial"/>
                <w:sz w:val="18"/>
                <w:szCs w:val="18"/>
                <w:color w:val="auto"/>
              </w:rPr>
              <w:t>AIRBUS S.A.S.</w:t>
            </w: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color w:val="auto"/>
              </w:rPr>
              <w:t>By:  /s/ US AIRWAYS, INC.</w:t>
            </w:r>
          </w:p>
        </w:tc>
        <w:tc>
          <w:tcPr>
            <w:tcW w:w="6020" w:type="dxa"/>
            <w:vAlign w:val="bottom"/>
            <w:gridSpan w:val="2"/>
          </w:tcPr>
          <w:p>
            <w:pPr>
              <w:ind w:left="640"/>
              <w:spacing w:after="0"/>
              <w:rPr>
                <w:sz w:val="20"/>
                <w:szCs w:val="20"/>
                <w:color w:val="auto"/>
              </w:rPr>
            </w:pPr>
            <w:r>
              <w:rPr>
                <w:rFonts w:ascii="Arial" w:cs="Arial" w:eastAsia="Arial" w:hAnsi="Arial"/>
                <w:sz w:val="18"/>
                <w:szCs w:val="18"/>
                <w:color w:val="auto"/>
              </w:rPr>
              <w:t>By:  /s/ AIRBUS S.A.S.</w:t>
            </w:r>
          </w:p>
        </w:tc>
      </w:tr>
      <w:tr>
        <w:trPr>
          <w:trHeight w:val="20"/>
        </w:trPr>
        <w:tc>
          <w:tcPr>
            <w:tcW w:w="380" w:type="dxa"/>
            <w:vAlign w:val="bottom"/>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r>
      <w:tr>
        <w:trPr>
          <w:trHeight w:val="331"/>
        </w:trPr>
        <w:tc>
          <w:tcPr>
            <w:tcW w:w="5400" w:type="dxa"/>
            <w:vAlign w:val="bottom"/>
            <w:gridSpan w:val="2"/>
          </w:tcPr>
          <w:p>
            <w:pPr>
              <w:spacing w:after="0"/>
              <w:rPr>
                <w:sz w:val="20"/>
                <w:szCs w:val="20"/>
                <w:color w:val="auto"/>
              </w:rPr>
            </w:pPr>
            <w:r>
              <w:rPr>
                <w:rFonts w:ascii="Arial" w:cs="Arial" w:eastAsia="Arial" w:hAnsi="Arial"/>
                <w:sz w:val="18"/>
                <w:szCs w:val="18"/>
                <w:color w:val="auto"/>
              </w:rPr>
              <w:t>Its:  Vice President, Fleet Planning</w:t>
            </w:r>
          </w:p>
        </w:tc>
        <w:tc>
          <w:tcPr>
            <w:tcW w:w="6020" w:type="dxa"/>
            <w:vAlign w:val="bottom"/>
            <w:gridSpan w:val="2"/>
          </w:tcPr>
          <w:p>
            <w:pPr>
              <w:ind w:left="640"/>
              <w:spacing w:after="0"/>
              <w:rPr>
                <w:sz w:val="20"/>
                <w:szCs w:val="20"/>
                <w:color w:val="auto"/>
              </w:rPr>
            </w:pPr>
            <w:r>
              <w:rPr>
                <w:rFonts w:ascii="Arial" w:cs="Arial" w:eastAsia="Arial" w:hAnsi="Arial"/>
                <w:sz w:val="18"/>
                <w:szCs w:val="18"/>
                <w:color w:val="auto"/>
              </w:rPr>
              <w:t>Its:  Senior Vice President Contracts</w:t>
            </w:r>
          </w:p>
        </w:tc>
      </w:tr>
      <w:tr>
        <w:trPr>
          <w:trHeight w:val="350"/>
        </w:trPr>
        <w:tc>
          <w:tcPr>
            <w:tcW w:w="5400" w:type="dxa"/>
            <w:vAlign w:val="bottom"/>
            <w:gridSpan w:val="2"/>
          </w:tcPr>
          <w:p>
            <w:pPr>
              <w:spacing w:after="0"/>
              <w:rPr>
                <w:sz w:val="20"/>
                <w:szCs w:val="20"/>
                <w:color w:val="auto"/>
              </w:rPr>
            </w:pPr>
            <w:r>
              <w:rPr>
                <w:rFonts w:ascii="Arial" w:cs="Arial" w:eastAsia="Arial" w:hAnsi="Arial"/>
                <w:sz w:val="18"/>
                <w:szCs w:val="18"/>
                <w:color w:val="auto"/>
              </w:rPr>
              <w:t>USA – Amendment No. 16 to</w:t>
            </w:r>
          </w:p>
        </w:tc>
        <w:tc>
          <w:tcPr>
            <w:tcW w:w="100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Amended and Restated Airbus A320 Family Purchase Agreement</w:t>
            </w:r>
          </w:p>
        </w:tc>
        <w:tc>
          <w:tcPr>
            <w:tcW w:w="1000" w:type="dxa"/>
            <w:vAlign w:val="bottom"/>
          </w:tcPr>
          <w:p>
            <w:pPr>
              <w:spacing w:after="0"/>
              <w:rPr>
                <w:sz w:val="19"/>
                <w:szCs w:val="19"/>
                <w:color w:val="auto"/>
              </w:rPr>
            </w:pPr>
          </w:p>
        </w:tc>
        <w:tc>
          <w:tcPr>
            <w:tcW w:w="5020" w:type="dxa"/>
            <w:vAlign w:val="bottom"/>
          </w:tcPr>
          <w:p>
            <w:pPr>
              <w:spacing w:after="0"/>
              <w:rPr>
                <w:sz w:val="19"/>
                <w:szCs w:val="19"/>
                <w:color w:val="auto"/>
              </w:rPr>
            </w:pP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CT0803167-AMD16-USA-A320</w:t>
            </w:r>
          </w:p>
        </w:tc>
        <w:tc>
          <w:tcPr>
            <w:tcW w:w="6020" w:type="dxa"/>
            <w:vAlign w:val="bottom"/>
            <w:gridSpan w:val="2"/>
          </w:tcPr>
          <w:p>
            <w:pPr>
              <w:ind w:left="660"/>
              <w:spacing w:after="0"/>
              <w:rPr>
                <w:sz w:val="20"/>
                <w:szCs w:val="20"/>
                <w:color w:val="auto"/>
              </w:rPr>
            </w:pPr>
            <w:r>
              <w:rPr>
                <w:rFonts w:ascii="Arial" w:cs="Arial" w:eastAsia="Arial" w:hAnsi="Arial"/>
                <w:sz w:val="18"/>
                <w:szCs w:val="18"/>
                <w:i w:val="1"/>
                <w:iCs w:val="1"/>
                <w:color w:val="auto"/>
              </w:rPr>
              <w:t>PRIVILEGED AND CONFIDENTIAL</w:t>
            </w:r>
          </w:p>
        </w:tc>
      </w:tr>
    </w:tbl>
    <w:p>
      <w:pPr>
        <w:sectPr>
          <w:pgSz w:w="11900" w:h="16838" w:orient="portrait"/>
          <w:cols w:equalWidth="0" w:num="1">
            <w:col w:w="11420"/>
          </w:cols>
          <w:pgMar w:left="240" w:top="274"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Short-term Incentive Program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(Established Effective January 22,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ECTION</w:t>
      </w:r>
      <w:r>
        <w:rPr>
          <w:rFonts w:ascii="Arial" w:cs="Arial" w:eastAsia="Arial" w:hAnsi="Arial"/>
          <w:sz w:val="18"/>
          <w:szCs w:val="18"/>
          <w:b w:val="1"/>
          <w:bCs w:val="1"/>
          <w:color w:val="auto"/>
        </w:rPr>
        <w:t xml:space="preserve"> I. P</w:t>
      </w:r>
      <w:r>
        <w:rPr>
          <w:rFonts w:ascii="Arial" w:cs="Arial" w:eastAsia="Arial" w:hAnsi="Arial"/>
          <w:sz w:val="15"/>
          <w:szCs w:val="15"/>
          <w:b w:val="1"/>
          <w:bCs w:val="1"/>
          <w:color w:val="auto"/>
        </w:rPr>
        <w:t>URPOSE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the American Airlines Group Inc. 2014 Short-term Incentive Program (the “Program”) is to:</w:t>
      </w:r>
    </w:p>
    <w:p>
      <w:pPr>
        <w:spacing w:after="0" w:line="131" w:lineRule="exact"/>
        <w:rPr>
          <w:sz w:val="20"/>
          <w:szCs w:val="20"/>
          <w:color w:val="auto"/>
        </w:rPr>
      </w:pPr>
    </w:p>
    <w:p>
      <w:pPr>
        <w:ind w:left="440" w:hanging="324"/>
        <w:spacing w:after="0"/>
        <w:tabs>
          <w:tab w:leader="none" w:pos="44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Motivate executives and other key management to increase shareholder value, and</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Encourage strategic decision-making by rewarding the achievement of certain financial and operational goals.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Program sets forth the terms and conditions for cash Performance Awards (“Awards”) to be paid for the Performance Period commencing on January 1 of each year and ending on December 31 of each year (each, a “Plan Year”) under the American Airlines Group Inc. 2013 Incentive Award Plan (the “Plan”) to individuals employed in eligible positions. Capitalized terms not defined herein have the meanings as set forth in the Plan.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ECTION</w:t>
      </w:r>
      <w:r>
        <w:rPr>
          <w:rFonts w:ascii="Arial" w:cs="Arial" w:eastAsia="Arial" w:hAnsi="Arial"/>
          <w:sz w:val="18"/>
          <w:szCs w:val="18"/>
          <w:b w:val="1"/>
          <w:bCs w:val="1"/>
          <w:color w:val="auto"/>
        </w:rPr>
        <w:t xml:space="preserve"> II. E</w:t>
      </w:r>
      <w:r>
        <w:rPr>
          <w:rFonts w:ascii="Arial" w:cs="Arial" w:eastAsia="Arial" w:hAnsi="Arial"/>
          <w:sz w:val="15"/>
          <w:szCs w:val="15"/>
          <w:b w:val="1"/>
          <w:bCs w:val="1"/>
          <w:color w:val="auto"/>
        </w:rPr>
        <w:t>LIGIBILITY</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RITERIA</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Employees of American Airlines Group Inc. (the “Company”) or an Affiliate who meet the criteria established by the Committee in writing or, with respect to Participants who are not executive officers, delegated to management at the time of its approval of this Program are eligible to participate in the Program based on the principles so established by the Committee or management, as applicable.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ECTION</w:t>
      </w:r>
      <w:r>
        <w:rPr>
          <w:rFonts w:ascii="Arial" w:cs="Arial" w:eastAsia="Arial" w:hAnsi="Arial"/>
          <w:sz w:val="18"/>
          <w:szCs w:val="18"/>
          <w:b w:val="1"/>
          <w:bCs w:val="1"/>
          <w:color w:val="auto"/>
        </w:rPr>
        <w:t xml:space="preserve"> III. A</w:t>
      </w:r>
      <w:r>
        <w:rPr>
          <w:rFonts w:ascii="Arial" w:cs="Arial" w:eastAsia="Arial" w:hAnsi="Arial"/>
          <w:sz w:val="15"/>
          <w:szCs w:val="15"/>
          <w:b w:val="1"/>
          <w:bCs w:val="1"/>
          <w:color w:val="auto"/>
        </w:rPr>
        <w:t>WARD</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EVELS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Participants have the opportunity to earn Performance Awards under the Program for the Plan Year based on the achievement of certain financial and operational targets as described in the Plan and as adopted by the Committee in writing at the time of its approval of this Program.</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Committee may, in its discretion, increase or decrease the amount of a Participant’s Award based on individual performance; a Participant’s Award may be increased by up to 50% or decreased to zero. The aggregate effect of the individual performance modifier for all Participants may not result in an increase to the aggregate Program incentive amount. Further, in no event shall an individual payout exceed 200% of the applicable target.</w:t>
      </w:r>
    </w:p>
    <w:p>
      <w:pPr>
        <w:sectPr>
          <w:pgSz w:w="11900" w:h="16838" w:orient="portrait"/>
          <w:cols w:equalWidth="0" w:num="1">
            <w:col w:w="11420"/>
          </w:cols>
          <w:pgMar w:left="240" w:top="121" w:right="2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Minimum, threshold, target, and maximum Award Levels shall be as established by the Committee at the time of its approval of this Program.</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 Award Levels are expressed as a percentage of the employee’s base salary as in effect on the last day of the Plan Year, except that: if the employee is promoted or demoted during the Plan Year as described in Section II, the last base salary in effect for such employee at the eligible position prior to the demotion or promotion will be used to determine any pro rata Award attributable to such eligible position, and the base salary in effect for such employee on the last day of the Plan Year will be used to determine the portion of the Award attributable to the employee’s last eligible position during the Plan Year.</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 Participant is continuously and actively employed during the entire Plan Year, but forfeits his or her Award because the Participant did not satisfy the continuous active employment requirements set forth in Section IV below through the date of payment of the Award, then the CEO or his or her designee is hereby authorized to reallocate the value of such Award among other Participants who have qualified for Awards under the Program and whose individual performances, in the opinion of the CEO or his or her designee, warrant increased Award amounts. An Award will be increased only to the extent that it does not exceed any dollar or percentage limits set by the Committee at the time of approval of the Program, and to the extent it will be credited to an executive officer, only if the Committee approves the increased amount.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ECTION</w:t>
      </w:r>
      <w:r>
        <w:rPr>
          <w:rFonts w:ascii="Arial" w:cs="Arial" w:eastAsia="Arial" w:hAnsi="Arial"/>
          <w:sz w:val="18"/>
          <w:szCs w:val="18"/>
          <w:b w:val="1"/>
          <w:bCs w:val="1"/>
          <w:color w:val="auto"/>
        </w:rPr>
        <w:t xml:space="preserve"> IV. A</w:t>
      </w:r>
      <w:r>
        <w:rPr>
          <w:rFonts w:ascii="Arial" w:cs="Arial" w:eastAsia="Arial" w:hAnsi="Arial"/>
          <w:sz w:val="15"/>
          <w:szCs w:val="15"/>
          <w:b w:val="1"/>
          <w:bCs w:val="1"/>
          <w:color w:val="auto"/>
        </w:rPr>
        <w:t>WARD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AYMENT</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IMING</w:t>
      </w:r>
      <w:r>
        <w:rPr>
          <w:rFonts w:ascii="Arial" w:cs="Arial" w:eastAsia="Arial" w:hAnsi="Arial"/>
          <w:sz w:val="18"/>
          <w:szCs w:val="18"/>
          <w:b w:val="1"/>
          <w:bCs w:val="1"/>
          <w:color w:val="auto"/>
        </w:rPr>
        <w:t>, E</w:t>
      </w:r>
      <w:r>
        <w:rPr>
          <w:rFonts w:ascii="Arial" w:cs="Arial" w:eastAsia="Arial" w:hAnsi="Arial"/>
          <w:sz w:val="15"/>
          <w:szCs w:val="15"/>
          <w:b w:val="1"/>
          <w:bCs w:val="1"/>
          <w:color w:val="auto"/>
        </w:rPr>
        <w:t>ARLY</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AYMENT AND</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EPARATION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Awards shall be paid in cash as soon as possible after the close of the Plan Year, but no later than March 15, 2015, or as soon thereafter if such payment was administratively impracticable to make by such date and such impracticability was unforeseeable as of the date upon which the legally binding right to such payment arose (as determined under Treasury Regulation Section 1.409A-1(b)(4)(ii)). Payments will be subject to all required federal, state, and local tax withholding.</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receive an Award, an employee must be in continuous active employment with the Company (or an Affiliate) through the date of payment of the Award, unless otherwise prohibited by law, subject to the following special rules:</w:t>
      </w:r>
    </w:p>
    <w:p>
      <w:pPr>
        <w:spacing w:after="0" w:line="76" w:lineRule="exact"/>
        <w:rPr>
          <w:sz w:val="20"/>
          <w:szCs w:val="20"/>
          <w:color w:val="auto"/>
        </w:rPr>
      </w:pPr>
    </w:p>
    <w:p>
      <w:pPr>
        <w:ind w:left="900" w:hanging="325"/>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the employee is on a leave of absence on the date of payment of the award, but is otherwise eligible for such Award, the employee will receive payment for any portion of the Award they have earned on such date.</w:t>
      </w:r>
    </w:p>
    <w:p>
      <w:pPr>
        <w:spacing w:after="0" w:line="75"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the employee separates from service with the Company (and all Affiliates) while actively employed in an eligible position due to death or disability prior to the payment of the Award, but is otherwise eligible for such Award, the employee will be treated as having been actively employed on the date of payment of the Award.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274" w:right="2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this Program, “disability” shall mean a “permanent and total disability” within the meaning of Section 22(e)(3) of the Code.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employee separates from service with the Company (and all Affiliates) for any reason other than death or disability (whether such separation is voluntary or involuntary or during active employment or a leave of absence), no unpaid Award will be due under the Program, unless otherwise required by law.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ECTION</w:t>
      </w:r>
      <w:r>
        <w:rPr>
          <w:rFonts w:ascii="Arial" w:cs="Arial" w:eastAsia="Arial" w:hAnsi="Arial"/>
          <w:sz w:val="18"/>
          <w:szCs w:val="18"/>
          <w:b w:val="1"/>
          <w:bCs w:val="1"/>
          <w:color w:val="auto"/>
        </w:rPr>
        <w:t xml:space="preserve"> V. P</w:t>
      </w:r>
      <w:r>
        <w:rPr>
          <w:rFonts w:ascii="Arial" w:cs="Arial" w:eastAsia="Arial" w:hAnsi="Arial"/>
          <w:sz w:val="15"/>
          <w:szCs w:val="15"/>
          <w:b w:val="1"/>
          <w:bCs w:val="1"/>
          <w:color w:val="auto"/>
        </w:rPr>
        <w:t>ROGRAM</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DMINISTRATION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Program will be administered by the Committee in accordance with the Plan and, where an Award is intended by the Committee to qualify as a Performance Award under the Plan, in a manner that satisfies the requirements of Section 162(m) of the Internal Revenue Code for qualified “performance-based” compensation.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Awards generally are calculated and distributed as provided in Sections III and IV above;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 Award payments will be made unless the Committee certifies in writing with respect to each officer (a) that all material terms of the Program have been satisfied and (b) that payments to the employee in stated amounts are appropriate under the Program.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ECTION</w:t>
      </w:r>
      <w:r>
        <w:rPr>
          <w:rFonts w:ascii="Arial" w:cs="Arial" w:eastAsia="Arial" w:hAnsi="Arial"/>
          <w:sz w:val="18"/>
          <w:szCs w:val="18"/>
          <w:b w:val="1"/>
          <w:bCs w:val="1"/>
          <w:color w:val="auto"/>
        </w:rPr>
        <w:t xml:space="preserve"> VI. A</w:t>
      </w:r>
      <w:r>
        <w:rPr>
          <w:rFonts w:ascii="Arial" w:cs="Arial" w:eastAsia="Arial" w:hAnsi="Arial"/>
          <w:sz w:val="15"/>
          <w:szCs w:val="15"/>
          <w:b w:val="1"/>
          <w:bCs w:val="1"/>
          <w:color w:val="auto"/>
        </w:rPr>
        <w:t>BSENCE OF</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ROGRAM</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UNDING</w:t>
      </w:r>
      <w:r>
        <w:rPr>
          <w:rFonts w:ascii="Arial" w:cs="Arial" w:eastAsia="Arial" w:hAnsi="Arial"/>
          <w:sz w:val="18"/>
          <w:szCs w:val="18"/>
          <w:b w:val="1"/>
          <w:bCs w:val="1"/>
          <w:color w:val="auto"/>
        </w:rPr>
        <w:t>; N</w:t>
      </w:r>
      <w:r>
        <w:rPr>
          <w:rFonts w:ascii="Arial" w:cs="Arial" w:eastAsia="Arial" w:hAnsi="Arial"/>
          <w:sz w:val="15"/>
          <w:szCs w:val="15"/>
          <w:b w:val="1"/>
          <w:bCs w:val="1"/>
          <w:color w:val="auto"/>
        </w:rPr>
        <w:t>O</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NTEREST</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Benefits under the Program shall be paid from the general funds of the Company (or the Affiliate), and an employee (or the employee’s estate in the event of death) shall be no more than an unsecured general creditor of the Company (or the Affiliate) with no special or prior right to any assets of the Company (or the Affiliate).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Nothing contained in the Program shall be deemed to give any employee any equity or other interest in the assets, business or affairs of the Company or any Affiliate. It is not intended that an employee’s interest in the Program shall constitute a security or equity interest within the meaning of any state or federal securities laws.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ECTION</w:t>
      </w:r>
      <w:r>
        <w:rPr>
          <w:rFonts w:ascii="Arial" w:cs="Arial" w:eastAsia="Arial" w:hAnsi="Arial"/>
          <w:sz w:val="18"/>
          <w:szCs w:val="18"/>
          <w:b w:val="1"/>
          <w:bCs w:val="1"/>
          <w:color w:val="auto"/>
        </w:rPr>
        <w:t xml:space="preserve"> VII. N</w:t>
      </w:r>
      <w:r>
        <w:rPr>
          <w:rFonts w:ascii="Arial" w:cs="Arial" w:eastAsia="Arial" w:hAnsi="Arial"/>
          <w:sz w:val="15"/>
          <w:szCs w:val="15"/>
          <w:b w:val="1"/>
          <w:bCs w:val="1"/>
          <w:color w:val="auto"/>
        </w:rPr>
        <w:t>O</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RANSFERABILITY</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employee shall not have any right to transfer, sell, alienate, assign, pledge, mortgage, collateralize or otherwise encumber any of the payments provided by this Program.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ECTION</w:t>
      </w:r>
      <w:r>
        <w:rPr>
          <w:rFonts w:ascii="Arial" w:cs="Arial" w:eastAsia="Arial" w:hAnsi="Arial"/>
          <w:sz w:val="18"/>
          <w:szCs w:val="18"/>
          <w:b w:val="1"/>
          <w:bCs w:val="1"/>
          <w:color w:val="auto"/>
        </w:rPr>
        <w:t xml:space="preserve"> VIII. N</w:t>
      </w:r>
      <w:r>
        <w:rPr>
          <w:rFonts w:ascii="Arial" w:cs="Arial" w:eastAsia="Arial" w:hAnsi="Arial"/>
          <w:sz w:val="15"/>
          <w:szCs w:val="15"/>
          <w:b w:val="1"/>
          <w:bCs w:val="1"/>
          <w:color w:val="auto"/>
        </w:rPr>
        <w:t>O</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MPLOYMENT</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Program is not intended to be a contract of employment. Both the employee and the Company (and all Affiliates) have the right to end their employment with or without cause or notice.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274" w:right="2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5"/>
          <w:szCs w:val="15"/>
          <w:b w:val="1"/>
          <w:bCs w:val="1"/>
          <w:color w:val="auto"/>
        </w:rPr>
        <w:t>ECTION</w:t>
      </w:r>
      <w:r>
        <w:rPr>
          <w:rFonts w:ascii="Arial" w:cs="Arial" w:eastAsia="Arial" w:hAnsi="Arial"/>
          <w:sz w:val="18"/>
          <w:szCs w:val="18"/>
          <w:b w:val="1"/>
          <w:bCs w:val="1"/>
          <w:color w:val="auto"/>
        </w:rPr>
        <w:t xml:space="preserve"> IX. I</w:t>
      </w:r>
      <w:r>
        <w:rPr>
          <w:rFonts w:ascii="Arial" w:cs="Arial" w:eastAsia="Arial" w:hAnsi="Arial"/>
          <w:sz w:val="15"/>
          <w:szCs w:val="15"/>
          <w:b w:val="1"/>
          <w:bCs w:val="1"/>
          <w:color w:val="auto"/>
        </w:rPr>
        <w:t>NTERPRETATION</w:t>
      </w:r>
      <w:r>
        <w:rPr>
          <w:rFonts w:ascii="Arial" w:cs="Arial" w:eastAsia="Arial" w:hAnsi="Arial"/>
          <w:sz w:val="18"/>
          <w:szCs w:val="18"/>
          <w:b w:val="1"/>
          <w:bCs w:val="1"/>
          <w:color w:val="auto"/>
        </w:rPr>
        <w:t>, A</w:t>
      </w:r>
      <w:r>
        <w:rPr>
          <w:rFonts w:ascii="Arial" w:cs="Arial" w:eastAsia="Arial" w:hAnsi="Arial"/>
          <w:sz w:val="15"/>
          <w:szCs w:val="15"/>
          <w:b w:val="1"/>
          <w:bCs w:val="1"/>
          <w:color w:val="auto"/>
        </w:rPr>
        <w:t>MENDMENT AND</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ERMINATION</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Committee shall have the power to interpret all provisions of the Program, which interpretations shall be final and binding on all persons. The provisions of this document shall supersede all provisions of any and all such prior documents relating to the Program and its subject matter. However, if the provisions of this document conflict with any provision of the Plan, the provisions set forth in the Plan shall govern in all cases. The laws of the State of Delaware shall govern all questions concerning the construction, validity and interpretation of the Program, without regard to such state’s conflict of laws rules.</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The Committee reserves the right to amend or terminate the Program at any time, with or without prior notice;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all amendments to the Program shall preserve the qualification of Performance Awards made under the Program as “performance-based” compensation under Section 162(m) of the Internal Revenue Code. Notwithstanding the foregoing, the Committee may not amend the Program in a way that would materially impair the rights of an employee with respect to a previously-granted Award, except to the extent necessary to preserve the qualification of Performance Awards as “performance-based” compensation under Section 162(m) of the Internal Revenue Code or unless such employee has consented in writing to such amendment.</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Notwithstanding the foregoing, in the event of any act of God, war, natural disaster, aircraft grounding, revocation of operating certificate, terrorism, strike, lockout, labor dispute, work stoppage, fire, epidemic or quarantine restriction, act of government, critical materials shortage, or any other act beyond the control of the Company, whether similar or dissimilar (each a “Force Majeure Event”), which Force Majeure Event affects the Company or its Affiliates, the Committee, in its sole discretion, may terminate or suspend, delay, defer (for such period of time as the Committee may deem necessary), or substitute any Awards due currently or in the future under the Program, including, but not limited to, any Awards that have accrued to the benefit of employees but have not yet been paid, subject to Section 409A of the Internal Revenue Code and the regulations and guidance promulgated thereunder.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270" w:right="239" w:bottom="1440" w:gutter="0" w:footer="0" w:header="0"/>
        </w:sectPr>
      </w:pPr>
    </w:p>
    <w:bookmarkStart w:id="175" w:name="page176"/>
    <w:bookmarkEnd w:id="175"/>
    <w:p>
      <w:pPr>
        <w:ind w:left="10480"/>
        <w:spacing w:after="0"/>
        <w:rPr>
          <w:sz w:val="20"/>
          <w:szCs w:val="20"/>
          <w:color w:val="auto"/>
        </w:rPr>
      </w:pPr>
      <w:r>
        <w:rPr>
          <w:rFonts w:ascii="Arial" w:cs="Arial" w:eastAsia="Arial" w:hAnsi="Arial"/>
          <w:sz w:val="16"/>
          <w:szCs w:val="16"/>
          <w:b w:val="1"/>
          <w:bCs w:val="1"/>
          <w:color w:val="auto"/>
        </w:rPr>
        <w:t>Exhibit 12.1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Combined Fixed Charges and Preferred Dividends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2660" w:type="dxa"/>
            <w:vAlign w:val="bottom"/>
            <w:gridSpan w:val="4"/>
          </w:tcPr>
          <w:p>
            <w:pPr>
              <w:jc w:val="right"/>
              <w:spacing w:after="0"/>
              <w:rPr>
                <w:sz w:val="20"/>
                <w:szCs w:val="20"/>
                <w:color w:val="auto"/>
              </w:rPr>
            </w:pPr>
            <w:r>
              <w:rPr>
                <w:rFonts w:ascii="Arial" w:cs="Arial" w:eastAsia="Arial" w:hAnsi="Arial"/>
                <w:sz w:val="18"/>
                <w:szCs w:val="18"/>
                <w:color w:val="auto"/>
              </w:rPr>
              <w:t>Three Months Ended June 30,</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20" w:type="dxa"/>
            <w:vAlign w:val="bottom"/>
            <w:gridSpan w:val="4"/>
          </w:tcPr>
          <w:p>
            <w:pPr>
              <w:jc w:val="right"/>
              <w:ind w:right="430"/>
              <w:spacing w:after="0"/>
              <w:rPr>
                <w:sz w:val="20"/>
                <w:szCs w:val="20"/>
                <w:color w:val="auto"/>
              </w:rPr>
            </w:pPr>
            <w:r>
              <w:rPr>
                <w:rFonts w:ascii="Arial" w:cs="Arial" w:eastAsia="Arial" w:hAnsi="Arial"/>
                <w:sz w:val="18"/>
                <w:szCs w:val="18"/>
                <w:color w:val="auto"/>
                <w:w w:val="99"/>
              </w:rPr>
              <w:t>Six Months Ended June 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2014</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2013</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1,204</w:t>
            </w:r>
          </w:p>
        </w:tc>
        <w:tc>
          <w:tcPr>
            <w:tcW w:w="120" w:type="dxa"/>
            <w:vAlign w:val="bottom"/>
          </w:tcPr>
          <w:p>
            <w:pPr>
              <w:spacing w:after="0"/>
              <w:rPr>
                <w:sz w:val="20"/>
                <w:szCs w:val="20"/>
                <w:color w:val="auto"/>
              </w:rPr>
            </w:pP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 Total fixed charges (per below)</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Less: Interest capitalized</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earnings before income taxes</w:t>
            </w:r>
          </w:p>
        </w:tc>
        <w:tc>
          <w:tcPr>
            <w:tcW w:w="9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1,664</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2,647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Fixed charges:</w:t>
            </w: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Interest </w:t>
            </w:r>
            <w:r>
              <w:rPr>
                <w:rFonts w:ascii="Arial" w:cs="Arial" w:eastAsia="Arial" w:hAnsi="Arial"/>
                <w:sz w:val="25"/>
                <w:szCs w:val="25"/>
                <w:color w:val="auto"/>
                <w:vertAlign w:val="superscript"/>
              </w:rPr>
              <w:t>(1)</w:t>
            </w: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Portion of rental expense representative of the interest factor</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fixed charges</w:t>
            </w:r>
          </w:p>
        </w:tc>
        <w:tc>
          <w:tcPr>
            <w:tcW w:w="9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Ratio of earnings to fixed charges</w:t>
            </w:r>
          </w:p>
        </w:tc>
        <w:tc>
          <w:tcPr>
            <w:tcW w:w="9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1.49</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Coverage deficiency</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20" w:hanging="332"/>
        <w:spacing w:after="0" w:line="216" w:lineRule="auto"/>
        <w:tabs>
          <w:tab w:leader="none" w:pos="340" w:val="left"/>
        </w:tabs>
        <w:numPr>
          <w:ilvl w:val="0"/>
          <w:numId w:val="118"/>
        </w:numPr>
        <w:rPr>
          <w:rFonts w:ascii="Arial" w:cs="Arial" w:eastAsia="Arial" w:hAnsi="Arial"/>
          <w:sz w:val="25"/>
          <w:szCs w:val="25"/>
          <w:color w:val="auto"/>
          <w:vertAlign w:val="superscript"/>
        </w:rPr>
      </w:pPr>
      <w:r>
        <w:rPr>
          <w:rFonts w:ascii="Arial" w:cs="Arial" w:eastAsia="Arial" w:hAnsi="Arial"/>
          <w:sz w:val="18"/>
          <w:szCs w:val="18"/>
          <w:color w:val="auto"/>
        </w:rPr>
        <w:t>The three and six months ended June 30, 2014 includes non-cash interest accretion related to outstanding Mandatorily Convertible Preferred Stock and Other Bankruptcy Settlement Obligations.</w:t>
      </w:r>
    </w:p>
    <w:p>
      <w:pPr>
        <w:sectPr>
          <w:pgSz w:w="11900" w:h="16838" w:orient="portrait"/>
          <w:cols w:equalWidth="0" w:num="1">
            <w:col w:w="11420"/>
          </w:cols>
          <w:pgMar w:left="240" w:top="580"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2600" w:type="dxa"/>
            <w:vAlign w:val="bottom"/>
            <w:gridSpan w:val="6"/>
          </w:tcPr>
          <w:p>
            <w:pPr>
              <w:ind w:left="180"/>
              <w:spacing w:after="0"/>
              <w:rPr>
                <w:sz w:val="20"/>
                <w:szCs w:val="20"/>
                <w:color w:val="auto"/>
              </w:rPr>
            </w:pPr>
            <w:r>
              <w:rPr>
                <w:rFonts w:ascii="Arial" w:cs="Arial" w:eastAsia="Arial" w:hAnsi="Arial"/>
                <w:sz w:val="18"/>
                <w:szCs w:val="18"/>
                <w:color w:val="auto"/>
                <w:w w:val="99"/>
              </w:rPr>
              <w:t>Three Months Ended June 30,</w:t>
            </w:r>
          </w:p>
        </w:tc>
        <w:tc>
          <w:tcPr>
            <w:tcW w:w="200" w:type="dxa"/>
            <w:vAlign w:val="bottom"/>
          </w:tcPr>
          <w:p>
            <w:pPr>
              <w:spacing w:after="0"/>
              <w:rPr>
                <w:sz w:val="20"/>
                <w:szCs w:val="20"/>
                <w:color w:val="auto"/>
              </w:rPr>
            </w:pPr>
          </w:p>
        </w:tc>
        <w:tc>
          <w:tcPr>
            <w:tcW w:w="2320" w:type="dxa"/>
            <w:vAlign w:val="bottom"/>
            <w:gridSpan w:val="4"/>
          </w:tcPr>
          <w:p>
            <w:pPr>
              <w:jc w:val="right"/>
              <w:ind w:right="170"/>
              <w:spacing w:after="0"/>
              <w:rPr>
                <w:sz w:val="20"/>
                <w:szCs w:val="20"/>
                <w:color w:val="auto"/>
              </w:rPr>
            </w:pPr>
            <w:r>
              <w:rPr>
                <w:rFonts w:ascii="Arial" w:cs="Arial" w:eastAsia="Arial" w:hAnsi="Arial"/>
                <w:sz w:val="18"/>
                <w:szCs w:val="18"/>
                <w:color w:val="auto"/>
                <w:w w:val="92"/>
              </w:rPr>
              <w:t>Six Months Ended June 30,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2014</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Add: Total fixed charges (per below)</w:t>
            </w:r>
          </w:p>
        </w:tc>
        <w:tc>
          <w:tcPr>
            <w:tcW w:w="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43"/>
        </w:trPr>
        <w:tc>
          <w:tcPr>
            <w:tcW w:w="4000" w:type="dxa"/>
            <w:vAlign w:val="bottom"/>
          </w:tcPr>
          <w:p>
            <w:pPr>
              <w:ind w:left="260"/>
              <w:spacing w:after="0"/>
              <w:rPr>
                <w:sz w:val="20"/>
                <w:szCs w:val="20"/>
                <w:color w:val="auto"/>
              </w:rPr>
            </w:pPr>
            <w:r>
              <w:rPr>
                <w:rFonts w:ascii="Arial" w:cs="Arial" w:eastAsia="Arial" w:hAnsi="Arial"/>
                <w:sz w:val="18"/>
                <w:szCs w:val="18"/>
                <w:color w:val="auto"/>
              </w:rPr>
              <w:t>Less: Interest capitalized</w:t>
            </w:r>
          </w:p>
        </w:tc>
        <w:tc>
          <w:tcPr>
            <w:tcW w:w="8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earnings before income taxes</w:t>
            </w:r>
          </w:p>
        </w:tc>
        <w:tc>
          <w:tcPr>
            <w:tcW w:w="8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20"/>
              <w:spacing w:after="0"/>
              <w:rPr>
                <w:sz w:val="20"/>
                <w:szCs w:val="20"/>
                <w:color w:val="auto"/>
              </w:rPr>
            </w:pPr>
            <w:r>
              <w:rPr>
                <w:rFonts w:ascii="Arial" w:cs="Arial" w:eastAsia="Arial" w:hAnsi="Arial"/>
                <w:sz w:val="18"/>
                <w:szCs w:val="18"/>
                <w:color w:val="auto"/>
              </w:rPr>
              <w:t>Fixed charges:</w:t>
            </w: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0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w:t>
            </w:r>
          </w:p>
        </w:tc>
        <w:tc>
          <w:tcPr>
            <w:tcW w:w="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Portion of rental expense representative of the</w:t>
            </w: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Arial" w:cs="Arial" w:eastAsia="Arial" w:hAnsi="Arial"/>
                <w:sz w:val="18"/>
                <w:szCs w:val="18"/>
                <w:color w:val="auto"/>
              </w:rPr>
              <w:t>interest factor</w:t>
            </w:r>
          </w:p>
        </w:tc>
        <w:tc>
          <w:tcPr>
            <w:tcW w:w="8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fixed charges</w:t>
            </w:r>
          </w:p>
        </w:tc>
        <w:tc>
          <w:tcPr>
            <w:tcW w:w="8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Ratio of earnings to fixed charges</w:t>
            </w:r>
          </w:p>
        </w:tc>
        <w:tc>
          <w:tcPr>
            <w:tcW w:w="8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2.82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Coverage deficiency</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60"/>
          </w:cols>
          <w:pgMar w:left="1400" w:top="580"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6"/>
          <w:szCs w:val="16"/>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CEO CERTIFICATION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 W. Douglas Parker, certify that:</w:t>
      </w:r>
    </w:p>
    <w:p>
      <w:pPr>
        <w:spacing w:after="0" w:line="113" w:lineRule="exact"/>
        <w:rPr>
          <w:sz w:val="20"/>
          <w:szCs w:val="20"/>
          <w:color w:val="auto"/>
        </w:rPr>
      </w:pPr>
    </w:p>
    <w:p>
      <w:pPr>
        <w:ind w:left="940" w:hanging="284"/>
        <w:spacing w:after="0"/>
        <w:tabs>
          <w:tab w:leader="none" w:pos="9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Airlines Group Inc.;</w:t>
      </w:r>
    </w:p>
    <w:p>
      <w:pPr>
        <w:spacing w:after="0" w:line="113" w:lineRule="exact"/>
        <w:rPr>
          <w:rFonts w:ascii="Arial" w:cs="Arial" w:eastAsia="Arial" w:hAnsi="Arial"/>
          <w:sz w:val="16"/>
          <w:szCs w:val="16"/>
          <w:color w:val="auto"/>
        </w:rPr>
      </w:pPr>
    </w:p>
    <w:p>
      <w:pPr>
        <w:ind w:firstLine="656"/>
        <w:spacing w:after="0" w:line="275" w:lineRule="auto"/>
        <w:tabs>
          <w:tab w:leader="none" w:pos="974" w:val="left"/>
        </w:tabs>
        <w:numPr>
          <w:ilvl w:val="0"/>
          <w:numId w:val="1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4" w:lineRule="exact"/>
        <w:rPr>
          <w:rFonts w:ascii="Arial" w:cs="Arial" w:eastAsia="Arial" w:hAnsi="Arial"/>
          <w:sz w:val="16"/>
          <w:szCs w:val="16"/>
          <w:color w:val="auto"/>
        </w:rPr>
      </w:pPr>
    </w:p>
    <w:p>
      <w:pPr>
        <w:ind w:firstLine="656"/>
        <w:spacing w:after="0" w:line="275" w:lineRule="auto"/>
        <w:tabs>
          <w:tab w:leader="none" w:pos="994" w:val="left"/>
        </w:tabs>
        <w:numPr>
          <w:ilvl w:val="0"/>
          <w:numId w:val="1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16"/>
          <w:szCs w:val="16"/>
          <w:color w:val="auto"/>
        </w:rPr>
      </w:pPr>
    </w:p>
    <w:p>
      <w:pPr>
        <w:ind w:firstLine="656"/>
        <w:spacing w:after="0" w:line="310" w:lineRule="auto"/>
        <w:tabs>
          <w:tab w:leader="none" w:pos="944" w:val="left"/>
        </w:tabs>
        <w:numPr>
          <w:ilvl w:val="0"/>
          <w:numId w:val="119"/>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5"/>
          <w:szCs w:val="15"/>
          <w:color w:val="auto"/>
        </w:rPr>
      </w:pPr>
    </w:p>
    <w:p>
      <w:pPr>
        <w:jc w:val="both"/>
        <w:ind w:left="660" w:firstLine="428"/>
        <w:spacing w:after="0" w:line="261" w:lineRule="auto"/>
        <w:tabs>
          <w:tab w:leader="none" w:pos="132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6"/>
          <w:szCs w:val="16"/>
          <w:color w:val="auto"/>
        </w:rPr>
      </w:pPr>
    </w:p>
    <w:p>
      <w:pPr>
        <w:jc w:val="both"/>
        <w:ind w:left="660" w:right="20" w:firstLine="428"/>
        <w:spacing w:after="0" w:line="261" w:lineRule="auto"/>
        <w:tabs>
          <w:tab w:leader="none" w:pos="1333" w:val="left"/>
        </w:tabs>
        <w:numPr>
          <w:ilvl w:val="1"/>
          <w:numId w:val="1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6"/>
          <w:szCs w:val="16"/>
          <w:color w:val="auto"/>
        </w:rPr>
      </w:pPr>
    </w:p>
    <w:p>
      <w:pPr>
        <w:ind w:left="660" w:firstLine="428"/>
        <w:spacing w:after="0" w:line="275" w:lineRule="auto"/>
        <w:tabs>
          <w:tab w:leader="none" w:pos="1316" w:val="left"/>
        </w:tabs>
        <w:numPr>
          <w:ilvl w:val="1"/>
          <w:numId w:val="1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1" w:lineRule="exact"/>
        <w:rPr>
          <w:rFonts w:ascii="Arial" w:cs="Arial" w:eastAsia="Arial" w:hAnsi="Arial"/>
          <w:sz w:val="16"/>
          <w:szCs w:val="16"/>
          <w:color w:val="auto"/>
        </w:rPr>
      </w:pPr>
    </w:p>
    <w:p>
      <w:pPr>
        <w:jc w:val="both"/>
        <w:ind w:left="660" w:firstLine="428"/>
        <w:spacing w:after="0" w:line="261" w:lineRule="auto"/>
        <w:tabs>
          <w:tab w:leader="none" w:pos="1322" w:val="left"/>
        </w:tabs>
        <w:numPr>
          <w:ilvl w:val="1"/>
          <w:numId w:val="1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6"/>
          <w:szCs w:val="16"/>
          <w:color w:val="auto"/>
        </w:rPr>
      </w:pPr>
    </w:p>
    <w:p>
      <w:pPr>
        <w:ind w:firstLine="656"/>
        <w:spacing w:after="0" w:line="275" w:lineRule="auto"/>
        <w:tabs>
          <w:tab w:leader="none" w:pos="931"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1" w:lineRule="exact"/>
        <w:rPr>
          <w:rFonts w:ascii="Arial" w:cs="Arial" w:eastAsia="Arial" w:hAnsi="Arial"/>
          <w:sz w:val="16"/>
          <w:szCs w:val="16"/>
          <w:color w:val="auto"/>
        </w:rPr>
      </w:pPr>
    </w:p>
    <w:p>
      <w:pPr>
        <w:ind w:left="660" w:firstLine="645"/>
        <w:spacing w:after="0" w:line="275" w:lineRule="auto"/>
        <w:tabs>
          <w:tab w:leader="none" w:pos="1530" w:val="left"/>
        </w:tabs>
        <w:numPr>
          <w:ilvl w:val="2"/>
          <w:numId w:val="1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1" w:lineRule="exact"/>
        <w:rPr>
          <w:rFonts w:ascii="Arial" w:cs="Arial" w:eastAsia="Arial" w:hAnsi="Arial"/>
          <w:sz w:val="16"/>
          <w:szCs w:val="16"/>
          <w:color w:val="auto"/>
        </w:rPr>
      </w:pPr>
    </w:p>
    <w:p>
      <w:pPr>
        <w:ind w:left="660" w:firstLine="645"/>
        <w:spacing w:after="0" w:line="275" w:lineRule="auto"/>
        <w:tabs>
          <w:tab w:leader="none" w:pos="1548" w:val="left"/>
        </w:tabs>
        <w:numPr>
          <w:ilvl w:val="2"/>
          <w:numId w:val="11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6" w:lineRule="exact"/>
        <w:rPr>
          <w:sz w:val="20"/>
          <w:szCs w:val="20"/>
          <w:color w:val="auto"/>
        </w:rPr>
      </w:pPr>
    </w:p>
    <w:p>
      <w:pPr>
        <w:ind w:left="1140"/>
        <w:spacing w:after="0"/>
        <w:tabs>
          <w:tab w:leader="none" w:pos="6960" w:val="left"/>
        </w:tabs>
        <w:rPr>
          <w:sz w:val="20"/>
          <w:szCs w:val="20"/>
          <w:color w:val="auto"/>
        </w:rPr>
      </w:pPr>
      <w:r>
        <w:rPr>
          <w:rFonts w:ascii="Arial" w:cs="Arial" w:eastAsia="Arial" w:hAnsi="Arial"/>
          <w:sz w:val="16"/>
          <w:szCs w:val="16"/>
          <w:color w:val="auto"/>
        </w:rPr>
        <w:t>Date: July 23, 2014</w:t>
      </w:r>
      <w:r>
        <w:rPr>
          <w:sz w:val="20"/>
          <w:szCs w:val="20"/>
          <w:color w:val="auto"/>
        </w:rPr>
        <w:tab/>
      </w:r>
      <w:r>
        <w:rPr>
          <w:rFonts w:ascii="Arial" w:cs="Arial" w:eastAsia="Arial" w:hAnsi="Arial"/>
          <w:sz w:val="14"/>
          <w:szCs w:val="14"/>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34925</wp:posOffset>
            </wp:positionV>
            <wp:extent cx="22809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80"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Name: W. Douglas Parker</w:t>
      </w:r>
    </w:p>
    <w:p>
      <w:pPr>
        <w:spacing w:after="0" w:line="86"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Title: Chief Executive Officer</w:t>
      </w:r>
    </w:p>
    <w:p>
      <w:pPr>
        <w:sectPr>
          <w:pgSz w:w="11900" w:h="16838" w:orient="portrait"/>
          <w:cols w:equalWidth="0" w:num="1">
            <w:col w:w="11420"/>
          </w:cols>
          <w:pgMar w:left="240" w:top="815"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6"/>
          <w:szCs w:val="16"/>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CFO CERTIFICATION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 Derek J. Kerr, certify that:</w:t>
      </w:r>
    </w:p>
    <w:p>
      <w:pPr>
        <w:spacing w:after="0" w:line="113" w:lineRule="exact"/>
        <w:rPr>
          <w:sz w:val="20"/>
          <w:szCs w:val="20"/>
          <w:color w:val="auto"/>
        </w:rPr>
      </w:pPr>
    </w:p>
    <w:p>
      <w:pPr>
        <w:ind w:left="940" w:hanging="284"/>
        <w:spacing w:after="0"/>
        <w:tabs>
          <w:tab w:leader="none" w:pos="9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Airlines Group Inc.;</w:t>
      </w:r>
    </w:p>
    <w:p>
      <w:pPr>
        <w:spacing w:after="0" w:line="113" w:lineRule="exact"/>
        <w:rPr>
          <w:rFonts w:ascii="Arial" w:cs="Arial" w:eastAsia="Arial" w:hAnsi="Arial"/>
          <w:sz w:val="16"/>
          <w:szCs w:val="16"/>
          <w:color w:val="auto"/>
        </w:rPr>
      </w:pPr>
    </w:p>
    <w:p>
      <w:pPr>
        <w:ind w:firstLine="656"/>
        <w:spacing w:after="0" w:line="275" w:lineRule="auto"/>
        <w:tabs>
          <w:tab w:leader="none" w:pos="974" w:val="left"/>
        </w:tabs>
        <w:numPr>
          <w:ilvl w:val="0"/>
          <w:numId w:val="1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4" w:lineRule="exact"/>
        <w:rPr>
          <w:rFonts w:ascii="Arial" w:cs="Arial" w:eastAsia="Arial" w:hAnsi="Arial"/>
          <w:sz w:val="16"/>
          <w:szCs w:val="16"/>
          <w:color w:val="auto"/>
        </w:rPr>
      </w:pPr>
    </w:p>
    <w:p>
      <w:pPr>
        <w:ind w:firstLine="656"/>
        <w:spacing w:after="0" w:line="275" w:lineRule="auto"/>
        <w:tabs>
          <w:tab w:leader="none" w:pos="994" w:val="left"/>
        </w:tabs>
        <w:numPr>
          <w:ilvl w:val="0"/>
          <w:numId w:val="1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16"/>
          <w:szCs w:val="16"/>
          <w:color w:val="auto"/>
        </w:rPr>
      </w:pPr>
    </w:p>
    <w:p>
      <w:pPr>
        <w:ind w:firstLine="656"/>
        <w:spacing w:after="0" w:line="310" w:lineRule="auto"/>
        <w:tabs>
          <w:tab w:leader="none" w:pos="944" w:val="left"/>
        </w:tabs>
        <w:numPr>
          <w:ilvl w:val="0"/>
          <w:numId w:val="120"/>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5"/>
          <w:szCs w:val="15"/>
          <w:color w:val="auto"/>
        </w:rPr>
      </w:pPr>
    </w:p>
    <w:p>
      <w:pPr>
        <w:jc w:val="both"/>
        <w:ind w:left="660" w:firstLine="428"/>
        <w:spacing w:after="0" w:line="261" w:lineRule="auto"/>
        <w:tabs>
          <w:tab w:leader="none" w:pos="132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6"/>
          <w:szCs w:val="16"/>
          <w:color w:val="auto"/>
        </w:rPr>
      </w:pPr>
    </w:p>
    <w:p>
      <w:pPr>
        <w:jc w:val="both"/>
        <w:ind w:left="660" w:right="20" w:firstLine="428"/>
        <w:spacing w:after="0" w:line="261" w:lineRule="auto"/>
        <w:tabs>
          <w:tab w:leader="none" w:pos="1333" w:val="left"/>
        </w:tabs>
        <w:numPr>
          <w:ilvl w:val="1"/>
          <w:numId w:val="1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6"/>
          <w:szCs w:val="16"/>
          <w:color w:val="auto"/>
        </w:rPr>
      </w:pPr>
    </w:p>
    <w:p>
      <w:pPr>
        <w:ind w:left="660" w:firstLine="428"/>
        <w:spacing w:after="0" w:line="275" w:lineRule="auto"/>
        <w:tabs>
          <w:tab w:leader="none" w:pos="1316" w:val="left"/>
        </w:tabs>
        <w:numPr>
          <w:ilvl w:val="1"/>
          <w:numId w:val="1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1" w:lineRule="exact"/>
        <w:rPr>
          <w:rFonts w:ascii="Arial" w:cs="Arial" w:eastAsia="Arial" w:hAnsi="Arial"/>
          <w:sz w:val="16"/>
          <w:szCs w:val="16"/>
          <w:color w:val="auto"/>
        </w:rPr>
      </w:pPr>
    </w:p>
    <w:p>
      <w:pPr>
        <w:jc w:val="both"/>
        <w:ind w:left="660" w:firstLine="428"/>
        <w:spacing w:after="0" w:line="261" w:lineRule="auto"/>
        <w:tabs>
          <w:tab w:leader="none" w:pos="1322" w:val="left"/>
        </w:tabs>
        <w:numPr>
          <w:ilvl w:val="1"/>
          <w:numId w:val="1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6"/>
          <w:szCs w:val="16"/>
          <w:color w:val="auto"/>
        </w:rPr>
      </w:pPr>
    </w:p>
    <w:p>
      <w:pPr>
        <w:ind w:firstLine="656"/>
        <w:spacing w:after="0" w:line="275" w:lineRule="auto"/>
        <w:tabs>
          <w:tab w:leader="none" w:pos="93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1" w:lineRule="exact"/>
        <w:rPr>
          <w:rFonts w:ascii="Arial" w:cs="Arial" w:eastAsia="Arial" w:hAnsi="Arial"/>
          <w:sz w:val="16"/>
          <w:szCs w:val="16"/>
          <w:color w:val="auto"/>
        </w:rPr>
      </w:pPr>
    </w:p>
    <w:p>
      <w:pPr>
        <w:ind w:left="660" w:firstLine="428"/>
        <w:spacing w:after="0" w:line="275" w:lineRule="auto"/>
        <w:tabs>
          <w:tab w:leader="none" w:pos="1324" w:val="left"/>
        </w:tabs>
        <w:numPr>
          <w:ilvl w:val="1"/>
          <w:numId w:val="1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1" w:lineRule="exact"/>
        <w:rPr>
          <w:rFonts w:ascii="Arial" w:cs="Arial" w:eastAsia="Arial" w:hAnsi="Arial"/>
          <w:sz w:val="16"/>
          <w:szCs w:val="16"/>
          <w:color w:val="auto"/>
        </w:rPr>
      </w:pPr>
    </w:p>
    <w:p>
      <w:pPr>
        <w:ind w:left="660" w:firstLine="428"/>
        <w:spacing w:after="0" w:line="275" w:lineRule="auto"/>
        <w:tabs>
          <w:tab w:leader="none" w:pos="1341" w:val="left"/>
        </w:tabs>
        <w:numPr>
          <w:ilvl w:val="1"/>
          <w:numId w:val="12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ind w:left="40"/>
        <w:spacing w:after="0"/>
        <w:tabs>
          <w:tab w:leader="none" w:pos="5860" w:val="left"/>
        </w:tabs>
        <w:rPr>
          <w:sz w:val="20"/>
          <w:szCs w:val="20"/>
          <w:color w:val="auto"/>
        </w:rPr>
      </w:pPr>
      <w:r>
        <w:rPr>
          <w:rFonts w:ascii="Arial" w:cs="Arial" w:eastAsia="Arial" w:hAnsi="Arial"/>
          <w:sz w:val="16"/>
          <w:szCs w:val="16"/>
          <w:color w:val="auto"/>
        </w:rPr>
        <w:t>Date: July 23, 2014</w:t>
      </w:r>
      <w:r>
        <w:rPr>
          <w:sz w:val="20"/>
          <w:szCs w:val="20"/>
          <w:color w:val="auto"/>
        </w:rPr>
        <w:tab/>
      </w:r>
      <w:r>
        <w:rPr>
          <w:rFonts w:ascii="Arial" w:cs="Arial" w:eastAsia="Arial" w:hAnsi="Arial"/>
          <w:sz w:val="14"/>
          <w:szCs w:val="14"/>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34925</wp:posOffset>
            </wp:positionV>
            <wp:extent cx="22809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80"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Name: Derek J. Kerr</w:t>
      </w:r>
    </w:p>
    <w:p>
      <w:pPr>
        <w:spacing w:after="0" w:line="73"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Title: Executive Vice President and Chief</w:t>
      </w:r>
    </w:p>
    <w:p>
      <w:pPr>
        <w:spacing w:after="0" w:line="2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Financial Officer</w:t>
      </w:r>
    </w:p>
    <w:p>
      <w:pPr>
        <w:sectPr>
          <w:pgSz w:w="11900" w:h="16838" w:orient="portrait"/>
          <w:cols w:equalWidth="0" w:num="1">
            <w:col w:w="11420"/>
          </w:cols>
          <w:pgMar w:left="240" w:top="1247"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6"/>
          <w:szCs w:val="16"/>
          <w:b w:val="1"/>
          <w:bCs w:val="1"/>
          <w:color w:val="auto"/>
        </w:rPr>
        <w:t>Exhibit 31.3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CEO CERTIFICATION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 W. Douglas Parker, certify that:</w:t>
      </w:r>
    </w:p>
    <w:p>
      <w:pPr>
        <w:spacing w:after="0" w:line="113" w:lineRule="exact"/>
        <w:rPr>
          <w:sz w:val="20"/>
          <w:szCs w:val="20"/>
          <w:color w:val="auto"/>
        </w:rPr>
      </w:pPr>
    </w:p>
    <w:p>
      <w:pPr>
        <w:ind w:left="940" w:hanging="284"/>
        <w:spacing w:after="0"/>
        <w:tabs>
          <w:tab w:leader="none" w:pos="9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Airlines, Inc.;</w:t>
      </w:r>
    </w:p>
    <w:p>
      <w:pPr>
        <w:spacing w:after="0" w:line="113" w:lineRule="exact"/>
        <w:rPr>
          <w:rFonts w:ascii="Arial" w:cs="Arial" w:eastAsia="Arial" w:hAnsi="Arial"/>
          <w:sz w:val="16"/>
          <w:szCs w:val="16"/>
          <w:color w:val="auto"/>
        </w:rPr>
      </w:pPr>
    </w:p>
    <w:p>
      <w:pPr>
        <w:ind w:firstLine="656"/>
        <w:spacing w:after="0" w:line="275" w:lineRule="auto"/>
        <w:tabs>
          <w:tab w:leader="none" w:pos="974" w:val="left"/>
        </w:tabs>
        <w:numPr>
          <w:ilvl w:val="0"/>
          <w:numId w:val="1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4" w:lineRule="exact"/>
        <w:rPr>
          <w:rFonts w:ascii="Arial" w:cs="Arial" w:eastAsia="Arial" w:hAnsi="Arial"/>
          <w:sz w:val="16"/>
          <w:szCs w:val="16"/>
          <w:color w:val="auto"/>
        </w:rPr>
      </w:pPr>
    </w:p>
    <w:p>
      <w:pPr>
        <w:ind w:firstLine="656"/>
        <w:spacing w:after="0" w:line="275" w:lineRule="auto"/>
        <w:tabs>
          <w:tab w:leader="none" w:pos="994" w:val="left"/>
        </w:tabs>
        <w:numPr>
          <w:ilvl w:val="0"/>
          <w:numId w:val="1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16"/>
          <w:szCs w:val="16"/>
          <w:color w:val="auto"/>
        </w:rPr>
      </w:pPr>
    </w:p>
    <w:p>
      <w:pPr>
        <w:ind w:firstLine="656"/>
        <w:spacing w:after="0" w:line="310" w:lineRule="auto"/>
        <w:tabs>
          <w:tab w:leader="none" w:pos="944"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5"/>
          <w:szCs w:val="15"/>
          <w:color w:val="auto"/>
        </w:rPr>
      </w:pPr>
    </w:p>
    <w:p>
      <w:pPr>
        <w:jc w:val="both"/>
        <w:ind w:left="660" w:firstLine="428"/>
        <w:spacing w:after="0" w:line="261" w:lineRule="auto"/>
        <w:tabs>
          <w:tab w:leader="none" w:pos="132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6"/>
          <w:szCs w:val="16"/>
          <w:color w:val="auto"/>
        </w:rPr>
      </w:pPr>
    </w:p>
    <w:p>
      <w:pPr>
        <w:jc w:val="both"/>
        <w:ind w:left="660" w:right="20" w:firstLine="428"/>
        <w:spacing w:after="0" w:line="261" w:lineRule="auto"/>
        <w:tabs>
          <w:tab w:leader="none" w:pos="1333" w:val="left"/>
        </w:tabs>
        <w:numPr>
          <w:ilvl w:val="1"/>
          <w:numId w:val="1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6"/>
          <w:szCs w:val="16"/>
          <w:color w:val="auto"/>
        </w:rPr>
      </w:pPr>
    </w:p>
    <w:p>
      <w:pPr>
        <w:ind w:left="660" w:firstLine="428"/>
        <w:spacing w:after="0" w:line="275" w:lineRule="auto"/>
        <w:tabs>
          <w:tab w:leader="none" w:pos="1316" w:val="left"/>
        </w:tabs>
        <w:numPr>
          <w:ilvl w:val="1"/>
          <w:numId w:val="1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1" w:lineRule="exact"/>
        <w:rPr>
          <w:rFonts w:ascii="Arial" w:cs="Arial" w:eastAsia="Arial" w:hAnsi="Arial"/>
          <w:sz w:val="16"/>
          <w:szCs w:val="16"/>
          <w:color w:val="auto"/>
        </w:rPr>
      </w:pPr>
    </w:p>
    <w:p>
      <w:pPr>
        <w:jc w:val="both"/>
        <w:ind w:left="660" w:firstLine="428"/>
        <w:spacing w:after="0" w:line="261" w:lineRule="auto"/>
        <w:tabs>
          <w:tab w:leader="none" w:pos="1322" w:val="left"/>
        </w:tabs>
        <w:numPr>
          <w:ilvl w:val="1"/>
          <w:numId w:val="1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6"/>
          <w:szCs w:val="16"/>
          <w:color w:val="auto"/>
        </w:rPr>
      </w:pPr>
    </w:p>
    <w:p>
      <w:pPr>
        <w:ind w:firstLine="656"/>
        <w:spacing w:after="0" w:line="275" w:lineRule="auto"/>
        <w:tabs>
          <w:tab w:leader="none" w:pos="931"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1" w:lineRule="exact"/>
        <w:rPr>
          <w:rFonts w:ascii="Arial" w:cs="Arial" w:eastAsia="Arial" w:hAnsi="Arial"/>
          <w:sz w:val="16"/>
          <w:szCs w:val="16"/>
          <w:color w:val="auto"/>
        </w:rPr>
      </w:pPr>
    </w:p>
    <w:p>
      <w:pPr>
        <w:ind w:left="660" w:firstLine="428"/>
        <w:spacing w:after="0" w:line="275" w:lineRule="auto"/>
        <w:tabs>
          <w:tab w:leader="none" w:pos="1324" w:val="left"/>
        </w:tabs>
        <w:numPr>
          <w:ilvl w:val="1"/>
          <w:numId w:val="1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1" w:lineRule="exact"/>
        <w:rPr>
          <w:rFonts w:ascii="Arial" w:cs="Arial" w:eastAsia="Arial" w:hAnsi="Arial"/>
          <w:sz w:val="16"/>
          <w:szCs w:val="16"/>
          <w:color w:val="auto"/>
        </w:rPr>
      </w:pPr>
    </w:p>
    <w:p>
      <w:pPr>
        <w:ind w:left="660" w:firstLine="428"/>
        <w:spacing w:after="0" w:line="275" w:lineRule="auto"/>
        <w:tabs>
          <w:tab w:leader="none" w:pos="1341" w:val="left"/>
        </w:tabs>
        <w:numPr>
          <w:ilvl w:val="1"/>
          <w:numId w:val="12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ind w:left="1120"/>
        <w:spacing w:after="0"/>
        <w:tabs>
          <w:tab w:leader="none" w:pos="6880" w:val="left"/>
        </w:tabs>
        <w:rPr>
          <w:sz w:val="20"/>
          <w:szCs w:val="20"/>
          <w:color w:val="auto"/>
        </w:rPr>
      </w:pPr>
      <w:r>
        <w:rPr>
          <w:rFonts w:ascii="Arial" w:cs="Arial" w:eastAsia="Arial" w:hAnsi="Arial"/>
          <w:sz w:val="16"/>
          <w:szCs w:val="16"/>
          <w:color w:val="auto"/>
        </w:rPr>
        <w:t>Date: July 23, 2014</w:t>
      </w:r>
      <w:r>
        <w:rPr>
          <w:sz w:val="20"/>
          <w:szCs w:val="20"/>
          <w:color w:val="auto"/>
        </w:rPr>
        <w:tab/>
      </w:r>
      <w:r>
        <w:rPr>
          <w:rFonts w:ascii="Arial" w:cs="Arial" w:eastAsia="Arial" w:hAnsi="Arial"/>
          <w:sz w:val="14"/>
          <w:szCs w:val="14"/>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34925</wp:posOffset>
            </wp:positionV>
            <wp:extent cx="230695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80"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Name: W. Douglas Parker</w:t>
      </w:r>
    </w:p>
    <w:p>
      <w:pPr>
        <w:spacing w:after="0" w:line="86"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Title: Chief Executive Officer</w:t>
      </w:r>
    </w:p>
    <w:p>
      <w:pPr>
        <w:sectPr>
          <w:pgSz w:w="11900" w:h="16838" w:orient="portrait"/>
          <w:cols w:equalWidth="0" w:num="1">
            <w:col w:w="11420"/>
          </w:cols>
          <w:pgMar w:left="240" w:top="1247"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6"/>
          <w:szCs w:val="16"/>
          <w:b w:val="1"/>
          <w:bCs w:val="1"/>
          <w:color w:val="auto"/>
        </w:rPr>
        <w:t>Exhibit 31.4</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CFO CERTIFICATION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 Derek J. Kerr, certify that:</w:t>
      </w:r>
    </w:p>
    <w:p>
      <w:pPr>
        <w:spacing w:after="0" w:line="113" w:lineRule="exact"/>
        <w:rPr>
          <w:sz w:val="20"/>
          <w:szCs w:val="20"/>
          <w:color w:val="auto"/>
        </w:rPr>
      </w:pPr>
    </w:p>
    <w:p>
      <w:pPr>
        <w:ind w:left="940" w:hanging="284"/>
        <w:spacing w:after="0"/>
        <w:tabs>
          <w:tab w:leader="none" w:pos="9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American Airlines, Inc.;</w:t>
      </w:r>
    </w:p>
    <w:p>
      <w:pPr>
        <w:spacing w:after="0" w:line="113" w:lineRule="exact"/>
        <w:rPr>
          <w:rFonts w:ascii="Arial" w:cs="Arial" w:eastAsia="Arial" w:hAnsi="Arial"/>
          <w:sz w:val="16"/>
          <w:szCs w:val="16"/>
          <w:color w:val="auto"/>
        </w:rPr>
      </w:pPr>
    </w:p>
    <w:p>
      <w:pPr>
        <w:ind w:firstLine="656"/>
        <w:spacing w:after="0" w:line="275" w:lineRule="auto"/>
        <w:tabs>
          <w:tab w:leader="none" w:pos="974" w:val="left"/>
        </w:tabs>
        <w:numPr>
          <w:ilvl w:val="0"/>
          <w:numId w:val="1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4" w:lineRule="exact"/>
        <w:rPr>
          <w:rFonts w:ascii="Arial" w:cs="Arial" w:eastAsia="Arial" w:hAnsi="Arial"/>
          <w:sz w:val="16"/>
          <w:szCs w:val="16"/>
          <w:color w:val="auto"/>
        </w:rPr>
      </w:pPr>
    </w:p>
    <w:p>
      <w:pPr>
        <w:ind w:firstLine="656"/>
        <w:spacing w:after="0" w:line="275" w:lineRule="auto"/>
        <w:tabs>
          <w:tab w:leader="none" w:pos="994" w:val="left"/>
        </w:tabs>
        <w:numPr>
          <w:ilvl w:val="0"/>
          <w:numId w:val="1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16"/>
          <w:szCs w:val="16"/>
          <w:color w:val="auto"/>
        </w:rPr>
      </w:pPr>
    </w:p>
    <w:p>
      <w:pPr>
        <w:ind w:firstLine="656"/>
        <w:spacing w:after="0" w:line="310" w:lineRule="auto"/>
        <w:tabs>
          <w:tab w:leader="none" w:pos="944" w:val="left"/>
        </w:tabs>
        <w:numPr>
          <w:ilvl w:val="0"/>
          <w:numId w:val="122"/>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Arial" w:cs="Arial" w:eastAsia="Arial" w:hAnsi="Arial"/>
          <w:sz w:val="15"/>
          <w:szCs w:val="15"/>
          <w:color w:val="auto"/>
        </w:rPr>
      </w:pPr>
    </w:p>
    <w:p>
      <w:pPr>
        <w:jc w:val="both"/>
        <w:ind w:left="660" w:firstLine="428"/>
        <w:spacing w:after="0" w:line="261" w:lineRule="auto"/>
        <w:tabs>
          <w:tab w:leader="none" w:pos="132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6"/>
          <w:szCs w:val="16"/>
          <w:color w:val="auto"/>
        </w:rPr>
      </w:pPr>
    </w:p>
    <w:p>
      <w:pPr>
        <w:jc w:val="both"/>
        <w:ind w:left="660" w:right="20" w:firstLine="428"/>
        <w:spacing w:after="0" w:line="261" w:lineRule="auto"/>
        <w:tabs>
          <w:tab w:leader="none" w:pos="1333" w:val="left"/>
        </w:tabs>
        <w:numPr>
          <w:ilvl w:val="1"/>
          <w:numId w:val="1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6"/>
          <w:szCs w:val="16"/>
          <w:color w:val="auto"/>
        </w:rPr>
      </w:pPr>
    </w:p>
    <w:p>
      <w:pPr>
        <w:ind w:left="660" w:firstLine="428"/>
        <w:spacing w:after="0" w:line="275" w:lineRule="auto"/>
        <w:tabs>
          <w:tab w:leader="none" w:pos="1316" w:val="left"/>
        </w:tabs>
        <w:numPr>
          <w:ilvl w:val="1"/>
          <w:numId w:val="1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1" w:lineRule="exact"/>
        <w:rPr>
          <w:rFonts w:ascii="Arial" w:cs="Arial" w:eastAsia="Arial" w:hAnsi="Arial"/>
          <w:sz w:val="16"/>
          <w:szCs w:val="16"/>
          <w:color w:val="auto"/>
        </w:rPr>
      </w:pPr>
    </w:p>
    <w:p>
      <w:pPr>
        <w:jc w:val="both"/>
        <w:ind w:left="660" w:firstLine="428"/>
        <w:spacing w:after="0" w:line="261" w:lineRule="auto"/>
        <w:tabs>
          <w:tab w:leader="none" w:pos="1322" w:val="left"/>
        </w:tabs>
        <w:numPr>
          <w:ilvl w:val="1"/>
          <w:numId w:val="1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6"/>
          <w:szCs w:val="16"/>
          <w:color w:val="auto"/>
        </w:rPr>
      </w:pPr>
    </w:p>
    <w:p>
      <w:pPr>
        <w:ind w:firstLine="656"/>
        <w:spacing w:after="0" w:line="275" w:lineRule="auto"/>
        <w:tabs>
          <w:tab w:leader="none" w:pos="931"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1" w:lineRule="exact"/>
        <w:rPr>
          <w:rFonts w:ascii="Arial" w:cs="Arial" w:eastAsia="Arial" w:hAnsi="Arial"/>
          <w:sz w:val="16"/>
          <w:szCs w:val="16"/>
          <w:color w:val="auto"/>
        </w:rPr>
      </w:pPr>
    </w:p>
    <w:p>
      <w:pPr>
        <w:ind w:left="660" w:firstLine="428"/>
        <w:spacing w:after="0" w:line="275" w:lineRule="auto"/>
        <w:tabs>
          <w:tab w:leader="none" w:pos="1324" w:val="left"/>
        </w:tabs>
        <w:numPr>
          <w:ilvl w:val="1"/>
          <w:numId w:val="1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1" w:lineRule="exact"/>
        <w:rPr>
          <w:rFonts w:ascii="Arial" w:cs="Arial" w:eastAsia="Arial" w:hAnsi="Arial"/>
          <w:sz w:val="16"/>
          <w:szCs w:val="16"/>
          <w:color w:val="auto"/>
        </w:rPr>
      </w:pPr>
    </w:p>
    <w:p>
      <w:pPr>
        <w:ind w:left="660" w:firstLine="428"/>
        <w:spacing w:after="0" w:line="275" w:lineRule="auto"/>
        <w:tabs>
          <w:tab w:leader="none" w:pos="1341" w:val="left"/>
        </w:tabs>
        <w:numPr>
          <w:ilvl w:val="1"/>
          <w:numId w:val="12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ind w:left="1120"/>
        <w:spacing w:after="0"/>
        <w:tabs>
          <w:tab w:leader="none" w:pos="6880" w:val="left"/>
        </w:tabs>
        <w:rPr>
          <w:sz w:val="20"/>
          <w:szCs w:val="20"/>
          <w:color w:val="auto"/>
        </w:rPr>
      </w:pPr>
      <w:r>
        <w:rPr>
          <w:rFonts w:ascii="Arial" w:cs="Arial" w:eastAsia="Arial" w:hAnsi="Arial"/>
          <w:sz w:val="16"/>
          <w:szCs w:val="16"/>
          <w:color w:val="auto"/>
        </w:rPr>
        <w:t>Date: July 23, 2014</w:t>
      </w:r>
      <w:r>
        <w:rPr>
          <w:sz w:val="20"/>
          <w:szCs w:val="20"/>
          <w:color w:val="auto"/>
        </w:rPr>
        <w:tab/>
      </w:r>
      <w:r>
        <w:rPr>
          <w:rFonts w:ascii="Arial" w:cs="Arial" w:eastAsia="Arial" w:hAnsi="Arial"/>
          <w:sz w:val="14"/>
          <w:szCs w:val="14"/>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34925</wp:posOffset>
            </wp:positionV>
            <wp:extent cx="231521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80"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Name: Derek J. Kerr</w:t>
      </w:r>
    </w:p>
    <w:p>
      <w:pPr>
        <w:spacing w:after="0" w:line="73"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Title: Executive Vice President and Chief Financial</w:t>
      </w:r>
    </w:p>
    <w:p>
      <w:pPr>
        <w:spacing w:after="0" w:line="22"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Officer</w:t>
      </w:r>
    </w:p>
    <w:p>
      <w:pPr>
        <w:sectPr>
          <w:pgSz w:w="11900" w:h="16838" w:orient="portrait"/>
          <w:cols w:equalWidth="0" w:num="1">
            <w:col w:w="11420"/>
          </w:cols>
          <w:pgMar w:left="240" w:top="1247"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CEO and CFO Pursuant to</w:t>
      </w:r>
    </w:p>
    <w:p>
      <w:pPr>
        <w:spacing w:after="0" w:line="108"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18 U.S.C. Section 1350,</w:t>
      </w:r>
    </w:p>
    <w:p>
      <w:pPr>
        <w:spacing w:after="0" w:line="108" w:lineRule="exact"/>
        <w:rPr>
          <w:sz w:val="20"/>
          <w:szCs w:val="20"/>
          <w:color w:val="auto"/>
        </w:rPr>
      </w:pPr>
    </w:p>
    <w:p>
      <w:pPr>
        <w:ind w:left="4720"/>
        <w:spacing w:after="0"/>
        <w:rPr>
          <w:sz w:val="20"/>
          <w:szCs w:val="20"/>
          <w:color w:val="auto"/>
        </w:rPr>
      </w:pPr>
      <w:r>
        <w:rPr>
          <w:rFonts w:ascii="Arial" w:cs="Arial" w:eastAsia="Arial" w:hAnsi="Arial"/>
          <w:sz w:val="20"/>
          <w:szCs w:val="20"/>
          <w:b w:val="1"/>
          <w:bCs w:val="1"/>
          <w:color w:val="auto"/>
        </w:rPr>
        <w:t>as Adopted Pursuant to</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14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connection with the Quarterly Report on Form 10-Q of American Airlines Group Inc. (the “Company”) for the quarterly period ended June 30, 2014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133" w:lineRule="exact"/>
        <w:rPr>
          <w:sz w:val="20"/>
          <w:szCs w:val="20"/>
          <w:color w:val="auto"/>
        </w:rPr>
      </w:pPr>
    </w:p>
    <w:p>
      <w:pPr>
        <w:ind w:left="660" w:hanging="427"/>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427"/>
        <w:spacing w:after="0"/>
        <w:tabs>
          <w:tab w:leader="none" w:pos="6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31750</wp:posOffset>
            </wp:positionV>
            <wp:extent cx="22809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W. Douglas Parker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Date: July 23, 2014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31750</wp:posOffset>
            </wp:positionV>
            <wp:extent cx="230695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Name: Derek J. Kerr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Title: Executive Vice President and</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Financial Officer</w:t>
      </w:r>
    </w:p>
    <w:p>
      <w:pPr>
        <w:spacing w:after="0" w:line="76"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Date: July 23, 2014</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420"/>
          </w:cols>
          <w:pgMar w:left="240" w:top="797" w:right="239" w:bottom="1440" w:gutter="0" w:footer="0" w:header="0"/>
        </w:sectPr>
      </w:pPr>
    </w:p>
    <w:bookmarkStart w:id="182" w:name="page183"/>
    <w:bookmarkEnd w:id="182"/>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CEO and CFO Pursuant to</w:t>
      </w:r>
    </w:p>
    <w:p>
      <w:pPr>
        <w:spacing w:after="0" w:line="108"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18 U.S.C. Section 1350,</w:t>
      </w:r>
    </w:p>
    <w:p>
      <w:pPr>
        <w:spacing w:after="0" w:line="108" w:lineRule="exact"/>
        <w:rPr>
          <w:sz w:val="20"/>
          <w:szCs w:val="20"/>
          <w:color w:val="auto"/>
        </w:rPr>
      </w:pPr>
    </w:p>
    <w:p>
      <w:pPr>
        <w:ind w:left="4720"/>
        <w:spacing w:after="0"/>
        <w:rPr>
          <w:sz w:val="20"/>
          <w:szCs w:val="20"/>
          <w:color w:val="auto"/>
        </w:rPr>
      </w:pPr>
      <w:r>
        <w:rPr>
          <w:rFonts w:ascii="Arial" w:cs="Arial" w:eastAsia="Arial" w:hAnsi="Arial"/>
          <w:sz w:val="20"/>
          <w:szCs w:val="20"/>
          <w:b w:val="1"/>
          <w:bCs w:val="1"/>
          <w:color w:val="auto"/>
        </w:rPr>
        <w:t>as Adopted Pursuant to</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Quarterly Report on Form 10-Q of American Airlines, Inc. (the “Company”) for the quarterly period ended June 30, 2014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133" w:lineRule="exact"/>
        <w:rPr>
          <w:sz w:val="20"/>
          <w:szCs w:val="20"/>
          <w:color w:val="auto"/>
        </w:rPr>
      </w:pPr>
    </w:p>
    <w:p>
      <w:pPr>
        <w:ind w:left="660" w:hanging="427"/>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427"/>
        <w:spacing w:after="0"/>
        <w:tabs>
          <w:tab w:leader="none" w:pos="6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31750</wp:posOffset>
            </wp:positionV>
            <wp:extent cx="22809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W. Douglas Parker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Date: July 23, 2014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31750</wp:posOffset>
            </wp:positionV>
            <wp:extent cx="230695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Name: Derek J. Kerr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Title: Executive Vice President and</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Financial Officer</w:t>
      </w:r>
    </w:p>
    <w:p>
      <w:pPr>
        <w:spacing w:after="0" w:line="76"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Date: July 23, 2014</w:t>
      </w:r>
    </w:p>
    <w:p>
      <w:pPr>
        <w:spacing w:after="0" w:line="13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1."/>
      <w:numFmt w:val="decimal"/>
      <w:start w:val="2"/>
    </w:lvl>
  </w:abstractNum>
  <w:abstractNum w:abstractNumId="4">
    <w:nsid w:val="5FF87E05"/>
    <w:multiLevelType w:val="hybridMultilevel"/>
    <w:lvl w:ilvl="0">
      <w:lvlJc w:val="left"/>
      <w:lvlText w:val="•"/>
      <w:numFmt w:val="bullet"/>
      <w:start w:val="1"/>
    </w:lvl>
    <w:lvl w:ilvl="1">
      <w:lvlJc w:val="left"/>
      <w:lvlText w:val="◦"/>
      <w:numFmt w:val="bullet"/>
      <w:start w:val="1"/>
    </w:lvl>
  </w:abstractNum>
  <w:abstractNum w:abstractNumId="5">
    <w:nsid w:val="2F305DEF"/>
    <w:multiLevelType w:val="hybridMultilevel"/>
    <w:lvl w:ilvl="0">
      <w:lvlJc w:val="left"/>
      <w:lvlText w:val="◦"/>
      <w:numFmt w:val="bullet"/>
      <w:start w:val="1"/>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1)"/>
      <w:numFmt w:val="decimal"/>
      <w:start w:val="1"/>
    </w:lvl>
  </w:abstractNum>
  <w:abstractNum w:abstractNumId="8">
    <w:nsid w:val="4AD084E9"/>
    <w:multiLevelType w:val="hybridMultilevel"/>
    <w:lvl w:ilvl="0">
      <w:lvlJc w:val="left"/>
      <w:lvlText w:val="(%1)"/>
      <w:numFmt w:val="lowerLetter"/>
      <w:start w:val="1"/>
    </w:lvl>
  </w:abstractNum>
  <w:abstractNum w:abstractNumId="9">
    <w:nsid w:val="1F48EAA1"/>
    <w:multiLevelType w:val="hybridMultilevel"/>
    <w:lvl w:ilvl="0">
      <w:lvlJc w:val="left"/>
      <w:lvlText w:val="(%1)"/>
      <w:numFmt w:val="lowerLetter"/>
      <w:start w:val="2"/>
    </w:lvl>
  </w:abstractNum>
  <w:abstractNum w:abstractNumId="10">
    <w:nsid w:val="1381823A"/>
    <w:multiLevelType w:val="hybridMultilevel"/>
    <w:lvl w:ilvl="0">
      <w:lvlJc w:val="left"/>
      <w:lvlText w:val="(%1)"/>
      <w:numFmt w:val="lowerLetter"/>
      <w:start w:val="3"/>
    </w:lvl>
  </w:abstractNum>
  <w:abstractNum w:abstractNumId="11">
    <w:nsid w:val="5DB70AE5"/>
    <w:multiLevelType w:val="hybridMultilevel"/>
    <w:lvl w:ilvl="0">
      <w:lvlJc w:val="left"/>
      <w:lvlText w:val="(%1)"/>
      <w:numFmt w:val="decimal"/>
      <w:start w:val="1"/>
    </w:lvl>
  </w:abstractNum>
  <w:abstractNum w:abstractNumId="12">
    <w:nsid w:val="100F8FCA"/>
    <w:multiLevelType w:val="hybridMultilevel"/>
    <w:lvl w:ilvl="0">
      <w:lvlJc w:val="left"/>
      <w:lvlText w:val="(%1)"/>
      <w:numFmt w:val="decimal"/>
      <w:start w:val="1"/>
    </w:lvl>
  </w:abstractNum>
  <w:abstractNum w:abstractNumId="13">
    <w:nsid w:val="6590700B"/>
    <w:multiLevelType w:val="hybridMultilevel"/>
    <w:lvl w:ilvl="0">
      <w:lvlJc w:val="left"/>
      <w:lvlText w:val="(%1)"/>
      <w:numFmt w:val="decimal"/>
      <w:start w:val="1"/>
    </w:lvl>
  </w:abstractNum>
  <w:abstractNum w:abstractNumId="14">
    <w:nsid w:val="15014ACB"/>
    <w:multiLevelType w:val="hybridMultilevel"/>
    <w:lvl w:ilvl="0">
      <w:lvlJc w:val="left"/>
      <w:lvlText w:val="•"/>
      <w:numFmt w:val="bullet"/>
      <w:start w:val="1"/>
    </w:lvl>
  </w:abstractNum>
  <w:abstractNum w:abstractNumId="15">
    <w:nsid w:val="5F5E7FD0"/>
    <w:multiLevelType w:val="hybridMultilevel"/>
    <w:lvl w:ilvl="0">
      <w:lvlJc w:val="left"/>
      <w:lvlText w:val="•"/>
      <w:numFmt w:val="bullet"/>
      <w:start w:val="1"/>
    </w:lvl>
  </w:abstractNum>
  <w:abstractNum w:abstractNumId="16">
    <w:nsid w:val="98A3148"/>
    <w:multiLevelType w:val="hybridMultilevel"/>
    <w:lvl w:ilvl="0">
      <w:lvlJc w:val="left"/>
      <w:lvlText w:val="◦"/>
      <w:numFmt w:val="bullet"/>
      <w:start w:val="1"/>
    </w:lvl>
  </w:abstractNum>
  <w:abstractNum w:abstractNumId="17">
    <w:nsid w:val="799D0247"/>
    <w:multiLevelType w:val="hybridMultilevel"/>
    <w:lvl w:ilvl="0">
      <w:lvlJc w:val="left"/>
      <w:lvlText w:val="•"/>
      <w:numFmt w:val="bullet"/>
      <w:start w:val="1"/>
    </w:lvl>
  </w:abstractNum>
  <w:abstractNum w:abstractNumId="18">
    <w:nsid w:val="6B94764"/>
    <w:multiLevelType w:val="hybridMultilevel"/>
    <w:lvl w:ilvl="0">
      <w:lvlJc w:val="left"/>
      <w:lvlText w:val="(%1)"/>
      <w:numFmt w:val="decimal"/>
      <w:start w:val="1"/>
    </w:lvl>
  </w:abstractNum>
  <w:abstractNum w:abstractNumId="19">
    <w:nsid w:val="42C296BD"/>
    <w:multiLevelType w:val="hybridMultilevel"/>
    <w:lvl w:ilvl="0">
      <w:lvlJc w:val="left"/>
      <w:lvlText w:val="(%1)"/>
      <w:numFmt w:val="lowerLetter"/>
      <w:start w:val="1"/>
    </w:lvl>
  </w:abstractNum>
  <w:abstractNum w:abstractNumId="20">
    <w:nsid w:val="168E121F"/>
    <w:multiLevelType w:val="hybridMultilevel"/>
    <w:lvl w:ilvl="0">
      <w:lvlJc w:val="left"/>
      <w:lvlText w:val="(%1)"/>
      <w:numFmt w:val="lowerLetter"/>
      <w:start w:val="2"/>
    </w:lvl>
  </w:abstractNum>
  <w:abstractNum w:abstractNumId="21">
    <w:nsid w:val="1EBA5D23"/>
    <w:multiLevelType w:val="hybridMultilevel"/>
    <w:lvl w:ilvl="0">
      <w:lvlJc w:val="left"/>
      <w:lvlText w:val="(%1)"/>
      <w:numFmt w:val="decimal"/>
      <w:start w:val="1"/>
    </w:lvl>
  </w:abstractNum>
  <w:abstractNum w:abstractNumId="22">
    <w:nsid w:val="661E3F1E"/>
    <w:multiLevelType w:val="hybridMultilevel"/>
    <w:lvl w:ilvl="0">
      <w:lvlJc w:val="left"/>
      <w:lvlText w:val="(%1)"/>
      <w:numFmt w:val="decimal"/>
      <w:start w:val="1"/>
    </w:lvl>
  </w:abstractNum>
  <w:abstractNum w:abstractNumId="23">
    <w:nsid w:val="5DC79EA8"/>
    <w:multiLevelType w:val="hybridMultilevel"/>
    <w:lvl w:ilvl="0">
      <w:lvlJc w:val="left"/>
      <w:lvlText w:val="(%1)"/>
      <w:numFmt w:val="decimal"/>
      <w:start w:val="1"/>
    </w:lvl>
  </w:abstractNum>
  <w:abstractNum w:abstractNumId="24">
    <w:nsid w:val="540A471C"/>
    <w:multiLevelType w:val="hybridMultilevel"/>
    <w:lvl w:ilvl="0">
      <w:lvlJc w:val="left"/>
      <w:lvlText w:val="(%1)"/>
      <w:numFmt w:val="decimal"/>
      <w:start w:val="1"/>
    </w:lvl>
  </w:abstractNum>
  <w:abstractNum w:abstractNumId="25">
    <w:nsid w:val="7BD3EE7B"/>
    <w:multiLevelType w:val="hybridMultilevel"/>
    <w:lvl w:ilvl="0">
      <w:lvlJc w:val="left"/>
      <w:lvlText w:val="(%1)"/>
      <w:numFmt w:val="decimal"/>
      <w:start w:val="1"/>
    </w:lvl>
  </w:abstractNum>
  <w:abstractNum w:abstractNumId="26">
    <w:nsid w:val="51D9C564"/>
    <w:multiLevelType w:val="hybridMultilevel"/>
    <w:lvl w:ilvl="0">
      <w:lvlJc w:val="left"/>
      <w:lvlText w:val="(%1)"/>
      <w:numFmt w:val="lowerLetter"/>
      <w:start w:val="1"/>
    </w:lvl>
  </w:abstractNum>
  <w:abstractNum w:abstractNumId="27">
    <w:nsid w:val="613EFDC5"/>
    <w:multiLevelType w:val="hybridMultilevel"/>
    <w:lvl w:ilvl="0">
      <w:lvlJc w:val="left"/>
      <w:lvlText w:val="(%1)"/>
      <w:numFmt w:val="decimal"/>
      <w:start w:val="1"/>
    </w:lvl>
  </w:abstractNum>
  <w:abstractNum w:abstractNumId="28">
    <w:nsid w:val="BF72B14"/>
    <w:multiLevelType w:val="hybridMultilevel"/>
    <w:lvl w:ilvl="0">
      <w:lvlJc w:val="left"/>
      <w:lvlText w:val="(%1)"/>
      <w:numFmt w:val="decimal"/>
      <w:start w:val="1"/>
    </w:lvl>
  </w:abstractNum>
  <w:abstractNum w:abstractNumId="29">
    <w:nsid w:val="11447B73"/>
    <w:multiLevelType w:val="hybridMultilevel"/>
    <w:lvl w:ilvl="0">
      <w:lvlJc w:val="left"/>
      <w:lvlText w:val="(%1)"/>
      <w:numFmt w:val="decimal"/>
      <w:start w:val="2"/>
    </w:lvl>
  </w:abstractNum>
  <w:abstractNum w:abstractNumId="30">
    <w:nsid w:val="42963E5A"/>
    <w:multiLevelType w:val="hybridMultilevel"/>
    <w:lvl w:ilvl="0">
      <w:lvlJc w:val="left"/>
      <w:lvlText w:val="(%1)"/>
      <w:numFmt w:val="decimal"/>
      <w:start w:val="3"/>
    </w:lvl>
  </w:abstractNum>
  <w:abstractNum w:abstractNumId="31">
    <w:nsid w:val="A0382C5"/>
    <w:multiLevelType w:val="hybridMultilevel"/>
    <w:lvl w:ilvl="0">
      <w:lvlJc w:val="left"/>
      <w:lvlText w:val="(%1)"/>
      <w:numFmt w:val="decimal"/>
      <w:start w:val="4"/>
    </w:lvl>
  </w:abstractNum>
  <w:abstractNum w:abstractNumId="32">
    <w:nsid w:val="8F2B15E"/>
    <w:multiLevelType w:val="hybridMultilevel"/>
    <w:lvl w:ilvl="0">
      <w:lvlJc w:val="left"/>
      <w:lvlText w:val="(%1)"/>
      <w:numFmt w:val="lowerLetter"/>
      <w:start w:val="1"/>
    </w:lvl>
  </w:abstractNum>
  <w:abstractNum w:abstractNumId="33">
    <w:nsid w:val="1A32234B"/>
    <w:multiLevelType w:val="hybridMultilevel"/>
    <w:lvl w:ilvl="0">
      <w:lvlJc w:val="left"/>
      <w:lvlText w:val="(%1)"/>
      <w:numFmt w:val="lowerLetter"/>
      <w:start w:val="4"/>
    </w:lvl>
  </w:abstractNum>
  <w:abstractNum w:abstractNumId="34">
    <w:nsid w:val="3B0FD379"/>
    <w:multiLevelType w:val="hybridMultilevel"/>
    <w:lvl w:ilvl="0">
      <w:lvlJc w:val="left"/>
      <w:lvlText w:val="•"/>
      <w:numFmt w:val="bullet"/>
      <w:start w:val="1"/>
    </w:lvl>
  </w:abstractNum>
  <w:abstractNum w:abstractNumId="35">
    <w:nsid w:val="68EB2F63"/>
    <w:multiLevelType w:val="hybridMultilevel"/>
    <w:lvl w:ilvl="0">
      <w:lvlJc w:val="left"/>
      <w:lvlText w:val="•"/>
      <w:numFmt w:val="bullet"/>
      <w:start w:val="1"/>
    </w:lvl>
  </w:abstractNum>
  <w:abstractNum w:abstractNumId="36">
    <w:nsid w:val="4962813B"/>
    <w:multiLevelType w:val="hybridMultilevel"/>
    <w:lvl w:ilvl="0">
      <w:lvlJc w:val="left"/>
      <w:lvlText w:val="(%1)"/>
      <w:numFmt w:val="decimal"/>
      <w:start w:val="1"/>
    </w:lvl>
  </w:abstractNum>
  <w:abstractNum w:abstractNumId="37">
    <w:nsid w:val="60B6DF70"/>
    <w:multiLevelType w:val="hybridMultilevel"/>
    <w:lvl w:ilvl="0">
      <w:lvlJc w:val="left"/>
      <w:lvlText w:val="•"/>
      <w:numFmt w:val="bullet"/>
      <w:start w:val="1"/>
    </w:lvl>
  </w:abstractNum>
  <w:abstractNum w:abstractNumId="38">
    <w:nsid w:val="6A5EE64"/>
    <w:multiLevelType w:val="hybridMultilevel"/>
    <w:lvl w:ilvl="0">
      <w:lvlJc w:val="left"/>
      <w:lvlText w:val="•"/>
      <w:numFmt w:val="bullet"/>
      <w:start w:val="1"/>
    </w:lvl>
  </w:abstractNum>
  <w:abstractNum w:abstractNumId="39">
    <w:nsid w:val="14330624"/>
    <w:multiLevelType w:val="hybridMultilevel"/>
    <w:lvl w:ilvl="0">
      <w:lvlJc w:val="left"/>
      <w:lvlText w:val="•"/>
      <w:numFmt w:val="bullet"/>
      <w:start w:val="1"/>
    </w:lvl>
  </w:abstractNum>
  <w:abstractNum w:abstractNumId="40">
    <w:nsid w:val="7FFFCA11"/>
    <w:multiLevelType w:val="hybridMultilevel"/>
    <w:lvl w:ilvl="0">
      <w:lvlJc w:val="left"/>
      <w:lvlText w:val="(%1)"/>
      <w:numFmt w:val="decimal"/>
      <w:start w:val="1"/>
    </w:lvl>
  </w:abstractNum>
  <w:abstractNum w:abstractNumId="41">
    <w:nsid w:val="1A27709E"/>
    <w:multiLevelType w:val="hybridMultilevel"/>
    <w:lvl w:ilvl="0">
      <w:lvlJc w:val="left"/>
      <w:lvlText w:val="(%1)"/>
      <w:numFmt w:val="decimal"/>
      <w:start w:val="1"/>
    </w:lvl>
  </w:abstractNum>
  <w:abstractNum w:abstractNumId="42">
    <w:nsid w:val="71EA1109"/>
    <w:multiLevelType w:val="hybridMultilevel"/>
    <w:lvl w:ilvl="0">
      <w:lvlJc w:val="left"/>
      <w:lvlText w:val="(%1)"/>
      <w:numFmt w:val="decimal"/>
      <w:start w:val="2"/>
    </w:lvl>
  </w:abstractNum>
  <w:abstractNum w:abstractNumId="43">
    <w:nsid w:val="100F59DC"/>
    <w:multiLevelType w:val="hybridMultilevel"/>
    <w:lvl w:ilvl="0">
      <w:lvlJc w:val="left"/>
      <w:lvlText w:val="(%1)"/>
      <w:numFmt w:val="decimal"/>
      <w:start w:val="3"/>
    </w:lvl>
  </w:abstractNum>
  <w:abstractNum w:abstractNumId="44">
    <w:nsid w:val="7FB7E0AA"/>
    <w:multiLevelType w:val="hybridMultilevel"/>
    <w:lvl w:ilvl="0">
      <w:lvlJc w:val="left"/>
      <w:lvlText w:val="•"/>
      <w:numFmt w:val="bullet"/>
      <w:start w:val="1"/>
    </w:lvl>
  </w:abstractNum>
  <w:abstractNum w:abstractNumId="45">
    <w:nsid w:val="6EB5BD4"/>
    <w:multiLevelType w:val="hybridMultilevel"/>
    <w:lvl w:ilvl="0">
      <w:lvlJc w:val="left"/>
      <w:lvlText w:val="•"/>
      <w:numFmt w:val="bullet"/>
      <w:start w:val="1"/>
    </w:lvl>
  </w:abstractNum>
  <w:abstractNum w:abstractNumId="46">
    <w:nsid w:val="6F6DD9AC"/>
    <w:multiLevelType w:val="hybridMultilevel"/>
    <w:lvl w:ilvl="0">
      <w:lvlJc w:val="left"/>
      <w:lvlText w:val="(%1)"/>
      <w:numFmt w:val="decimal"/>
      <w:start w:val="1"/>
    </w:lvl>
  </w:abstractNum>
  <w:abstractNum w:abstractNumId="47">
    <w:nsid w:val="94211F2"/>
    <w:multiLevelType w:val="hybridMultilevel"/>
    <w:lvl w:ilvl="0">
      <w:lvlJc w:val="left"/>
      <w:lvlText w:val="•"/>
      <w:numFmt w:val="bullet"/>
      <w:start w:val="1"/>
    </w:lvl>
  </w:abstractNum>
  <w:abstractNum w:abstractNumId="48">
    <w:nsid w:val="885E1B"/>
    <w:multiLevelType w:val="hybridMultilevel"/>
    <w:lvl w:ilvl="0">
      <w:lvlJc w:val="left"/>
      <w:lvlText w:val="•"/>
      <w:numFmt w:val="bullet"/>
      <w:start w:val="1"/>
    </w:lvl>
  </w:abstractNum>
  <w:abstractNum w:abstractNumId="49">
    <w:nsid w:val="76272110"/>
    <w:multiLevelType w:val="hybridMultilevel"/>
    <w:lvl w:ilvl="0">
      <w:lvlJc w:val="left"/>
      <w:lvlText w:val="•"/>
      <w:numFmt w:val="bullet"/>
      <w:start w:val="1"/>
    </w:lvl>
  </w:abstractNum>
  <w:abstractNum w:abstractNumId="50">
    <w:nsid w:val="4C04A8AF"/>
    <w:multiLevelType w:val="hybridMultilevel"/>
    <w:lvl w:ilvl="0">
      <w:lvlJc w:val="left"/>
      <w:lvlText w:val="(%1)"/>
      <w:numFmt w:val="decimal"/>
      <w:start w:val="1"/>
    </w:lvl>
  </w:abstractNum>
  <w:abstractNum w:abstractNumId="51">
    <w:nsid w:val="1716703B"/>
    <w:multiLevelType w:val="hybridMultilevel"/>
    <w:lvl w:ilvl="0">
      <w:lvlJc w:val="left"/>
      <w:lvlText w:val="(%1)"/>
      <w:numFmt w:val="decimal"/>
      <w:start w:val="1"/>
    </w:lvl>
  </w:abstractNum>
  <w:abstractNum w:abstractNumId="52">
    <w:nsid w:val="14E17E33"/>
    <w:multiLevelType w:val="hybridMultilevel"/>
    <w:lvl w:ilvl="0">
      <w:lvlJc w:val="left"/>
      <w:lvlText w:val="(%1)"/>
      <w:numFmt w:val="decimal"/>
      <w:start w:val="1"/>
    </w:lvl>
  </w:abstractNum>
  <w:abstractNum w:abstractNumId="53">
    <w:nsid w:val="3222E7CD"/>
    <w:multiLevelType w:val="hybridMultilevel"/>
    <w:lvl w:ilvl="0">
      <w:lvlJc w:val="left"/>
      <w:lvlText w:val="(%1)"/>
      <w:numFmt w:val="decimal"/>
      <w:start w:val="1"/>
    </w:lvl>
  </w:abstractNum>
  <w:abstractNum w:abstractNumId="54">
    <w:nsid w:val="74DE0EE3"/>
    <w:multiLevelType w:val="hybridMultilevel"/>
    <w:lvl w:ilvl="0">
      <w:lvlJc w:val="left"/>
      <w:lvlText w:val="(%1)"/>
      <w:numFmt w:val="decimal"/>
      <w:start w:val="1"/>
    </w:lvl>
  </w:abstractNum>
  <w:abstractNum w:abstractNumId="55">
    <w:nsid w:val="68EBC550"/>
    <w:multiLevelType w:val="hybridMultilevel"/>
    <w:lvl w:ilvl="0">
      <w:lvlJc w:val="left"/>
      <w:lvlText w:val="•"/>
      <w:numFmt w:val="bullet"/>
      <w:start w:val="1"/>
    </w:lvl>
  </w:abstractNum>
  <w:abstractNum w:abstractNumId="56">
    <w:nsid w:val="2DF6D648"/>
    <w:multiLevelType w:val="hybridMultilevel"/>
    <w:lvl w:ilvl="0">
      <w:lvlJc w:val="left"/>
      <w:lvlText w:val="•"/>
      <w:numFmt w:val="bullet"/>
      <w:start w:val="1"/>
    </w:lvl>
    <w:lvl w:ilvl="1">
      <w:lvlJc w:val="left"/>
      <w:lvlText w:val="◦"/>
      <w:numFmt w:val="bullet"/>
      <w:start w:val="1"/>
    </w:lvl>
  </w:abstractNum>
  <w:abstractNum w:abstractNumId="57">
    <w:nsid w:val="46B7D447"/>
    <w:multiLevelType w:val="hybridMultilevel"/>
    <w:lvl w:ilvl="0">
      <w:lvlJc w:val="left"/>
      <w:lvlText w:val="•"/>
      <w:numFmt w:val="bullet"/>
      <w:start w:val="1"/>
    </w:lvl>
  </w:abstractNum>
  <w:abstractNum w:abstractNumId="58">
    <w:nsid w:val="4A2AC315"/>
    <w:multiLevelType w:val="hybridMultilevel"/>
    <w:lvl w:ilvl="0">
      <w:lvlJc w:val="left"/>
      <w:lvlText w:val="•"/>
      <w:numFmt w:val="bullet"/>
      <w:start w:val="1"/>
    </w:lvl>
  </w:abstractNum>
  <w:abstractNum w:abstractNumId="59">
    <w:nsid w:val="39EE015C"/>
    <w:multiLevelType w:val="hybridMultilevel"/>
    <w:lvl w:ilvl="0">
      <w:lvlJc w:val="left"/>
      <w:lvlText w:val="•"/>
      <w:numFmt w:val="bullet"/>
      <w:start w:val="1"/>
    </w:lvl>
  </w:abstractNum>
  <w:abstractNum w:abstractNumId="60">
    <w:nsid w:val="57FC4FBB"/>
    <w:multiLevelType w:val="hybridMultilevel"/>
    <w:lvl w:ilvl="0">
      <w:lvlJc w:val="left"/>
      <w:lvlText w:val="•"/>
      <w:numFmt w:val="bullet"/>
      <w:start w:val="1"/>
    </w:lvl>
  </w:abstractNum>
  <w:abstractNum w:abstractNumId="61">
    <w:nsid w:val="CC1016F"/>
    <w:multiLevelType w:val="hybridMultilevel"/>
    <w:lvl w:ilvl="0">
      <w:lvlJc w:val="left"/>
      <w:lvlText w:val="•"/>
      <w:numFmt w:val="bullet"/>
      <w:start w:val="1"/>
    </w:lvl>
  </w:abstractNum>
  <w:abstractNum w:abstractNumId="62">
    <w:nsid w:val="43F18422"/>
    <w:multiLevelType w:val="hybridMultilevel"/>
    <w:lvl w:ilvl="0">
      <w:lvlJc w:val="left"/>
      <w:lvlText w:val="•"/>
      <w:numFmt w:val="bullet"/>
      <w:start w:val="1"/>
    </w:lvl>
  </w:abstractNum>
  <w:abstractNum w:abstractNumId="63">
    <w:nsid w:val="60EF0119"/>
    <w:multiLevelType w:val="hybridMultilevel"/>
    <w:lvl w:ilvl="0">
      <w:lvlJc w:val="left"/>
      <w:lvlText w:val="*"/>
      <w:numFmt w:val="bullet"/>
      <w:start w:val="1"/>
    </w:lvl>
    <w:lvl w:ilvl="1">
      <w:lvlJc w:val="left"/>
      <w:lvlText w:val="%2"/>
      <w:numFmt w:val="decimal"/>
      <w:start w:val="101"/>
    </w:lvl>
  </w:abstractNum>
  <w:abstractNum w:abstractNumId="64">
    <w:nsid w:val="26F324BA"/>
    <w:multiLevelType w:val="hybridMultilevel"/>
    <w:lvl w:ilvl="0">
      <w:lvlJc w:val="left"/>
      <w:lvlText w:val="1"/>
      <w:numFmt w:val="bullet"/>
      <w:start w:val="1"/>
    </w:lvl>
  </w:abstractNum>
  <w:abstractNum w:abstractNumId="65">
    <w:nsid w:val="7F01579B"/>
    <w:multiLevelType w:val="hybridMultilevel"/>
    <w:lvl w:ilvl="0">
      <w:lvlJc w:val="left"/>
      <w:lvlText w:val="2"/>
      <w:numFmt w:val="bullet"/>
      <w:start w:val="1"/>
    </w:lvl>
    <w:lvl w:ilvl="1">
      <w:lvlJc w:val="left"/>
      <w:lvlText w:val="(%2)"/>
      <w:numFmt w:val="lowerRoman"/>
      <w:start w:val="1"/>
    </w:lvl>
  </w:abstractNum>
  <w:abstractNum w:abstractNumId="66">
    <w:nsid w:val="49DA307D"/>
    <w:multiLevelType w:val="hybridMultilevel"/>
    <w:lvl w:ilvl="0">
      <w:lvlJc w:val="left"/>
      <w:lvlText w:val="3"/>
      <w:numFmt w:val="bullet"/>
      <w:start w:val="1"/>
    </w:lvl>
  </w:abstractNum>
  <w:abstractNum w:abstractNumId="67">
    <w:nsid w:val="7055A5F5"/>
    <w:multiLevelType w:val="hybridMultilevel"/>
    <w:lvl w:ilvl="0">
      <w:lvlJc w:val="left"/>
      <w:lvlText w:val="4"/>
      <w:numFmt w:val="bullet"/>
      <w:start w:val="1"/>
    </w:lvl>
  </w:abstractNum>
  <w:abstractNum w:abstractNumId="68">
    <w:nsid w:val="5FB8370B"/>
    <w:multiLevelType w:val="hybridMultilevel"/>
    <w:lvl w:ilvl="0">
      <w:lvlJc w:val="left"/>
      <w:lvlText w:val="5"/>
      <w:numFmt w:val="bullet"/>
      <w:start w:val="1"/>
    </w:lvl>
  </w:abstractNum>
  <w:abstractNum w:abstractNumId="69">
    <w:nsid w:val="50801EE1"/>
    <w:multiLevelType w:val="hybridMultilevel"/>
    <w:lvl w:ilvl="0">
      <w:lvlJc w:val="left"/>
      <w:lvlText w:val="1"/>
      <w:numFmt w:val="bullet"/>
      <w:start w:val="1"/>
    </w:lvl>
  </w:abstractNum>
  <w:abstractNum w:abstractNumId="70">
    <w:nsid w:val="488AC1A"/>
    <w:multiLevelType w:val="hybridMultilevel"/>
    <w:lvl w:ilvl="0">
      <w:lvlJc w:val="left"/>
      <w:lvlText w:val="(%1)"/>
      <w:numFmt w:val="lowerRoman"/>
      <w:start w:val="1"/>
    </w:lvl>
  </w:abstractNum>
  <w:abstractNum w:abstractNumId="71">
    <w:nsid w:val="5FB8011C"/>
    <w:multiLevelType w:val="hybridMultilevel"/>
    <w:lvl w:ilvl="0">
      <w:lvlJc w:val="left"/>
      <w:lvlText w:val="(%1)"/>
      <w:numFmt w:val="lowerRoman"/>
      <w:start w:val="3"/>
    </w:lvl>
  </w:abstractNum>
  <w:abstractNum w:abstractNumId="72">
    <w:nsid w:val="6AA78F7F"/>
    <w:multiLevelType w:val="hybridMultilevel"/>
    <w:lvl w:ilvl="0">
      <w:lvlJc w:val="left"/>
      <w:lvlText w:val="(%1)"/>
      <w:numFmt w:val="lowerLetter"/>
      <w:start w:val="1"/>
    </w:lvl>
  </w:abstractNum>
  <w:abstractNum w:abstractNumId="73">
    <w:nsid w:val="7672BD23"/>
    <w:multiLevelType w:val="hybridMultilevel"/>
    <w:lvl w:ilvl="0">
      <w:lvlJc w:val="left"/>
      <w:lvlText w:val="(%1)"/>
      <w:numFmt w:val="lowerRoman"/>
      <w:start w:val="4"/>
    </w:lvl>
  </w:abstractNum>
  <w:abstractNum w:abstractNumId="74">
    <w:nsid w:val="6FC75AF8"/>
    <w:multiLevelType w:val="hybridMultilevel"/>
    <w:lvl w:ilvl="0">
      <w:lvlJc w:val="left"/>
      <w:lvlText w:val="(%1)"/>
      <w:numFmt w:val="lowerRoman"/>
      <w:start w:val="1"/>
    </w:lvl>
  </w:abstractNum>
  <w:abstractNum w:abstractNumId="75">
    <w:nsid w:val="6A5F7029"/>
    <w:multiLevelType w:val="hybridMultilevel"/>
    <w:lvl w:ilvl="0">
      <w:lvlJc w:val="left"/>
      <w:lvlText w:val="(%1)"/>
      <w:numFmt w:val="lowerLetter"/>
      <w:start w:val="1"/>
    </w:lvl>
  </w:abstractNum>
  <w:abstractNum w:abstractNumId="76">
    <w:nsid w:val="7D5E18F8"/>
    <w:multiLevelType w:val="hybridMultilevel"/>
    <w:lvl w:ilvl="0">
      <w:lvlJc w:val="left"/>
      <w:lvlText w:val="(%1)"/>
      <w:numFmt w:val="lowerRoman"/>
      <w:start w:val="4"/>
    </w:lvl>
  </w:abstractNum>
  <w:abstractNum w:abstractNumId="77">
    <w:nsid w:val="5F3534A4"/>
    <w:multiLevelType w:val="hybridMultilevel"/>
    <w:lvl w:ilvl="0">
      <w:lvlJc w:val="left"/>
      <w:lvlText w:val="%1."/>
      <w:numFmt w:val="decimal"/>
      <w:start w:val="2"/>
    </w:lvl>
  </w:abstractNum>
  <w:abstractNum w:abstractNumId="78">
    <w:nsid w:val="73A1821B"/>
    <w:multiLevelType w:val="hybridMultilevel"/>
    <w:lvl w:ilvl="0">
      <w:lvlJc w:val="left"/>
      <w:lvlText w:val="1"/>
      <w:numFmt w:val="bullet"/>
      <w:start w:val="1"/>
    </w:lvl>
  </w:abstractNum>
  <w:abstractNum w:abstractNumId="79">
    <w:nsid w:val="7DE67713"/>
    <w:multiLevelType w:val="hybridMultilevel"/>
    <w:lvl w:ilvl="0">
      <w:lvlJc w:val="left"/>
      <w:lvlText w:val="2"/>
      <w:numFmt w:val="bullet"/>
      <w:start w:val="1"/>
    </w:lvl>
  </w:abstractNum>
  <w:abstractNum w:abstractNumId="80">
    <w:nsid w:val="555C55B5"/>
    <w:multiLevelType w:val="hybridMultilevel"/>
    <w:lvl w:ilvl="0">
      <w:lvlJc w:val="left"/>
      <w:lvlText w:val="3"/>
      <w:numFmt w:val="bullet"/>
      <w:start w:val="1"/>
    </w:lvl>
  </w:abstractNum>
  <w:abstractNum w:abstractNumId="81">
    <w:nsid w:val="3FA62ACA"/>
    <w:multiLevelType w:val="hybridMultilevel"/>
    <w:lvl w:ilvl="0">
      <w:lvlJc w:val="left"/>
      <w:lvlText w:val="5"/>
      <w:numFmt w:val="bullet"/>
      <w:start w:val="1"/>
    </w:lvl>
    <w:lvl w:ilvl="1">
      <w:lvlJc w:val="left"/>
      <w:lvlText w:val="(%2)"/>
      <w:numFmt w:val="lowerRoman"/>
      <w:start w:val="1"/>
    </w:lvl>
  </w:abstractNum>
  <w:abstractNum w:abstractNumId="82">
    <w:nsid w:val="14FCE74E"/>
    <w:multiLevelType w:val="hybridMultilevel"/>
    <w:lvl w:ilvl="0">
      <w:lvlJc w:val="left"/>
      <w:lvlText w:val="6"/>
      <w:numFmt w:val="bullet"/>
      <w:start w:val="1"/>
    </w:lvl>
  </w:abstractNum>
  <w:abstractNum w:abstractNumId="83">
    <w:nsid w:val="6A3DD3E8"/>
    <w:multiLevelType w:val="hybridMultilevel"/>
    <w:lvl w:ilvl="0">
      <w:lvlJc w:val="left"/>
      <w:lvlText w:val="7"/>
      <w:numFmt w:val="bullet"/>
      <w:start w:val="1"/>
    </w:lvl>
  </w:abstractNum>
  <w:abstractNum w:abstractNumId="84">
    <w:nsid w:val="71C91298"/>
    <w:multiLevelType w:val="hybridMultilevel"/>
    <w:lvl w:ilvl="0">
      <w:lvlJc w:val="left"/>
      <w:lvlText w:val="8"/>
      <w:numFmt w:val="bullet"/>
      <w:start w:val="1"/>
    </w:lvl>
  </w:abstractNum>
  <w:abstractNum w:abstractNumId="85">
    <w:nsid w:val="9DAF632"/>
    <w:multiLevelType w:val="hybridMultilevel"/>
    <w:lvl w:ilvl="0">
      <w:lvlJc w:val="left"/>
      <w:lvlText w:val="%1."/>
      <w:numFmt w:val="decimal"/>
      <w:start w:val="1"/>
    </w:lvl>
  </w:abstractNum>
  <w:abstractNum w:abstractNumId="86">
    <w:nsid w:val="53299938"/>
    <w:multiLevelType w:val="hybridMultilevel"/>
    <w:lvl w:ilvl="0">
      <w:lvlJc w:val="left"/>
      <w:lvlText w:val="%1."/>
      <w:numFmt w:val="decimal"/>
      <w:start w:val="2"/>
    </w:lvl>
  </w:abstractNum>
  <w:abstractNum w:abstractNumId="87">
    <w:nsid w:val="1FBFE8E0"/>
    <w:multiLevelType w:val="hybridMultilevel"/>
    <w:lvl w:ilvl="0">
      <w:lvlJc w:val="left"/>
      <w:lvlText w:val="%1."/>
      <w:numFmt w:val="decimal"/>
      <w:start w:val="1"/>
    </w:lvl>
  </w:abstractNum>
  <w:abstractNum w:abstractNumId="88">
    <w:nsid w:val="5092CA79"/>
    <w:multiLevelType w:val="hybridMultilevel"/>
    <w:lvl w:ilvl="0">
      <w:lvlJc w:val="left"/>
      <w:lvlText w:val="A"/>
      <w:numFmt w:val="bullet"/>
      <w:start w:val="1"/>
    </w:lvl>
  </w:abstractNum>
  <w:abstractNum w:abstractNumId="89">
    <w:nsid w:val="1D545C4D"/>
    <w:multiLevelType w:val="hybridMultilevel"/>
    <w:lvl w:ilvl="0">
      <w:lvlJc w:val="left"/>
      <w:lvlText w:val="B"/>
      <w:numFmt w:val="bullet"/>
      <w:start w:val="1"/>
    </w:lvl>
  </w:abstractNum>
  <w:abstractNum w:abstractNumId="90">
    <w:nsid w:val="59ADEA3D"/>
    <w:multiLevelType w:val="hybridMultilevel"/>
    <w:lvl w:ilvl="0">
      <w:lvlJc w:val="left"/>
      <w:lvlText w:val="C"/>
      <w:numFmt w:val="bullet"/>
      <w:start w:val="1"/>
    </w:lvl>
  </w:abstractNum>
  <w:abstractNum w:abstractNumId="91">
    <w:nsid w:val="288F1A34"/>
    <w:multiLevelType w:val="hybridMultilevel"/>
    <w:lvl w:ilvl="0">
      <w:lvlJc w:val="left"/>
      <w:lvlText w:val="*"/>
      <w:numFmt w:val="bullet"/>
      <w:start w:val="1"/>
    </w:lvl>
  </w:abstractNum>
  <w:abstractNum w:abstractNumId="92">
    <w:nsid w:val="2A155DBC"/>
    <w:multiLevelType w:val="hybridMultilevel"/>
    <w:lvl w:ilvl="0">
      <w:lvlJc w:val="left"/>
      <w:lvlText w:val="%1."/>
      <w:numFmt w:val="decimal"/>
      <w:start w:val="2"/>
    </w:lvl>
  </w:abstractNum>
  <w:abstractNum w:abstractNumId="93">
    <w:nsid w:val="1D9F6E5F"/>
    <w:multiLevelType w:val="hybridMultilevel"/>
    <w:lvl w:ilvl="0">
      <w:lvlJc w:val="left"/>
      <w:lvlText w:val="%1."/>
      <w:numFmt w:val="decimal"/>
      <w:start w:val="3"/>
    </w:lvl>
  </w:abstractNum>
  <w:abstractNum w:abstractNumId="94">
    <w:nsid w:val="97E1B4E"/>
    <w:multiLevelType w:val="hybridMultilevel"/>
    <w:lvl w:ilvl="0">
      <w:lvlJc w:val="left"/>
      <w:lvlText w:val="%1."/>
      <w:numFmt w:val="decimal"/>
      <w:start w:val="4"/>
    </w:lvl>
  </w:abstractNum>
  <w:abstractNum w:abstractNumId="95">
    <w:nsid w:val="51088277"/>
    <w:multiLevelType w:val="hybridMultilevel"/>
    <w:lvl w:ilvl="0">
      <w:lvlJc w:val="left"/>
      <w:lvlText w:val="%1."/>
      <w:numFmt w:val="upperLetter"/>
      <w:start w:val="1"/>
    </w:lvl>
  </w:abstractNum>
  <w:abstractNum w:abstractNumId="96">
    <w:nsid w:val="1CA0C5FA"/>
    <w:multiLevelType w:val="hybridMultilevel"/>
    <w:lvl w:ilvl="0">
      <w:lvlJc w:val="left"/>
      <w:lvlText w:val="*"/>
      <w:numFmt w:val="bullet"/>
      <w:start w:val="1"/>
    </w:lvl>
  </w:abstractNum>
  <w:abstractNum w:abstractNumId="97">
    <w:nsid w:val="53584BCB"/>
    <w:multiLevelType w:val="hybridMultilevel"/>
    <w:lvl w:ilvl="0">
      <w:lvlJc w:val="left"/>
      <w:lvlText w:val="**"/>
      <w:numFmt w:val="bullet"/>
      <w:start w:val="1"/>
    </w:lvl>
  </w:abstractNum>
  <w:abstractNum w:abstractNumId="98">
    <w:nsid w:val="415E286C"/>
    <w:multiLevelType w:val="hybridMultilevel"/>
    <w:lvl w:ilvl="0">
      <w:lvlJc w:val="left"/>
      <w:lvlText w:val="***"/>
      <w:numFmt w:val="bullet"/>
      <w:start w:val="1"/>
    </w:lvl>
  </w:abstractNum>
  <w:abstractNum w:abstractNumId="99">
    <w:nsid w:val="7C58FD05"/>
    <w:multiLevelType w:val="hybridMultilevel"/>
    <w:lvl w:ilvl="0">
      <w:lvlJc w:val="left"/>
      <w:lvlText w:val="#"/>
      <w:numFmt w:val="bullet"/>
      <w:start w:val="1"/>
    </w:lvl>
  </w:abstractNum>
  <w:abstractNum w:abstractNumId="100">
    <w:nsid w:val="23D86AAC"/>
    <w:multiLevelType w:val="hybridMultilevel"/>
    <w:lvl w:ilvl="0">
      <w:lvlJc w:val="left"/>
      <w:lvlText w:val="%1."/>
      <w:numFmt w:val="decimal"/>
      <w:start w:val="1"/>
    </w:lvl>
  </w:abstractNum>
  <w:abstractNum w:abstractNumId="101">
    <w:nsid w:val="45E6D486"/>
    <w:multiLevelType w:val="hybridMultilevel"/>
    <w:lvl w:ilvl="0">
      <w:lvlJc w:val="left"/>
      <w:lvlText w:val="%1."/>
      <w:numFmt w:val="decimal"/>
      <w:start w:val="2"/>
    </w:lvl>
  </w:abstractNum>
  <w:abstractNum w:abstractNumId="102">
    <w:nsid w:val="5C10FE21"/>
    <w:multiLevelType w:val="hybridMultilevel"/>
    <w:lvl w:ilvl="0">
      <w:lvlJc w:val="left"/>
      <w:lvlText w:val="%1."/>
      <w:numFmt w:val="decimal"/>
      <w:start w:val="3"/>
    </w:lvl>
  </w:abstractNum>
  <w:abstractNum w:abstractNumId="103">
    <w:nsid w:val="E7FFA2B"/>
    <w:multiLevelType w:val="hybridMultilevel"/>
    <w:lvl w:ilvl="0">
      <w:lvlJc w:val="left"/>
      <w:lvlText w:val="%1."/>
      <w:numFmt w:val="decimal"/>
      <w:start w:val="4"/>
    </w:lvl>
  </w:abstractNum>
  <w:abstractNum w:abstractNumId="104">
    <w:nsid w:val="3C5991AA"/>
    <w:multiLevelType w:val="hybridMultilevel"/>
    <w:lvl w:ilvl="0">
      <w:lvlJc w:val="left"/>
      <w:lvlText w:val="%1."/>
      <w:numFmt w:val="decimal"/>
      <w:start w:val="6"/>
    </w:lvl>
  </w:abstractNum>
  <w:abstractNum w:abstractNumId="105">
    <w:nsid w:val="4BD8591A"/>
    <w:multiLevelType w:val="hybridMultilevel"/>
    <w:lvl w:ilvl="0">
      <w:lvlJc w:val="left"/>
      <w:lvlText w:val="%1."/>
      <w:numFmt w:val="decimal"/>
      <w:start w:val="1"/>
    </w:lvl>
  </w:abstractNum>
  <w:abstractNum w:abstractNumId="106">
    <w:nsid w:val="78DF6A55"/>
    <w:multiLevelType w:val="hybridMultilevel"/>
    <w:lvl w:ilvl="0">
      <w:lvlJc w:val="left"/>
      <w:lvlText w:val="%1."/>
      <w:numFmt w:val="decimal"/>
      <w:start w:val="1"/>
    </w:lvl>
  </w:abstractNum>
  <w:abstractNum w:abstractNumId="107">
    <w:nsid w:val="39B7AAA2"/>
    <w:multiLevelType w:val="hybridMultilevel"/>
    <w:lvl w:ilvl="0">
      <w:lvlJc w:val="left"/>
      <w:lvlText w:val="%1."/>
      <w:numFmt w:val="decimal"/>
      <w:start w:val="2"/>
    </w:lvl>
  </w:abstractNum>
  <w:abstractNum w:abstractNumId="108">
    <w:nsid w:val="2B0D8DBE"/>
    <w:multiLevelType w:val="hybridMultilevel"/>
    <w:lvl w:ilvl="0">
      <w:lvlJc w:val="left"/>
      <w:lvlText w:val="3"/>
      <w:numFmt w:val="bullet"/>
      <w:start w:val="1"/>
    </w:lvl>
  </w:abstractNum>
  <w:abstractNum w:abstractNumId="109">
    <w:nsid w:val="6C80EC70"/>
    <w:multiLevelType w:val="hybridMultilevel"/>
    <w:lvl w:ilvl="0">
      <w:lvlJc w:val="left"/>
      <w:lvlText w:val="%1."/>
      <w:numFmt w:val="decimal"/>
      <w:start w:val="1"/>
    </w:lvl>
  </w:abstractNum>
  <w:abstractNum w:abstractNumId="110">
    <w:nsid w:val="379E21B5"/>
    <w:multiLevelType w:val="hybridMultilevel"/>
    <w:lvl w:ilvl="0">
      <w:lvlJc w:val="left"/>
      <w:lvlText w:val="%1."/>
      <w:numFmt w:val="decimal"/>
      <w:start w:val="1"/>
    </w:lvl>
  </w:abstractNum>
  <w:abstractNum w:abstractNumId="111">
    <w:nsid w:val="69E373"/>
    <w:multiLevelType w:val="hybridMultilevel"/>
    <w:lvl w:ilvl="0">
      <w:lvlJc w:val="left"/>
      <w:lvlText w:val="(%1)"/>
      <w:numFmt w:val="lowerRoman"/>
      <w:start w:val="1"/>
    </w:lvl>
  </w:abstractNum>
  <w:abstractNum w:abstractNumId="112">
    <w:nsid w:val="2C27173B"/>
    <w:multiLevelType w:val="hybridMultilevel"/>
    <w:lvl w:ilvl="0">
      <w:lvlJc w:val="left"/>
      <w:lvlText w:val="%1."/>
      <w:numFmt w:val="decimal"/>
      <w:start w:val="2"/>
    </w:lvl>
  </w:abstractNum>
  <w:abstractNum w:abstractNumId="113">
    <w:nsid w:val="4C9B0904"/>
    <w:multiLevelType w:val="hybridMultilevel"/>
    <w:lvl w:ilvl="0">
      <w:lvlJc w:val="left"/>
      <w:lvlText w:val="%1."/>
      <w:numFmt w:val="decimal"/>
      <w:start w:val="1"/>
    </w:lvl>
  </w:abstractNum>
  <w:abstractNum w:abstractNumId="114">
    <w:nsid w:val="6AA7B75C"/>
    <w:multiLevelType w:val="hybridMultilevel"/>
    <w:lvl w:ilvl="0">
      <w:lvlJc w:val="left"/>
      <w:lvlText w:val="%1."/>
      <w:numFmt w:val="decimal"/>
      <w:start w:val="3"/>
    </w:lvl>
  </w:abstractNum>
  <w:abstractNum w:abstractNumId="115">
    <w:nsid w:val="1DF029D3"/>
    <w:multiLevelType w:val="hybridMultilevel"/>
    <w:lvl w:ilvl="0">
      <w:lvlJc w:val="left"/>
      <w:lvlText w:val="•"/>
      <w:numFmt w:val="bullet"/>
      <w:start w:val="1"/>
    </w:lvl>
  </w:abstractNum>
  <w:abstractNum w:abstractNumId="116">
    <w:nsid w:val="5675FF36"/>
    <w:multiLevelType w:val="hybridMultilevel"/>
    <w:lvl w:ilvl="0">
      <w:lvlJc w:val="left"/>
      <w:lvlText w:val="•"/>
      <w:numFmt w:val="bullet"/>
      <w:start w:val="1"/>
    </w:lvl>
  </w:abstractNum>
  <w:abstractNum w:abstractNumId="117">
    <w:nsid w:val="3DD15094"/>
    <w:multiLevelType w:val="hybridMultilevel"/>
    <w:lvl w:ilvl="0">
      <w:lvlJc w:val="left"/>
      <w:lvlText w:val="(%1)"/>
      <w:numFmt w:val="decimal"/>
      <w:start w:val="1"/>
    </w:lvl>
  </w:abstractNum>
  <w:abstractNum w:abstractNumId="118">
    <w:nsid w:val="3DB012B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19">
    <w:nsid w:val="2708C9AF"/>
    <w:multiLevelType w:val="hybridMultilevel"/>
    <w:lvl w:ilvl="0">
      <w:lvlJc w:val="left"/>
      <w:lvlText w:val="%1."/>
      <w:numFmt w:val="decimal"/>
      <w:start w:val="1"/>
    </w:lvl>
    <w:lvl w:ilvl="1">
      <w:lvlJc w:val="left"/>
      <w:lvlText w:val="(%2)"/>
      <w:numFmt w:val="lowerLetter"/>
      <w:start w:val="1"/>
    </w:lvl>
  </w:abstractNum>
  <w:abstractNum w:abstractNumId="120">
    <w:nsid w:val="5B25ACE2"/>
    <w:multiLevelType w:val="hybridMultilevel"/>
    <w:lvl w:ilvl="0">
      <w:lvlJc w:val="left"/>
      <w:lvlText w:val="%1."/>
      <w:numFmt w:val="decimal"/>
      <w:start w:val="1"/>
    </w:lvl>
    <w:lvl w:ilvl="1">
      <w:lvlJc w:val="left"/>
      <w:lvlText w:val="(%2)"/>
      <w:numFmt w:val="lowerLetter"/>
      <w:start w:val="1"/>
    </w:lvl>
  </w:abstractNum>
  <w:abstractNum w:abstractNumId="121">
    <w:nsid w:val="175DFCF0"/>
    <w:multiLevelType w:val="hybridMultilevel"/>
    <w:lvl w:ilvl="0">
      <w:lvlJc w:val="left"/>
      <w:lvlText w:val="%1."/>
      <w:numFmt w:val="decimal"/>
      <w:start w:val="1"/>
    </w:lvl>
    <w:lvl w:ilvl="1">
      <w:lvlJc w:val="left"/>
      <w:lvlText w:val="(%2)"/>
      <w:numFmt w:val="lowerLetter"/>
      <w:start w:val="1"/>
    </w:lvl>
  </w:abstractNum>
  <w:abstractNum w:abstractNumId="122">
    <w:nsid w:val="4F97E3E4"/>
    <w:multiLevelType w:val="hybridMultilevel"/>
    <w:lvl w:ilvl="0">
      <w:lvlJc w:val="left"/>
      <w:lvlText w:val="(%1)"/>
      <w:numFmt w:val="decimal"/>
      <w:start w:val="1"/>
    </w:lvl>
  </w:abstractNum>
  <w:abstractNum w:abstractNumId="123">
    <w:nsid w:val="53B0A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2019-12-05T02:56:58Z</dcterms:created>
  <dcterms:modified xsi:type="dcterms:W3CDTF">2019-12-05T02:56:58Z</dcterms:modified>
</cp:coreProperties>
</file>