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31, 2023</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2620" w:type="dxa"/>
            <w:vAlign w:val="bottom"/>
          </w:tcPr>
          <w:p>
            <w:pPr>
              <w:jc w:val="center"/>
              <w:ind w:right="1094"/>
              <w:spacing w:after="0"/>
              <w:rPr>
                <w:sz w:val="20"/>
                <w:szCs w:val="20"/>
                <w:color w:val="auto"/>
              </w:rPr>
            </w:pPr>
            <w:r>
              <w:rPr>
                <w:rFonts w:ascii="Arial" w:cs="Arial" w:eastAsia="Arial" w:hAnsi="Arial"/>
                <w:sz w:val="18"/>
                <w:szCs w:val="18"/>
                <w:b w:val="1"/>
                <w:bCs w:val="1"/>
                <w:color w:val="auto"/>
              </w:rPr>
              <w:t>Delaware</w:t>
            </w:r>
          </w:p>
        </w:tc>
        <w:tc>
          <w:tcPr>
            <w:tcW w:w="276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99"/>
              </w:rPr>
              <w:t>1-8400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9"/>
              </w:rPr>
              <w:t>75-1825172</w:t>
            </w:r>
          </w:p>
        </w:tc>
        <w:tc>
          <w:tcPr>
            <w:tcW w:w="1180" w:type="dxa"/>
            <w:vAlign w:val="bottom"/>
          </w:tcPr>
          <w:p>
            <w:pPr>
              <w:spacing w:after="0"/>
              <w:rPr>
                <w:sz w:val="19"/>
                <w:szCs w:val="19"/>
                <w:color w:val="auto"/>
              </w:rPr>
            </w:pPr>
          </w:p>
        </w:tc>
      </w:tr>
      <w:tr>
        <w:trPr>
          <w:trHeight w:val="252"/>
        </w:trPr>
        <w:tc>
          <w:tcPr>
            <w:tcW w:w="1180" w:type="dxa"/>
            <w:vAlign w:val="bottom"/>
          </w:tcPr>
          <w:p>
            <w:pPr>
              <w:spacing w:after="0"/>
              <w:rPr>
                <w:sz w:val="21"/>
                <w:szCs w:val="21"/>
                <w:color w:val="auto"/>
              </w:rPr>
            </w:pPr>
          </w:p>
        </w:tc>
        <w:tc>
          <w:tcPr>
            <w:tcW w:w="2620" w:type="dxa"/>
            <w:vAlign w:val="bottom"/>
          </w:tcPr>
          <w:p>
            <w:pPr>
              <w:jc w:val="center"/>
              <w:ind w:right="1094"/>
              <w:spacing w:after="0"/>
              <w:rPr>
                <w:sz w:val="20"/>
                <w:szCs w:val="20"/>
                <w:color w:val="auto"/>
              </w:rPr>
            </w:pPr>
            <w:r>
              <w:rPr>
                <w:rFonts w:ascii="Arial" w:cs="Arial" w:eastAsia="Arial" w:hAnsi="Arial"/>
                <w:sz w:val="18"/>
                <w:szCs w:val="18"/>
                <w:b w:val="1"/>
                <w:bCs w:val="1"/>
                <w:color w:val="auto"/>
              </w:rPr>
              <w:t>Delaware</w:t>
            </w:r>
          </w:p>
        </w:tc>
        <w:tc>
          <w:tcPr>
            <w:tcW w:w="276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99"/>
              </w:rPr>
              <w:t>1-2691</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9"/>
              </w:rPr>
              <w:t>13-1502798</w:t>
            </w:r>
          </w:p>
        </w:tc>
        <w:tc>
          <w:tcPr>
            <w:tcW w:w="1180" w:type="dxa"/>
            <w:vAlign w:val="bottom"/>
          </w:tcPr>
          <w:p>
            <w:pPr>
              <w:spacing w:after="0"/>
              <w:rPr>
                <w:sz w:val="21"/>
                <w:szCs w:val="21"/>
                <w:color w:val="auto"/>
              </w:rPr>
            </w:pPr>
          </w:p>
        </w:tc>
      </w:tr>
      <w:tr>
        <w:trPr>
          <w:trHeight w:val="195"/>
        </w:trPr>
        <w:tc>
          <w:tcPr>
            <w:tcW w:w="3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tc>
        <w:tc>
          <w:tcPr>
            <w:tcW w:w="240" w:type="dxa"/>
            <w:vAlign w:val="bottom"/>
          </w:tcPr>
          <w:p>
            <w:pPr>
              <w:spacing w:after="0"/>
              <w:rPr>
                <w:sz w:val="16"/>
                <w:szCs w:val="16"/>
                <w:color w:val="auto"/>
              </w:rPr>
            </w:pPr>
          </w:p>
        </w:tc>
        <w:tc>
          <w:tcPr>
            <w:tcW w:w="33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(Commission File Number)</w:t>
            </w:r>
          </w:p>
        </w:tc>
        <w:tc>
          <w:tcPr>
            <w:tcW w:w="240" w:type="dxa"/>
            <w:vAlign w:val="bottom"/>
          </w:tcPr>
          <w:p>
            <w:pPr>
              <w:spacing w:after="0"/>
              <w:rPr>
                <w:sz w:val="16"/>
                <w:szCs w:val="16"/>
                <w:color w:val="auto"/>
              </w:rPr>
            </w:pPr>
          </w:p>
        </w:tc>
        <w:tc>
          <w:tcPr>
            <w:tcW w:w="35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81"/>
        </w:trPr>
        <w:tc>
          <w:tcPr>
            <w:tcW w:w="1180" w:type="dxa"/>
            <w:vAlign w:val="bottom"/>
          </w:tcPr>
          <w:p>
            <w:pPr>
              <w:spacing w:after="0"/>
              <w:rPr>
                <w:sz w:val="24"/>
                <w:szCs w:val="24"/>
                <w:color w:val="auto"/>
              </w:rPr>
            </w:pPr>
          </w:p>
        </w:tc>
        <w:tc>
          <w:tcPr>
            <w:tcW w:w="6200" w:type="dxa"/>
            <w:vAlign w:val="bottom"/>
            <w:gridSpan w:val="5"/>
          </w:tcPr>
          <w:p>
            <w:pPr>
              <w:ind w:left="1560"/>
              <w:spacing w:after="0"/>
              <w:rPr>
                <w:sz w:val="20"/>
                <w:szCs w:val="20"/>
                <w:color w:val="auto"/>
              </w:rPr>
            </w:pPr>
            <w:r>
              <w:rPr>
                <w:rFonts w:ascii="Arial" w:cs="Arial" w:eastAsia="Arial" w:hAnsi="Arial"/>
                <w:sz w:val="18"/>
                <w:szCs w:val="18"/>
                <w:b w:val="1"/>
                <w:bCs w:val="1"/>
                <w:color w:val="auto"/>
              </w:rPr>
              <w:t>1 Skyview Drive,  Fort Worth,  Texas</w:t>
            </w:r>
          </w:p>
        </w:tc>
        <w:tc>
          <w:tcPr>
            <w:tcW w:w="2640" w:type="dxa"/>
            <w:vAlign w:val="bottom"/>
            <w:gridSpan w:val="2"/>
          </w:tcPr>
          <w:p>
            <w:pPr>
              <w:jc w:val="center"/>
              <w:ind w:right="308"/>
              <w:spacing w:after="0"/>
              <w:rPr>
                <w:sz w:val="20"/>
                <w:szCs w:val="20"/>
                <w:color w:val="auto"/>
              </w:rPr>
            </w:pPr>
            <w:r>
              <w:rPr>
                <w:rFonts w:ascii="Arial" w:cs="Arial" w:eastAsia="Arial" w:hAnsi="Arial"/>
                <w:sz w:val="18"/>
                <w:szCs w:val="18"/>
                <w:b w:val="1"/>
                <w:bCs w:val="1"/>
                <w:color w:val="auto"/>
                <w:w w:val="99"/>
              </w:rPr>
              <w:t>76155</w:t>
            </w:r>
          </w:p>
        </w:tc>
        <w:tc>
          <w:tcPr>
            <w:tcW w:w="1180" w:type="dxa"/>
            <w:vAlign w:val="bottom"/>
          </w:tcPr>
          <w:p>
            <w:pPr>
              <w:spacing w:after="0"/>
              <w:rPr>
                <w:sz w:val="24"/>
                <w:szCs w:val="24"/>
                <w:color w:val="auto"/>
              </w:rPr>
            </w:pPr>
          </w:p>
        </w:tc>
      </w:tr>
      <w:tr>
        <w:trPr>
          <w:trHeight w:val="252"/>
        </w:trPr>
        <w:tc>
          <w:tcPr>
            <w:tcW w:w="1180" w:type="dxa"/>
            <w:vAlign w:val="bottom"/>
          </w:tcPr>
          <w:p>
            <w:pPr>
              <w:spacing w:after="0"/>
              <w:rPr>
                <w:sz w:val="21"/>
                <w:szCs w:val="21"/>
                <w:color w:val="auto"/>
              </w:rPr>
            </w:pPr>
          </w:p>
        </w:tc>
        <w:tc>
          <w:tcPr>
            <w:tcW w:w="5380" w:type="dxa"/>
            <w:vAlign w:val="bottom"/>
            <w:tcBorders>
              <w:bottom w:val="single" w:sz="8" w:color="auto"/>
            </w:tcBorders>
            <w:gridSpan w:val="3"/>
          </w:tcPr>
          <w:p>
            <w:pPr>
              <w:ind w:left="1560"/>
              <w:spacing w:after="0"/>
              <w:rPr>
                <w:sz w:val="20"/>
                <w:szCs w:val="20"/>
                <w:color w:val="auto"/>
              </w:rPr>
            </w:pPr>
            <w:r>
              <w:rPr>
                <w:rFonts w:ascii="Arial" w:cs="Arial" w:eastAsia="Arial" w:hAnsi="Arial"/>
                <w:sz w:val="18"/>
                <w:szCs w:val="18"/>
                <w:b w:val="1"/>
                <w:bCs w:val="1"/>
                <w:color w:val="auto"/>
              </w:rPr>
              <w:t>1 Skyview Drive,  Fort Worth,  Texas</w:t>
            </w:r>
          </w:p>
        </w:tc>
        <w:tc>
          <w:tcPr>
            <w:tcW w:w="4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8"/>
                <w:szCs w:val="18"/>
                <w:b w:val="1"/>
                <w:bCs w:val="1"/>
                <w:color w:val="auto"/>
                <w:w w:val="99"/>
              </w:rPr>
              <w:t>76155</w:t>
            </w:r>
          </w:p>
        </w:tc>
        <w:tc>
          <w:tcPr>
            <w:tcW w:w="1180" w:type="dxa"/>
            <w:vAlign w:val="bottom"/>
          </w:tcPr>
          <w:p>
            <w:pPr>
              <w:spacing w:after="0"/>
              <w:rPr>
                <w:sz w:val="21"/>
                <w:szCs w:val="21"/>
                <w:color w:val="auto"/>
              </w:rPr>
            </w:pPr>
          </w:p>
        </w:tc>
      </w:tr>
      <w:tr>
        <w:trPr>
          <w:trHeight w:val="195"/>
        </w:trPr>
        <w:tc>
          <w:tcPr>
            <w:tcW w:w="1180" w:type="dxa"/>
            <w:vAlign w:val="bottom"/>
          </w:tcPr>
          <w:p>
            <w:pPr>
              <w:spacing w:after="0"/>
              <w:rPr>
                <w:sz w:val="16"/>
                <w:szCs w:val="16"/>
                <w:color w:val="auto"/>
              </w:rPr>
            </w:pPr>
          </w:p>
        </w:tc>
        <w:tc>
          <w:tcPr>
            <w:tcW w:w="6200" w:type="dxa"/>
            <w:vAlign w:val="bottom"/>
            <w:gridSpan w:val="5"/>
          </w:tcPr>
          <w:p>
            <w:pPr>
              <w:ind w:left="1360"/>
              <w:spacing w:after="0"/>
              <w:rPr>
                <w:sz w:val="20"/>
                <w:szCs w:val="20"/>
                <w:color w:val="auto"/>
              </w:rPr>
            </w:pPr>
            <w:r>
              <w:rPr>
                <w:rFonts w:ascii="Arial" w:cs="Arial" w:eastAsia="Arial" w:hAnsi="Arial"/>
                <w:sz w:val="14"/>
                <w:szCs w:val="14"/>
                <w:b w:val="1"/>
                <w:bCs w:val="1"/>
                <w:color w:val="auto"/>
              </w:rPr>
              <w:t>(Address of principal executive offices)</w:t>
            </w:r>
          </w:p>
        </w:tc>
        <w:tc>
          <w:tcPr>
            <w:tcW w:w="240" w:type="dxa"/>
            <w:vAlign w:val="bottom"/>
          </w:tcPr>
          <w:p>
            <w:pPr>
              <w:spacing w:after="0"/>
              <w:rPr>
                <w:sz w:val="16"/>
                <w:szCs w:val="16"/>
                <w:color w:val="auto"/>
              </w:rPr>
            </w:pPr>
          </w:p>
        </w:tc>
        <w:tc>
          <w:tcPr>
            <w:tcW w:w="358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rPr>
              <w:t>(Zip Code)</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113" w:lineRule="exact"/>
        <w:rPr>
          <w:sz w:val="24"/>
          <w:szCs w:val="24"/>
          <w:color w:val="auto"/>
        </w:rPr>
      </w:pPr>
    </w:p>
    <w:p>
      <w:pPr>
        <w:jc w:val="center"/>
        <w:ind w:left="360" w:right="180"/>
        <w:spacing w:after="0" w:line="29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9" w:lineRule="exact"/>
        <w:rPr>
          <w:sz w:val="24"/>
          <w:szCs w:val="24"/>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46"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47"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20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201"/>
        </w:trPr>
        <w:tc>
          <w:tcPr>
            <w:tcW w:w="37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7"/>
                <w:szCs w:val="17"/>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3"/>
        </w:trPr>
        <w:tc>
          <w:tcPr>
            <w:tcW w:w="3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Common Stock, $0.01 par value per share</w:t>
            </w:r>
          </w:p>
        </w:tc>
        <w:tc>
          <w:tcPr>
            <w:tcW w:w="240" w:type="dxa"/>
            <w:vAlign w:val="bottom"/>
          </w:tcPr>
          <w:p>
            <w:pPr>
              <w:spacing w:after="0"/>
              <w:rPr>
                <w:sz w:val="12"/>
                <w:szCs w:val="12"/>
                <w:color w:val="auto"/>
              </w:rPr>
            </w:pPr>
          </w:p>
        </w:tc>
        <w:tc>
          <w:tcPr>
            <w:tcW w:w="33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AAL</w:t>
            </w:r>
          </w:p>
        </w:tc>
        <w:tc>
          <w:tcPr>
            <w:tcW w:w="200" w:type="dxa"/>
            <w:vAlign w:val="bottom"/>
          </w:tcPr>
          <w:p>
            <w:pPr>
              <w:spacing w:after="0"/>
              <w:rPr>
                <w:sz w:val="12"/>
                <w:szCs w:val="12"/>
                <w:color w:val="auto"/>
              </w:rPr>
            </w:pPr>
          </w:p>
        </w:tc>
        <w:tc>
          <w:tcPr>
            <w:tcW w:w="3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62"/>
        </w:trPr>
        <w:tc>
          <w:tcPr>
            <w:tcW w:w="3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Preferred Stock Purchase Rights</w:t>
            </w:r>
          </w:p>
        </w:tc>
        <w:tc>
          <w:tcPr>
            <w:tcW w:w="240" w:type="dxa"/>
            <w:vAlign w:val="bottom"/>
          </w:tcPr>
          <w:p>
            <w:pPr>
              <w:spacing w:after="0"/>
              <w:rPr>
                <w:sz w:val="14"/>
                <w:szCs w:val="14"/>
                <w:color w:val="auto"/>
              </w:rPr>
            </w:pPr>
          </w:p>
        </w:tc>
        <w:tc>
          <w:tcPr>
            <w:tcW w:w="33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820" w:type="dxa"/>
            <w:vAlign w:val="bottom"/>
            <w:gridSpan w:val="2"/>
          </w:tcPr>
          <w:p>
            <w:pPr>
              <w:jc w:val="center"/>
              <w:ind w:left="142"/>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79"/>
        </w:trPr>
        <w:tc>
          <w:tcPr>
            <w:tcW w:w="37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3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7"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94" w:lineRule="exact"/>
        <w:rPr>
          <w:sz w:val="24"/>
          <w:szCs w:val="24"/>
          <w:color w:val="auto"/>
        </w:rPr>
      </w:pPr>
    </w:p>
    <w:p>
      <w:pPr>
        <w:ind w:right="220"/>
        <w:spacing w:after="0" w:line="27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33"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6" w:lineRule="exact"/>
        <w:rPr>
          <w:sz w:val="24"/>
          <w:szCs w:val="24"/>
          <w:color w:val="auto"/>
        </w:rPr>
      </w:pPr>
    </w:p>
    <w:p>
      <w:pPr>
        <w:ind w:right="6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257" w:right="359" w:bottom="1440" w:gutter="0" w:footer="0" w:header="0"/>
        </w:sectPr>
      </w:pPr>
    </w:p>
    <w:bookmarkStart w:id="1" w:name="page2"/>
    <w:bookmarkEnd w:id="1"/>
    <w:p>
      <w:pPr>
        <w:ind w:left="20"/>
        <w:spacing w:after="0"/>
        <w:tabs>
          <w:tab w:leader="none" w:pos="15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31, 2023, American Airlines Group Inc. (the “Company”) is presenting information relating to its financial and operational outlook at the Bernstein Strategic Decisions Conference. As previously announced, this presentation will be webcast, with the link available at the Company’s website at www.aa.com under “Investor Relations.”</w:t>
      </w:r>
    </w:p>
    <w:p>
      <w:pPr>
        <w:spacing w:after="0" w:line="1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Additionally, the Company is providing investors an update regarding its financial and operational guidance for the second quarter of 2023. The Company now expects total revenue per available seat mile to be down approximately 1.0% to 3.0% versus the second quarter of 2022. This improvement in unit revenue versus prior guidance is driven by continued strength in the demand environment. The Company now expects to pay an average of between $2.55 to $2.65 per gallon of jet fuel in the second quarter. Based on these updated assumptions, the Company now expects its second quarter adjusted operating margin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to be approximately 12.5% to 14.5% and adjusted earnings per diluted share</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to be between approximately $1.45 to $ 1.65. The Company does not intend to provide a further update to its financial and operational guidance until the release of its second quarter 2023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spacing w:after="0"/>
              <w:rPr>
                <w:sz w:val="20"/>
                <w:szCs w:val="20"/>
                <w:color w:val="auto"/>
              </w:rPr>
            </w:pPr>
          </w:p>
        </w:tc>
        <w:tc>
          <w:tcPr>
            <w:tcW w:w="514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b w:val="1"/>
                <w:bCs w:val="1"/>
                <w:color w:val="auto"/>
              </w:rPr>
              <w:t>Estimated 2Q 2023</w:t>
            </w:r>
          </w:p>
        </w:tc>
      </w:tr>
      <w:tr>
        <w:trPr>
          <w:trHeight w:val="223"/>
        </w:trPr>
        <w:tc>
          <w:tcPr>
            <w:tcW w:w="608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Current Guidance</w:t>
            </w:r>
          </w:p>
        </w:tc>
        <w:tc>
          <w:tcPr>
            <w:tcW w:w="10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Previous Guidance</w:t>
            </w:r>
          </w:p>
        </w:tc>
      </w:tr>
      <w:tr>
        <w:trPr>
          <w:trHeight w:val="237"/>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seat miles (vs. 2Q 2022)</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rPr>
              <w:t>No change</w:t>
            </w:r>
          </w:p>
        </w:tc>
        <w:tc>
          <w:tcPr>
            <w:tcW w:w="100" w:type="dxa"/>
            <w:vAlign w:val="bottom"/>
            <w:shd w:val="clear" w:color="auto" w:fill="CCEEFF"/>
          </w:tcPr>
          <w:p>
            <w:pPr>
              <w:spacing w:after="0"/>
              <w:rPr>
                <w:sz w:val="20"/>
                <w:szCs w:val="20"/>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+3.5% to +5.5%</w:t>
            </w:r>
          </w:p>
        </w:tc>
      </w:tr>
      <w:tr>
        <w:trPr>
          <w:trHeight w:val="229"/>
        </w:trPr>
        <w:tc>
          <w:tcPr>
            <w:tcW w:w="6080" w:type="dxa"/>
            <w:vAlign w:val="bottom"/>
          </w:tcPr>
          <w:p>
            <w:pPr>
              <w:ind w:left="20"/>
              <w:spacing w:after="0" w:line="230" w:lineRule="exact"/>
              <w:rPr>
                <w:sz w:val="20"/>
                <w:szCs w:val="20"/>
                <w:color w:val="auto"/>
              </w:rPr>
            </w:pPr>
            <w:r>
              <w:rPr>
                <w:rFonts w:ascii="Arial" w:cs="Arial" w:eastAsia="Arial" w:hAnsi="Arial"/>
                <w:sz w:val="18"/>
                <w:szCs w:val="18"/>
                <w:color w:val="auto"/>
              </w:rPr>
              <w:t>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(vs. 2Q 2022)</w:t>
            </w:r>
          </w:p>
        </w:tc>
        <w:tc>
          <w:tcPr>
            <w:tcW w:w="2520" w:type="dxa"/>
            <w:vAlign w:val="bottom"/>
          </w:tcPr>
          <w:p>
            <w:pPr>
              <w:jc w:val="center"/>
              <w:spacing w:after="0"/>
              <w:rPr>
                <w:sz w:val="20"/>
                <w:szCs w:val="20"/>
                <w:color w:val="auto"/>
              </w:rPr>
            </w:pPr>
            <w:r>
              <w:rPr>
                <w:rFonts w:ascii="Arial" w:cs="Arial" w:eastAsia="Arial" w:hAnsi="Arial"/>
                <w:sz w:val="18"/>
                <w:szCs w:val="18"/>
                <w:color w:val="auto"/>
              </w:rPr>
              <w:t>~ -1.0% to -3.0%</w:t>
            </w:r>
          </w:p>
        </w:tc>
        <w:tc>
          <w:tcPr>
            <w:tcW w:w="10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 -2.0% to -4.0%</w:t>
            </w:r>
          </w:p>
        </w:tc>
      </w:tr>
      <w:tr>
        <w:trPr>
          <w:trHeight w:val="230"/>
        </w:trPr>
        <w:tc>
          <w:tcPr>
            <w:tcW w:w="6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Average fuel price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(incl. taxes) ($/gallon)</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$2.55 to $2.65</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$2.65 to $2.75</w:t>
            </w:r>
          </w:p>
        </w:tc>
      </w:tr>
      <w:tr>
        <w:trPr>
          <w:trHeight w:val="243"/>
        </w:trPr>
        <w:tc>
          <w:tcPr>
            <w:tcW w:w="6080" w:type="dxa"/>
            <w:vAlign w:val="bottom"/>
          </w:tcPr>
          <w:p>
            <w:pPr>
              <w:ind w:left="20"/>
              <w:spacing w:after="0" w:line="243" w:lineRule="exact"/>
              <w:rPr>
                <w:sz w:val="20"/>
                <w:szCs w:val="20"/>
                <w:color w:val="auto"/>
              </w:rPr>
            </w:pPr>
            <w:r>
              <w:rPr>
                <w:rFonts w:ascii="Arial" w:cs="Arial" w:eastAsia="Arial" w:hAnsi="Arial"/>
                <w:sz w:val="18"/>
                <w:szCs w:val="18"/>
                <w:color w:val="auto"/>
              </w:rPr>
              <w:t>CASM-ex</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(vs. 2Q 2022)</w:t>
            </w:r>
          </w:p>
        </w:tc>
        <w:tc>
          <w:tcPr>
            <w:tcW w:w="2520" w:type="dxa"/>
            <w:vAlign w:val="bottom"/>
          </w:tcPr>
          <w:p>
            <w:pPr>
              <w:jc w:val="center"/>
              <w:spacing w:after="0"/>
              <w:rPr>
                <w:sz w:val="20"/>
                <w:szCs w:val="20"/>
                <w:color w:val="auto"/>
              </w:rPr>
            </w:pPr>
            <w:r>
              <w:rPr>
                <w:rFonts w:ascii="Arial" w:cs="Arial" w:eastAsia="Arial" w:hAnsi="Arial"/>
                <w:sz w:val="18"/>
                <w:szCs w:val="18"/>
                <w:i w:val="1"/>
                <w:iCs w:val="1"/>
                <w:color w:val="auto"/>
              </w:rPr>
              <w:t>No change</w:t>
            </w:r>
          </w:p>
        </w:tc>
        <w:tc>
          <w:tcPr>
            <w:tcW w:w="1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 +3.5% to +5.5%</w:t>
            </w:r>
          </w:p>
        </w:tc>
      </w:tr>
      <w:tr>
        <w:trPr>
          <w:trHeight w:val="230"/>
        </w:trPr>
        <w:tc>
          <w:tcPr>
            <w:tcW w:w="6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operating margin</w:t>
            </w:r>
            <w:r>
              <w:rPr>
                <w:rFonts w:ascii="Arial" w:cs="Arial" w:eastAsia="Arial" w:hAnsi="Arial"/>
                <w:sz w:val="23"/>
                <w:szCs w:val="23"/>
                <w:color w:val="auto"/>
                <w:vertAlign w:val="superscript"/>
              </w:rPr>
              <w:t>4</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12.5% to 14.5%</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11.0% to 13.0%</w:t>
            </w:r>
          </w:p>
        </w:tc>
      </w:tr>
      <w:tr>
        <w:trPr>
          <w:trHeight w:val="307"/>
        </w:trPr>
        <w:tc>
          <w:tcPr>
            <w:tcW w:w="6080" w:type="dxa"/>
            <w:vAlign w:val="bottom"/>
          </w:tcPr>
          <w:p>
            <w:pPr>
              <w:ind w:left="20"/>
              <w:spacing w:after="0"/>
              <w:rPr>
                <w:sz w:val="20"/>
                <w:szCs w:val="20"/>
                <w:color w:val="auto"/>
              </w:rPr>
            </w:pPr>
            <w:r>
              <w:rPr>
                <w:rFonts w:ascii="Arial" w:cs="Arial" w:eastAsia="Arial" w:hAnsi="Arial"/>
                <w:sz w:val="18"/>
                <w:szCs w:val="18"/>
                <w:color w:val="auto"/>
              </w:rPr>
              <w:t>Adjusted earnings per diluted share</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($/share)</w:t>
            </w:r>
          </w:p>
        </w:tc>
        <w:tc>
          <w:tcPr>
            <w:tcW w:w="2520" w:type="dxa"/>
            <w:vAlign w:val="bottom"/>
          </w:tcPr>
          <w:p>
            <w:pPr>
              <w:jc w:val="center"/>
              <w:spacing w:after="0"/>
              <w:rPr>
                <w:sz w:val="20"/>
                <w:szCs w:val="20"/>
                <w:color w:val="auto"/>
              </w:rPr>
            </w:pPr>
            <w:r>
              <w:rPr>
                <w:rFonts w:ascii="Arial" w:cs="Arial" w:eastAsia="Arial" w:hAnsi="Arial"/>
                <w:sz w:val="18"/>
                <w:szCs w:val="18"/>
                <w:color w:val="auto"/>
              </w:rPr>
              <w:t>~ $1.45 to $1.65</w:t>
            </w:r>
          </w:p>
        </w:tc>
        <w:tc>
          <w:tcPr>
            <w:tcW w:w="1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 $1.20 to $1.40</w:t>
            </w: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spacing w:after="0"/>
              <w:rPr>
                <w:sz w:val="20"/>
                <w:szCs w:val="20"/>
                <w:color w:val="auto"/>
              </w:rPr>
            </w:pPr>
          </w:p>
        </w:tc>
        <w:tc>
          <w:tcPr>
            <w:tcW w:w="514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b w:val="1"/>
                <w:bCs w:val="1"/>
                <w:color w:val="auto"/>
              </w:rPr>
              <w:t>Estimated Full Year 2023</w:t>
            </w:r>
          </w:p>
        </w:tc>
      </w:tr>
      <w:tr>
        <w:trPr>
          <w:trHeight w:val="223"/>
        </w:trPr>
        <w:tc>
          <w:tcPr>
            <w:tcW w:w="608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Current Guidance</w:t>
            </w:r>
          </w:p>
        </w:tc>
        <w:tc>
          <w:tcPr>
            <w:tcW w:w="10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Previous Guidance</w:t>
            </w:r>
          </w:p>
        </w:tc>
      </w:tr>
      <w:tr>
        <w:trPr>
          <w:trHeight w:val="237"/>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seat miles (vs. 2022)</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rPr>
              <w:t>No change</w:t>
            </w:r>
          </w:p>
        </w:tc>
        <w:tc>
          <w:tcPr>
            <w:tcW w:w="100" w:type="dxa"/>
            <w:vAlign w:val="bottom"/>
            <w:shd w:val="clear" w:color="auto" w:fill="CCEEFF"/>
          </w:tcPr>
          <w:p>
            <w:pPr>
              <w:spacing w:after="0"/>
              <w:rPr>
                <w:sz w:val="20"/>
                <w:szCs w:val="20"/>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+5.0% to +8.0%</w:t>
            </w:r>
          </w:p>
        </w:tc>
      </w:tr>
      <w:tr>
        <w:trPr>
          <w:trHeight w:val="230"/>
        </w:trPr>
        <w:tc>
          <w:tcPr>
            <w:tcW w:w="6080" w:type="dxa"/>
            <w:vAlign w:val="bottom"/>
          </w:tcPr>
          <w:p>
            <w:pPr>
              <w:ind w:left="20"/>
              <w:spacing w:after="0" w:line="230" w:lineRule="exact"/>
              <w:rPr>
                <w:sz w:val="20"/>
                <w:szCs w:val="20"/>
                <w:color w:val="auto"/>
              </w:rPr>
            </w:pPr>
            <w:r>
              <w:rPr>
                <w:rFonts w:ascii="Arial" w:cs="Arial" w:eastAsia="Arial" w:hAnsi="Arial"/>
                <w:sz w:val="18"/>
                <w:szCs w:val="18"/>
                <w:color w:val="auto"/>
              </w:rPr>
              <w:t>CASM-ex</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(vs. 2022)</w:t>
            </w:r>
          </w:p>
        </w:tc>
        <w:tc>
          <w:tcPr>
            <w:tcW w:w="2520" w:type="dxa"/>
            <w:vAlign w:val="bottom"/>
          </w:tcPr>
          <w:p>
            <w:pPr>
              <w:jc w:val="center"/>
              <w:spacing w:after="0"/>
              <w:rPr>
                <w:sz w:val="20"/>
                <w:szCs w:val="20"/>
                <w:color w:val="auto"/>
              </w:rPr>
            </w:pPr>
            <w:r>
              <w:rPr>
                <w:rFonts w:ascii="Arial" w:cs="Arial" w:eastAsia="Arial" w:hAnsi="Arial"/>
                <w:sz w:val="18"/>
                <w:szCs w:val="18"/>
                <w:i w:val="1"/>
                <w:iCs w:val="1"/>
                <w:color w:val="auto"/>
              </w:rPr>
              <w:t>No change</w:t>
            </w:r>
          </w:p>
        </w:tc>
        <w:tc>
          <w:tcPr>
            <w:tcW w:w="10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 +2.0% to +5.0%</w:t>
            </w:r>
          </w:p>
        </w:tc>
      </w:tr>
      <w:tr>
        <w:trPr>
          <w:trHeight w:val="229"/>
        </w:trPr>
        <w:tc>
          <w:tcPr>
            <w:tcW w:w="6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earnings per diluted share</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($/share)</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rPr>
              <w:t>No change</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$2.50 to $3.50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88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revenue per available seat mile.</w:t>
      </w:r>
    </w:p>
    <w:p>
      <w:pPr>
        <w:spacing w:after="0" w:line="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Updated based on the forward fuel curve as of May 26, 2023.</w:t>
      </w:r>
    </w:p>
    <w:p>
      <w:pPr>
        <w:spacing w:after="0" w:line="1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CASM-ex is cost per available seat mile (CASM) excluding fuel and net special items and is a non-GAAP measure.</w:t>
      </w:r>
    </w:p>
    <w:p>
      <w:pPr>
        <w:spacing w:after="0" w:line="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Adjusted operating margin excludes net special items and is a non-GAAP measure.</w:t>
      </w:r>
    </w:p>
    <w:p>
      <w:pPr>
        <w:spacing w:after="0" w:line="50" w:lineRule="exact"/>
        <w:rPr>
          <w:sz w:val="20"/>
          <w:szCs w:val="20"/>
          <w:color w:val="auto"/>
        </w:rPr>
      </w:pPr>
    </w:p>
    <w:p>
      <w:pPr>
        <w:jc w:val="both"/>
        <w:ind w:left="340" w:hanging="332"/>
        <w:spacing w:after="0" w:line="239" w:lineRule="auto"/>
        <w:tabs>
          <w:tab w:leader="none" w:pos="34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Adjusted earnings per diluted share excludes net special items and is a non-GAAP measure. Adjusted earnings per diluted share incorporates an interest expense addback for the 6.5% convertible notes of $12 million for 2Q 2023 and $44 million for full year 2023, in each case net of estimated profit sharing, short-term incentive and tax effects. Adjusted earnings per diluted share calculation assumes a diluted share count of 721.3 million for 2Q 2023 and 722.3 million for full year 2023. Shares outstanding are based upon several estimates and assumptions, including average per share stock price and stock award activity. The number of shares in actual calculations of earnings per share will likely differ from those set forth above.</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components of the guidance provided exclude fuel and net special items. The updated guidance provided herein is presented to provide comparability with prior guidance. The Company is unable to fully reconcile such forward-looking guidance to the corresponding GAAP measure because the full nature and amount of net special items cannot be determined at this time.</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Non-GAAP Financial Information and Financial Guidance</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sometimes uses financial measures that are derived from the condensed consolidated financial statements or otherwise provided in the form of guidance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Management uses these non-GAAP financial measures to evaluate the Company's current operating performance and to allow for period-to-period comparisons. As net special items may vary from period-to-period in nature and amount, the adjustment to exclude net special items allows management an additional tool to understand the Company’s core operating performance. Additionally, management uses CASM excluding net special items and fuel, adjusted operating margin and adjusted earnings per diluted share, among others, to evaluate the Company's current operating performance and for period-to-period comparisons. The price of fuel, over which the Company has no control, impacts the comparability of period-to-period financial performance. The adjustment to exclude fuel and net special items allows management an additional tool to understand and analyze the Company’s non-fuel costs and core operating performance. The Company does not provide a reconciliation of forward-looking measures where the Company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document includes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10-Q for the quarter ended March 31, 2023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5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03" w:lineRule="exact"/>
        <w:rPr>
          <w:sz w:val="20"/>
          <w:szCs w:val="20"/>
          <w:color w:val="auto"/>
        </w:rPr>
      </w:pPr>
    </w:p>
    <w:p>
      <w:pPr>
        <w:ind w:left="20"/>
        <w:spacing w:after="0"/>
        <w:tabs>
          <w:tab w:leader="none" w:pos="6260" w:val="left"/>
          <w:tab w:leader="none" w:pos="6860" w:val="left"/>
        </w:tabs>
        <w:rPr>
          <w:sz w:val="20"/>
          <w:szCs w:val="20"/>
          <w:color w:val="auto"/>
        </w:rPr>
      </w:pPr>
      <w:r>
        <w:rPr>
          <w:rFonts w:ascii="Arial" w:cs="Arial" w:eastAsia="Arial" w:hAnsi="Arial"/>
          <w:sz w:val="18"/>
          <w:szCs w:val="18"/>
          <w:color w:val="auto"/>
        </w:rPr>
        <w:t>Date: May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13970</wp:posOffset>
            </wp:positionV>
            <wp:extent cx="2777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Devon E. May</w:t>
      </w:r>
    </w:p>
    <w:p>
      <w:pPr>
        <w:spacing w:after="0" w:line="5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w:t>
      </w:r>
    </w:p>
    <w:p>
      <w:pPr>
        <w:spacing w:after="0" w:line="2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4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3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16" w:lineRule="exact"/>
        <w:rPr>
          <w:sz w:val="20"/>
          <w:szCs w:val="20"/>
          <w:color w:val="auto"/>
        </w:rPr>
      </w:pPr>
    </w:p>
    <w:p>
      <w:pPr>
        <w:ind w:left="20"/>
        <w:spacing w:after="0"/>
        <w:tabs>
          <w:tab w:leader="none" w:pos="6260" w:val="left"/>
          <w:tab w:leader="none" w:pos="6860" w:val="left"/>
        </w:tabs>
        <w:rPr>
          <w:sz w:val="20"/>
          <w:szCs w:val="20"/>
          <w:color w:val="auto"/>
        </w:rPr>
      </w:pPr>
      <w:r>
        <w:rPr>
          <w:rFonts w:ascii="Arial" w:cs="Arial" w:eastAsia="Arial" w:hAnsi="Arial"/>
          <w:sz w:val="18"/>
          <w:szCs w:val="18"/>
          <w:color w:val="auto"/>
        </w:rPr>
        <w:t>Date: May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13970</wp:posOffset>
            </wp:positionV>
            <wp:extent cx="2777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w:t>
      </w:r>
    </w:p>
    <w:p>
      <w:pPr>
        <w:spacing w:after="0" w:line="2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80"/>
      </w:cols>
      <w:pgMar w:left="320" w:top="88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682"/>
    </w:lvl>
  </w:abstractNum>
  <w:abstractNum w:abstractNumId="1">
    <w:nsid w:val="3D1B58BA"/>
    <w:multiLevelType w:val="hybridMultilevel"/>
    <w:lvl w:ilvl="0">
      <w:lvlJc w:val="left"/>
      <w:lvlText w:val="(%1)"/>
      <w:numFmt w:val="decimal"/>
      <w:start w:val="68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2023-05-31T06:32:56Z</dcterms:created>
  <dcterms:modified xsi:type="dcterms:W3CDTF">2023-05-31T06:32:56Z</dcterms:modified>
</cp:coreProperties>
</file>