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594995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560705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October 11, 2022</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GROUP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INC.</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6"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Delaware</w:t>
            </w:r>
          </w:p>
        </w:tc>
        <w:tc>
          <w:tcPr>
            <w:tcW w:w="1140" w:type="dxa"/>
            <w:vAlign w:val="bottom"/>
          </w:tcPr>
          <w:p>
            <w:pPr>
              <w:spacing w:after="0"/>
              <w:rPr>
                <w:sz w:val="19"/>
                <w:szCs w:val="19"/>
                <w:color w:val="auto"/>
              </w:rPr>
            </w:pPr>
          </w:p>
        </w:tc>
        <w:tc>
          <w:tcPr>
            <w:tcW w:w="1600" w:type="dxa"/>
            <w:vAlign w:val="bottom"/>
          </w:tcPr>
          <w:p>
            <w:pPr>
              <w:jc w:val="center"/>
              <w:ind w:right="430"/>
              <w:spacing w:after="0"/>
              <w:rPr>
                <w:sz w:val="20"/>
                <w:szCs w:val="20"/>
                <w:color w:val="auto"/>
              </w:rPr>
            </w:pPr>
            <w:r>
              <w:rPr>
                <w:rFonts w:ascii="Arial" w:cs="Arial" w:eastAsia="Arial" w:hAnsi="Arial"/>
                <w:sz w:val="18"/>
                <w:szCs w:val="18"/>
                <w:b w:val="1"/>
                <w:bCs w:val="1"/>
                <w:color w:val="auto"/>
                <w:w w:val="99"/>
              </w:rPr>
              <w:t>1-8400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80" w:type="dxa"/>
            <w:vAlign w:val="bottom"/>
          </w:tcPr>
          <w:p>
            <w:pPr>
              <w:jc w:val="center"/>
              <w:ind w:left="136"/>
              <w:spacing w:after="0"/>
              <w:rPr>
                <w:sz w:val="20"/>
                <w:szCs w:val="20"/>
                <w:color w:val="auto"/>
              </w:rPr>
            </w:pPr>
            <w:r>
              <w:rPr>
                <w:rFonts w:ascii="Arial" w:cs="Arial" w:eastAsia="Arial" w:hAnsi="Arial"/>
                <w:sz w:val="18"/>
                <w:szCs w:val="18"/>
                <w:b w:val="1"/>
                <w:bCs w:val="1"/>
                <w:color w:val="auto"/>
                <w:w w:val="99"/>
              </w:rPr>
              <w:t>75-1825172</w:t>
            </w:r>
          </w:p>
        </w:tc>
        <w:tc>
          <w:tcPr>
            <w:tcW w:w="220" w:type="dxa"/>
            <w:vAlign w:val="bottom"/>
          </w:tcPr>
          <w:p>
            <w:pPr>
              <w:spacing w:after="0"/>
              <w:rPr>
                <w:sz w:val="19"/>
                <w:szCs w:val="19"/>
                <w:color w:val="auto"/>
              </w:rPr>
            </w:pPr>
          </w:p>
        </w:tc>
      </w:tr>
      <w:tr>
        <w:trPr>
          <w:trHeight w:val="235"/>
        </w:trPr>
        <w:tc>
          <w:tcPr>
            <w:tcW w:w="2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jc w:val="center"/>
              <w:ind w:right="156"/>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99"/>
              </w:rPr>
              <w:t>1-2691</w:t>
            </w: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Borders>
              <w:bottom w:val="single" w:sz="8" w:color="auto"/>
            </w:tcBorders>
          </w:tcPr>
          <w:p>
            <w:pPr>
              <w:jc w:val="center"/>
              <w:ind w:left="136"/>
              <w:spacing w:after="0"/>
              <w:rPr>
                <w:sz w:val="20"/>
                <w:szCs w:val="20"/>
                <w:color w:val="auto"/>
              </w:rPr>
            </w:pPr>
            <w:r>
              <w:rPr>
                <w:rFonts w:ascii="Arial" w:cs="Arial" w:eastAsia="Arial" w:hAnsi="Arial"/>
                <w:sz w:val="18"/>
                <w:szCs w:val="18"/>
                <w:b w:val="1"/>
                <w:bCs w:val="1"/>
                <w:color w:val="auto"/>
                <w:w w:val="99"/>
              </w:rPr>
              <w:t>13-1502798</w:t>
            </w:r>
          </w:p>
        </w:tc>
        <w:tc>
          <w:tcPr>
            <w:tcW w:w="220" w:type="dxa"/>
            <w:vAlign w:val="bottom"/>
            <w:tcBorders>
              <w:bottom w:val="single" w:sz="8" w:color="auto"/>
            </w:tcBorders>
          </w:tcPr>
          <w:p>
            <w:pPr>
              <w:spacing w:after="0"/>
              <w:rPr>
                <w:sz w:val="20"/>
                <w:szCs w:val="20"/>
                <w:color w:val="auto"/>
              </w:rPr>
            </w:pPr>
          </w:p>
        </w:tc>
      </w:tr>
      <w:tr>
        <w:trPr>
          <w:trHeight w:val="194"/>
        </w:trPr>
        <w:tc>
          <w:tcPr>
            <w:tcW w:w="240" w:type="dxa"/>
            <w:vAlign w:val="bottom"/>
          </w:tcPr>
          <w:p>
            <w:pPr>
              <w:spacing w:after="0"/>
              <w:rPr>
                <w:sz w:val="16"/>
                <w:szCs w:val="16"/>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(State or other Jurisdiction of Incorporation)</w:t>
            </w:r>
          </w:p>
        </w:tc>
        <w:tc>
          <w:tcPr>
            <w:tcW w:w="35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(Commission File Number)</w:t>
            </w:r>
          </w:p>
        </w:tc>
        <w:tc>
          <w:tcPr>
            <w:tcW w:w="3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(IRS Employer Identification No.)</w:t>
            </w:r>
          </w:p>
        </w:tc>
      </w:tr>
      <w:tr>
        <w:trPr>
          <w:trHeight w:val="699"/>
        </w:trPr>
        <w:tc>
          <w:tcPr>
            <w:tcW w:w="240" w:type="dxa"/>
            <w:vAlign w:val="bottom"/>
          </w:tcPr>
          <w:p>
            <w:pPr>
              <w:spacing w:after="0"/>
              <w:rPr>
                <w:sz w:val="24"/>
                <w:szCs w:val="24"/>
                <w:color w:val="auto"/>
              </w:rPr>
            </w:pPr>
          </w:p>
        </w:tc>
        <w:tc>
          <w:tcPr>
            <w:tcW w:w="3800" w:type="dxa"/>
            <w:vAlign w:val="bottom"/>
            <w:gridSpan w:val="2"/>
          </w:tcPr>
          <w:p>
            <w:pPr>
              <w:ind w:left="2280"/>
              <w:spacing w:after="0"/>
              <w:rPr>
                <w:sz w:val="20"/>
                <w:szCs w:val="20"/>
                <w:color w:val="auto"/>
              </w:rPr>
            </w:pPr>
            <w:r>
              <w:rPr>
                <w:rFonts w:ascii="Arial" w:cs="Arial" w:eastAsia="Arial" w:hAnsi="Arial"/>
                <w:sz w:val="18"/>
                <w:szCs w:val="18"/>
                <w:b w:val="1"/>
                <w:bCs w:val="1"/>
                <w:color w:val="auto"/>
              </w:rPr>
              <w:t>1 Skyview Drive,</w:t>
            </w:r>
          </w:p>
        </w:tc>
        <w:tc>
          <w:tcPr>
            <w:tcW w:w="1140" w:type="dxa"/>
            <w:vAlign w:val="bottom"/>
          </w:tcPr>
          <w:p>
            <w:pPr>
              <w:ind w:left="80"/>
              <w:spacing w:after="0"/>
              <w:rPr>
                <w:sz w:val="20"/>
                <w:szCs w:val="20"/>
                <w:color w:val="auto"/>
              </w:rPr>
            </w:pPr>
            <w:r>
              <w:rPr>
                <w:rFonts w:ascii="Arial" w:cs="Arial" w:eastAsia="Arial" w:hAnsi="Arial"/>
                <w:sz w:val="18"/>
                <w:szCs w:val="18"/>
                <w:b w:val="1"/>
                <w:bCs w:val="1"/>
                <w:color w:val="auto"/>
              </w:rPr>
              <w:t>Fort Worth,</w:t>
            </w:r>
          </w:p>
        </w:tc>
        <w:tc>
          <w:tcPr>
            <w:tcW w:w="2420" w:type="dxa"/>
            <w:vAlign w:val="bottom"/>
            <w:gridSpan w:val="4"/>
          </w:tcPr>
          <w:p>
            <w:pPr>
              <w:ind w:left="100"/>
              <w:spacing w:after="0"/>
              <w:rPr>
                <w:sz w:val="20"/>
                <w:szCs w:val="20"/>
                <w:color w:val="auto"/>
              </w:rPr>
            </w:pPr>
            <w:r>
              <w:rPr>
                <w:rFonts w:ascii="Arial" w:cs="Arial" w:eastAsia="Arial" w:hAnsi="Arial"/>
                <w:sz w:val="18"/>
                <w:szCs w:val="18"/>
                <w:b w:val="1"/>
                <w:bCs w:val="1"/>
                <w:color w:val="auto"/>
              </w:rPr>
              <w:t>Texas</w:t>
            </w:r>
          </w:p>
        </w:tc>
        <w:tc>
          <w:tcPr>
            <w:tcW w:w="3380" w:type="dxa"/>
            <w:vAlign w:val="bottom"/>
          </w:tcPr>
          <w:p>
            <w:pPr>
              <w:jc w:val="center"/>
              <w:ind w:right="356"/>
              <w:spacing w:after="0"/>
              <w:rPr>
                <w:sz w:val="20"/>
                <w:szCs w:val="20"/>
                <w:color w:val="auto"/>
              </w:rPr>
            </w:pPr>
            <w:r>
              <w:rPr>
                <w:rFonts w:ascii="Arial" w:cs="Arial" w:eastAsia="Arial" w:hAnsi="Arial"/>
                <w:sz w:val="18"/>
                <w:szCs w:val="18"/>
                <w:b w:val="1"/>
                <w:bCs w:val="1"/>
                <w:color w:val="auto"/>
                <w:w w:val="99"/>
              </w:rPr>
              <w:t>76155</w:t>
            </w:r>
          </w:p>
        </w:tc>
        <w:tc>
          <w:tcPr>
            <w:tcW w:w="220" w:type="dxa"/>
            <w:vAlign w:val="bottom"/>
          </w:tcPr>
          <w:p>
            <w:pPr>
              <w:spacing w:after="0"/>
              <w:rPr>
                <w:sz w:val="24"/>
                <w:szCs w:val="24"/>
                <w:color w:val="auto"/>
              </w:rPr>
            </w:pPr>
          </w:p>
        </w:tc>
      </w:tr>
      <w:tr>
        <w:trPr>
          <w:trHeight w:val="235"/>
        </w:trPr>
        <w:tc>
          <w:tcPr>
            <w:tcW w:w="240" w:type="dxa"/>
            <w:vAlign w:val="bottom"/>
          </w:tcPr>
          <w:p>
            <w:pPr>
              <w:spacing w:after="0"/>
              <w:rPr>
                <w:sz w:val="20"/>
                <w:szCs w:val="20"/>
                <w:color w:val="auto"/>
              </w:rPr>
            </w:pPr>
          </w:p>
        </w:tc>
        <w:tc>
          <w:tcPr>
            <w:tcW w:w="3800" w:type="dxa"/>
            <w:vAlign w:val="bottom"/>
            <w:tcBorders>
              <w:bottom w:val="single" w:sz="8" w:color="auto"/>
            </w:tcBorders>
            <w:gridSpan w:val="2"/>
          </w:tcPr>
          <w:p>
            <w:pPr>
              <w:ind w:left="2280"/>
              <w:spacing w:after="0"/>
              <w:rPr>
                <w:sz w:val="20"/>
                <w:szCs w:val="20"/>
                <w:color w:val="auto"/>
              </w:rPr>
            </w:pPr>
            <w:r>
              <w:rPr>
                <w:rFonts w:ascii="Arial" w:cs="Arial" w:eastAsia="Arial" w:hAnsi="Arial"/>
                <w:sz w:val="18"/>
                <w:szCs w:val="18"/>
                <w:b w:val="1"/>
                <w:bCs w:val="1"/>
                <w:color w:val="auto"/>
              </w:rPr>
              <w:t>1 Skyview Drive,</w:t>
            </w: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Fort Worth,</w:t>
            </w:r>
          </w:p>
        </w:tc>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Texas</w:t>
            </w:r>
          </w:p>
        </w:tc>
        <w:tc>
          <w:tcPr>
            <w:tcW w:w="400" w:type="dxa"/>
            <w:vAlign w:val="bottom"/>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3380" w:type="dxa"/>
            <w:vAlign w:val="bottom"/>
            <w:tcBorders>
              <w:bottom w:val="single" w:sz="8" w:color="auto"/>
            </w:tcBorders>
          </w:tcPr>
          <w:p>
            <w:pPr>
              <w:jc w:val="center"/>
              <w:ind w:right="356"/>
              <w:spacing w:after="0"/>
              <w:rPr>
                <w:sz w:val="20"/>
                <w:szCs w:val="20"/>
                <w:color w:val="auto"/>
              </w:rPr>
            </w:pPr>
            <w:r>
              <w:rPr>
                <w:rFonts w:ascii="Arial" w:cs="Arial" w:eastAsia="Arial" w:hAnsi="Arial"/>
                <w:sz w:val="18"/>
                <w:szCs w:val="18"/>
                <w:b w:val="1"/>
                <w:bCs w:val="1"/>
                <w:color w:val="auto"/>
                <w:w w:val="99"/>
              </w:rPr>
              <w:t>76155</w:t>
            </w:r>
          </w:p>
        </w:tc>
        <w:tc>
          <w:tcPr>
            <w:tcW w:w="220" w:type="dxa"/>
            <w:vAlign w:val="bottom"/>
          </w:tcPr>
          <w:p>
            <w:pPr>
              <w:spacing w:after="0"/>
              <w:rPr>
                <w:sz w:val="20"/>
                <w:szCs w:val="20"/>
                <w:color w:val="auto"/>
              </w:rPr>
            </w:pPr>
          </w:p>
        </w:tc>
      </w:tr>
      <w:tr>
        <w:trPr>
          <w:trHeight w:val="194"/>
        </w:trPr>
        <w:tc>
          <w:tcPr>
            <w:tcW w:w="240" w:type="dxa"/>
            <w:vAlign w:val="bottom"/>
          </w:tcPr>
          <w:p>
            <w:pPr>
              <w:spacing w:after="0"/>
              <w:rPr>
                <w:sz w:val="16"/>
                <w:szCs w:val="16"/>
                <w:color w:val="auto"/>
              </w:rPr>
            </w:pPr>
          </w:p>
        </w:tc>
        <w:tc>
          <w:tcPr>
            <w:tcW w:w="4940" w:type="dxa"/>
            <w:vAlign w:val="bottom"/>
            <w:gridSpan w:val="3"/>
          </w:tcPr>
          <w:p>
            <w:pPr>
              <w:ind w:left="1920"/>
              <w:spacing w:after="0"/>
              <w:rPr>
                <w:sz w:val="20"/>
                <w:szCs w:val="20"/>
                <w:color w:val="auto"/>
              </w:rPr>
            </w:pPr>
            <w:r>
              <w:rPr>
                <w:rFonts w:ascii="Arial" w:cs="Arial" w:eastAsia="Arial" w:hAnsi="Arial"/>
                <w:sz w:val="14"/>
                <w:szCs w:val="14"/>
                <w:b w:val="1"/>
                <w:bCs w:val="1"/>
                <w:color w:val="auto"/>
              </w:rPr>
              <w:t>(Address of principal executive offices)</w:t>
            </w:r>
          </w:p>
        </w:tc>
        <w:tc>
          <w:tcPr>
            <w:tcW w:w="1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(Zip Code)</w:t>
            </w:r>
          </w:p>
        </w:tc>
      </w:tr>
    </w:tbl>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ind w:left="5480" w:hanging="471"/>
        <w:spacing w:after="0"/>
        <w:tabs>
          <w:tab w:leader="none" w:pos="54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278-9000</w:t>
      </w:r>
    </w:p>
    <w:p>
      <w:pPr>
        <w:spacing w:after="0" w:line="9" w:lineRule="exact"/>
        <w:rPr>
          <w:rFonts w:ascii="Arial" w:cs="Arial" w:eastAsia="Arial" w:hAnsi="Arial"/>
          <w:sz w:val="18"/>
          <w:szCs w:val="18"/>
          <w:b w:val="1"/>
          <w:bCs w:val="1"/>
          <w:color w:val="auto"/>
        </w:rPr>
      </w:pPr>
    </w:p>
    <w:p>
      <w:pPr>
        <w:ind w:left="5480" w:hanging="471"/>
        <w:spacing w:after="0"/>
        <w:tabs>
          <w:tab w:leader="none" w:pos="5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278-9000</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17780</wp:posOffset>
            </wp:positionV>
            <wp:extent cx="5854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4700" cy="8255"/>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31" w:lineRule="exact"/>
        <w:rPr>
          <w:sz w:val="24"/>
          <w:szCs w:val="24"/>
          <w:color w:val="auto"/>
        </w:rPr>
      </w:pPr>
    </w:p>
    <w:p>
      <w:pPr>
        <w:ind w:right="380"/>
        <w:spacing w:after="0" w:line="28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77" w:lineRule="exact"/>
        <w:rPr>
          <w:sz w:val="24"/>
          <w:szCs w:val="24"/>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Written communications pursuant to Rule 425 under the Securities Act (17 CFR 230.425)</w:t>
      </w:r>
    </w:p>
    <w:p>
      <w:pPr>
        <w:spacing w:after="0" w:line="50"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Soliciting material pursuant to Rule 14a-12 under the Exchange Act (17 CFR 240.14a-12)</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14d-2(b) under the Exchange Act (17 CFR 240.14d-2(b))</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13e-4(c) under the Exchange Act (17 CFR 240.13e-4(c))</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1"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vMerge w:val="restart"/>
          </w:tcPr>
          <w:p>
            <w:pPr>
              <w:spacing w:after="0"/>
              <w:rPr>
                <w:sz w:val="14"/>
                <w:szCs w:val="14"/>
                <w:color w:val="auto"/>
              </w:rPr>
            </w:pPr>
          </w:p>
        </w:tc>
        <w:tc>
          <w:tcPr>
            <w:tcW w:w="3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Trading</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37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spacing w:after="0"/>
              <w:rPr>
                <w:sz w:val="16"/>
                <w:szCs w:val="16"/>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142"/>
        </w:trPr>
        <w:tc>
          <w:tcPr>
            <w:tcW w:w="40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Common Stock, $0.01 par value per share</w:t>
            </w:r>
          </w:p>
        </w:tc>
        <w:tc>
          <w:tcPr>
            <w:tcW w:w="35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AAL</w:t>
            </w:r>
          </w:p>
        </w:tc>
        <w:tc>
          <w:tcPr>
            <w:tcW w:w="3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The Nasdaq Global Select Market</w:t>
            </w:r>
          </w:p>
        </w:tc>
        <w:tc>
          <w:tcPr>
            <w:tcW w:w="0" w:type="dxa"/>
            <w:vAlign w:val="bottom"/>
          </w:tcPr>
          <w:p>
            <w:pPr>
              <w:spacing w:after="0"/>
              <w:rPr>
                <w:sz w:val="1"/>
                <w:szCs w:val="1"/>
                <w:color w:val="auto"/>
              </w:rPr>
            </w:pPr>
          </w:p>
        </w:tc>
      </w:tr>
      <w:tr>
        <w:trPr>
          <w:trHeight w:val="160"/>
        </w:trPr>
        <w:tc>
          <w:tcPr>
            <w:tcW w:w="4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Preferred Stock Purchase Rights</w:t>
            </w:r>
          </w:p>
        </w:tc>
        <w:tc>
          <w:tcPr>
            <w:tcW w:w="35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w:t>
            </w: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95"/>
        </w:trPr>
        <w:tc>
          <w:tcPr>
            <w:tcW w:w="4000" w:type="dxa"/>
            <w:vAlign w:val="bottom"/>
            <w:gridSpan w:val="2"/>
            <w:vMerge w:val="continue"/>
          </w:tcPr>
          <w:p>
            <w:pPr>
              <w:spacing w:after="0"/>
              <w:rPr>
                <w:sz w:val="8"/>
                <w:szCs w:val="8"/>
                <w:color w:val="auto"/>
              </w:rPr>
            </w:pPr>
          </w:p>
        </w:tc>
        <w:tc>
          <w:tcPr>
            <w:tcW w:w="3560" w:type="dxa"/>
            <w:vAlign w:val="bottom"/>
            <w:gridSpan w:val="2"/>
            <w:vMerge w:val="continue"/>
          </w:tcPr>
          <w:p>
            <w:pPr>
              <w:spacing w:after="0"/>
              <w:rPr>
                <w:sz w:val="8"/>
                <w:szCs w:val="8"/>
                <w:color w:val="auto"/>
              </w:rPr>
            </w:pPr>
          </w:p>
        </w:tc>
        <w:tc>
          <w:tcPr>
            <w:tcW w:w="3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1" w:lineRule="exact"/>
        <w:rPr>
          <w:sz w:val="24"/>
          <w:szCs w:val="24"/>
          <w:color w:val="auto"/>
        </w:rPr>
      </w:pPr>
    </w:p>
    <w:p>
      <w:pPr>
        <w:ind w:left="180" w:hanging="172"/>
        <w:spacing w:after="0"/>
        <w:tabs>
          <w:tab w:leader="none" w:pos="18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Attached to the Common Stock</w:t>
      </w:r>
    </w:p>
    <w:p>
      <w:pPr>
        <w:spacing w:after="0" w:line="70" w:lineRule="exact"/>
        <w:rPr>
          <w:sz w:val="24"/>
          <w:szCs w:val="24"/>
          <w:color w:val="auto"/>
        </w:rPr>
      </w:pPr>
    </w:p>
    <w:p>
      <w:pPr>
        <w:ind w:right="22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44" w:lineRule="exact"/>
        <w:rPr>
          <w:sz w:val="24"/>
          <w:szCs w:val="24"/>
          <w:color w:val="auto"/>
        </w:rPr>
      </w:pPr>
    </w:p>
    <w:p>
      <w:pPr>
        <w:ind w:left="87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83" w:lineRule="exact"/>
        <w:rPr>
          <w:sz w:val="24"/>
          <w:szCs w:val="24"/>
          <w:color w:val="auto"/>
        </w:rPr>
      </w:pPr>
    </w:p>
    <w:p>
      <w:pPr>
        <w:ind w:right="6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740410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101" w:right="359" w:bottom="1440" w:gutter="0" w:footer="0" w:header="0"/>
        </w:sectPr>
      </w:pPr>
    </w:p>
    <w:bookmarkStart w:id="1" w:name="page2"/>
    <w:bookmarkEnd w:id="1"/>
    <w:p>
      <w:pPr>
        <w:ind w:left="20"/>
        <w:spacing w:after="0"/>
        <w:tabs>
          <w:tab w:leader="none" w:pos="15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American Airlines Group Inc. (“AAG”) and American Airlines, Inc., a wholly owned subsidiary of AAG (“AAI” and, together with AAG and its other consolidated subsidiaries, the “Company”), are providing updated financial and operational guidance relating to the third quarter of 2022.</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in Item 2.02, including Exhibit 99.1,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217"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340" w:type="dxa"/>
            <w:vAlign w:val="bottom"/>
          </w:tcPr>
          <w:p>
            <w:pPr>
              <w:ind w:left="400"/>
              <w:spacing w:after="0"/>
              <w:rPr>
                <w:sz w:val="20"/>
                <w:szCs w:val="20"/>
                <w:color w:val="auto"/>
              </w:rPr>
            </w:pPr>
            <w:r>
              <w:rPr>
                <w:rFonts w:ascii="Arial" w:cs="Arial" w:eastAsia="Arial" w:hAnsi="Arial"/>
                <w:sz w:val="18"/>
                <w:szCs w:val="18"/>
                <w:b w:val="1"/>
                <w:bCs w:val="1"/>
                <w:color w:val="auto"/>
              </w:rPr>
              <w:t>(d) Exhibits.</w:t>
            </w:r>
          </w:p>
        </w:tc>
        <w:tc>
          <w:tcPr>
            <w:tcW w:w="33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446"/>
        </w:trPr>
        <w:tc>
          <w:tcPr>
            <w:tcW w:w="2340" w:type="dxa"/>
            <w:vAlign w:val="bottom"/>
          </w:tcPr>
          <w:p>
            <w:pPr>
              <w:ind w:left="360"/>
              <w:spacing w:after="0"/>
              <w:rPr>
                <w:sz w:val="20"/>
                <w:szCs w:val="20"/>
                <w:color w:val="auto"/>
              </w:rPr>
            </w:pPr>
            <w:r>
              <w:rPr>
                <w:rFonts w:ascii="Arial" w:cs="Arial" w:eastAsia="Arial" w:hAnsi="Arial"/>
                <w:sz w:val="18"/>
                <w:szCs w:val="18"/>
                <w:b w:val="1"/>
                <w:bCs w:val="1"/>
                <w:color w:val="auto"/>
              </w:rPr>
              <w:t>Exhibit No.</w:t>
            </w:r>
          </w:p>
        </w:tc>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31"/>
        </w:trPr>
        <w:tc>
          <w:tcPr>
            <w:tcW w:w="2340" w:type="dxa"/>
            <w:vAlign w:val="bottom"/>
          </w:tcPr>
          <w:p>
            <w:pPr>
              <w:ind w:left="360"/>
              <w:spacing w:after="0"/>
              <w:rPr>
                <w:sz w:val="20"/>
                <w:szCs w:val="20"/>
                <w:color w:val="auto"/>
              </w:rPr>
            </w:pPr>
            <w:r>
              <w:rPr>
                <w:rFonts w:ascii="Arial" w:cs="Arial" w:eastAsia="Arial" w:hAnsi="Arial"/>
                <w:sz w:val="18"/>
                <w:szCs w:val="18"/>
                <w:color w:val="auto"/>
              </w:rPr>
              <w:t>99.1</w:t>
            </w:r>
          </w:p>
        </w:tc>
        <w:tc>
          <w:tcPr>
            <w:tcW w:w="8900" w:type="dxa"/>
            <w:vAlign w:val="bottom"/>
            <w:gridSpan w:val="2"/>
          </w:tcPr>
          <w:p>
            <w:pPr>
              <w:spacing w:after="0"/>
              <w:rPr>
                <w:sz w:val="20"/>
                <w:szCs w:val="20"/>
                <w:color w:val="auto"/>
              </w:rPr>
            </w:pPr>
            <w:r>
              <w:rPr>
                <w:rFonts w:ascii="Arial" w:cs="Arial" w:eastAsia="Arial" w:hAnsi="Arial"/>
                <w:sz w:val="18"/>
                <w:szCs w:val="18"/>
                <w:color w:val="0000FF"/>
              </w:rPr>
              <w:t>Investor Update, dated October 11, 2022.</w:t>
            </w:r>
          </w:p>
        </w:tc>
      </w:tr>
      <w:tr>
        <w:trPr>
          <w:trHeight w:val="20"/>
        </w:trPr>
        <w:tc>
          <w:tcPr>
            <w:tcW w:w="234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308"/>
        </w:trPr>
        <w:tc>
          <w:tcPr>
            <w:tcW w:w="2340" w:type="dxa"/>
            <w:vAlign w:val="bottom"/>
          </w:tcPr>
          <w:p>
            <w:pPr>
              <w:ind w:left="360"/>
              <w:spacing w:after="0"/>
              <w:rPr>
                <w:sz w:val="20"/>
                <w:szCs w:val="20"/>
                <w:color w:val="auto"/>
              </w:rPr>
            </w:pPr>
            <w:r>
              <w:rPr>
                <w:rFonts w:ascii="Arial" w:cs="Arial" w:eastAsia="Arial" w:hAnsi="Arial"/>
                <w:sz w:val="18"/>
                <w:szCs w:val="18"/>
                <w:color w:val="auto"/>
              </w:rPr>
              <w:t>104.1</w:t>
            </w:r>
          </w:p>
        </w:tc>
        <w:tc>
          <w:tcPr>
            <w:tcW w:w="89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975"/>
        </w:trPr>
        <w:tc>
          <w:tcPr>
            <w:tcW w:w="23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34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93" w:lineRule="exact"/>
        <w:rPr>
          <w:sz w:val="20"/>
          <w:szCs w:val="20"/>
          <w:color w:val="auto"/>
        </w:rPr>
      </w:pPr>
    </w:p>
    <w:p>
      <w:pPr>
        <w:ind w:left="20"/>
        <w:spacing w:after="0"/>
        <w:tabs>
          <w:tab w:leader="none" w:pos="6260" w:val="left"/>
          <w:tab w:leader="none" w:pos="6840" w:val="left"/>
        </w:tabs>
        <w:rPr>
          <w:sz w:val="20"/>
          <w:szCs w:val="20"/>
          <w:color w:val="auto"/>
        </w:rPr>
      </w:pPr>
      <w:r>
        <w:rPr>
          <w:rFonts w:ascii="Arial" w:cs="Arial" w:eastAsia="Arial" w:hAnsi="Arial"/>
          <w:sz w:val="18"/>
          <w:szCs w:val="18"/>
          <w:color w:val="auto"/>
        </w:rPr>
        <w:t>Date: October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17780</wp:posOffset>
            </wp:positionV>
            <wp:extent cx="2777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Derek J. Kerr</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Chair, Chief Financial Officer and</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American Eagle</w:t>
      </w:r>
    </w:p>
    <w:p>
      <w:pPr>
        <w:spacing w:after="0" w:line="20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American Airlines, Inc. has duly caused this report to be signed on its behalf by the undersigned hereunto duly authorized.</w:t>
      </w:r>
    </w:p>
    <w:p>
      <w:pPr>
        <w:spacing w:after="0" w:line="32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93" w:lineRule="exact"/>
        <w:rPr>
          <w:sz w:val="20"/>
          <w:szCs w:val="20"/>
          <w:color w:val="auto"/>
        </w:rPr>
      </w:pPr>
    </w:p>
    <w:p>
      <w:pPr>
        <w:ind w:left="20"/>
        <w:spacing w:after="0"/>
        <w:tabs>
          <w:tab w:leader="none" w:pos="6260" w:val="left"/>
          <w:tab w:leader="none" w:pos="6840" w:val="left"/>
        </w:tabs>
        <w:rPr>
          <w:sz w:val="20"/>
          <w:szCs w:val="20"/>
          <w:color w:val="auto"/>
        </w:rPr>
      </w:pPr>
      <w:r>
        <w:rPr>
          <w:rFonts w:ascii="Arial" w:cs="Arial" w:eastAsia="Arial" w:hAnsi="Arial"/>
          <w:sz w:val="18"/>
          <w:szCs w:val="18"/>
          <w:color w:val="auto"/>
        </w:rPr>
        <w:t>Date: October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17780</wp:posOffset>
            </wp:positionV>
            <wp:extent cx="28543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Derek J. Kerr</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Chair, Chief Financial Officer and</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American Eagle</w:t>
      </w:r>
    </w:p>
    <w:p>
      <w:pPr>
        <w:sectPr>
          <w:pgSz w:w="11900" w:h="16838" w:orient="portrait"/>
          <w:cols w:equalWidth="0" w:num="1">
            <w:col w:w="11100"/>
          </w:cols>
          <w:pgMar w:left="320" w:top="890" w:right="479" w:bottom="1440" w:gutter="0" w:footer="0" w:header="0"/>
        </w:sectPr>
      </w:pPr>
    </w:p>
    <w:bookmarkStart w:id="3" w:name="page4"/>
    <w:bookmarkEnd w:id="3"/>
    <w:p>
      <w:pPr>
        <w:ind w:left="10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2188210</wp:posOffset>
            </wp:positionH>
            <wp:positionV relativeFrom="page">
              <wp:posOffset>88900</wp:posOffset>
            </wp:positionV>
            <wp:extent cx="3171825"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80060"/>
                    </a:xfrm>
                    <a:prstGeom prst="rect">
                      <a:avLst/>
                    </a:prstGeom>
                    <a:noFill/>
                  </pic:spPr>
                </pic:pic>
              </a:graphicData>
            </a:graphic>
          </wp:anchor>
        </w:drawing>
        <w:t>Exhibit 99.1</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Third Quarter Investor Relations Update</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October 11, 2022</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General Overview</w:t>
      </w:r>
    </w:p>
    <w:p>
      <w:pPr>
        <w:spacing w:after="0" w:line="220" w:lineRule="exact"/>
        <w:rPr>
          <w:sz w:val="20"/>
          <w:szCs w:val="20"/>
          <w:color w:val="auto"/>
        </w:rPr>
      </w:pPr>
    </w:p>
    <w:p>
      <w:pPr>
        <w:ind w:left="240" w:right="240" w:hanging="214"/>
        <w:spacing w:after="0" w:line="18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Capacity</w:t>
      </w:r>
      <w:r>
        <w:rPr>
          <w:rFonts w:ascii="Arial" w:cs="Arial" w:eastAsia="Arial" w:hAnsi="Arial"/>
          <w:sz w:val="18"/>
          <w:szCs w:val="18"/>
          <w:color w:val="auto"/>
        </w:rPr>
        <w:t>: During the third quarter, the Company flew 68.6 billion total available seat miles, down 9.6% versus the third quarter of 2019,</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its prior guidance of down 8% to 10%.</w:t>
      </w:r>
    </w:p>
    <w:p>
      <w:pPr>
        <w:spacing w:after="0" w:line="87" w:lineRule="exact"/>
        <w:rPr>
          <w:rFonts w:ascii="Arial" w:cs="Arial" w:eastAsia="Arial" w:hAnsi="Arial"/>
          <w:sz w:val="29"/>
          <w:szCs w:val="29"/>
          <w:color w:val="auto"/>
          <w:vertAlign w:val="superscript"/>
        </w:rPr>
      </w:pPr>
    </w:p>
    <w:p>
      <w:pPr>
        <w:ind w:left="240" w:right="420" w:hanging="214"/>
        <w:spacing w:after="0" w:line="18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Revenue</w:t>
      </w:r>
      <w:r>
        <w:rPr>
          <w:rFonts w:ascii="Arial" w:cs="Arial" w:eastAsia="Arial" w:hAnsi="Arial"/>
          <w:sz w:val="18"/>
          <w:szCs w:val="18"/>
          <w:color w:val="auto"/>
        </w:rPr>
        <w:t>: The Company expects its third quarter total revenue to be up approximately 13% versus the third quarter of 2019,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higher than the Company's prior guidance of up 10% to 12%.</w:t>
      </w:r>
    </w:p>
    <w:p>
      <w:pPr>
        <w:spacing w:after="0" w:line="87" w:lineRule="exact"/>
        <w:rPr>
          <w:rFonts w:ascii="Arial" w:cs="Arial" w:eastAsia="Arial" w:hAnsi="Arial"/>
          <w:sz w:val="29"/>
          <w:szCs w:val="29"/>
          <w:color w:val="auto"/>
          <w:vertAlign w:val="superscript"/>
        </w:rPr>
      </w:pPr>
    </w:p>
    <w:p>
      <w:pPr>
        <w:ind w:left="240" w:right="140" w:hanging="214"/>
        <w:spacing w:after="0" w:line="18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TRASM</w:t>
      </w:r>
      <w:r>
        <w:rPr>
          <w:rFonts w:ascii="Arial" w:cs="Arial" w:eastAsia="Arial" w:hAnsi="Arial"/>
          <w:sz w:val="18"/>
          <w:szCs w:val="18"/>
          <w:color w:val="auto"/>
        </w:rPr>
        <w:t>: Third quarter total revenue per available seat mile (TRASM) is expected to be up approximately 25% versus the third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2019, higher than the Company’s previous guidance of up 20% to 24%.</w:t>
      </w:r>
    </w:p>
    <w:p>
      <w:pPr>
        <w:spacing w:after="0" w:line="82" w:lineRule="exact"/>
        <w:rPr>
          <w:rFonts w:ascii="Arial" w:cs="Arial" w:eastAsia="Arial" w:hAnsi="Arial"/>
          <w:sz w:val="29"/>
          <w:szCs w:val="29"/>
          <w:color w:val="auto"/>
          <w:vertAlign w:val="superscript"/>
        </w:rPr>
      </w:pPr>
    </w:p>
    <w:p>
      <w:pPr>
        <w:ind w:left="240" w:right="60" w:hanging="214"/>
        <w:spacing w:after="0" w:line="191"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CASM</w:t>
      </w:r>
      <w:r>
        <w:rPr>
          <w:rFonts w:ascii="Arial" w:cs="Arial" w:eastAsia="Arial" w:hAnsi="Arial"/>
          <w:sz w:val="23"/>
          <w:szCs w:val="23"/>
          <w:b w:val="1"/>
          <w:bCs w:val="1"/>
          <w:color w:val="auto"/>
          <w:vertAlign w:val="superscript"/>
        </w:rPr>
        <w:t>1</w:t>
      </w:r>
      <w:r>
        <w:rPr>
          <w:rFonts w:ascii="Arial" w:cs="Arial" w:eastAsia="Arial" w:hAnsi="Arial"/>
          <w:sz w:val="18"/>
          <w:szCs w:val="18"/>
          <w:color w:val="auto"/>
        </w:rPr>
        <w:t>: The Company expects its third quarter CASM to be up approximately 14% versus 2019, compared to its previous guidance of up</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12% and 14%.</w:t>
      </w:r>
    </w:p>
    <w:p>
      <w:pPr>
        <w:spacing w:after="0" w:line="73" w:lineRule="exact"/>
        <w:rPr>
          <w:rFonts w:ascii="Arial" w:cs="Arial" w:eastAsia="Arial" w:hAnsi="Arial"/>
          <w:sz w:val="29"/>
          <w:szCs w:val="29"/>
          <w:color w:val="auto"/>
          <w:vertAlign w:val="superscript"/>
        </w:rPr>
      </w:pPr>
    </w:p>
    <w:p>
      <w:pPr>
        <w:ind w:left="240" w:right="180" w:hanging="214"/>
        <w:spacing w:after="0" w:line="18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Fuel</w:t>
      </w:r>
      <w:r>
        <w:rPr>
          <w:rFonts w:ascii="Arial" w:cs="Arial" w:eastAsia="Arial" w:hAnsi="Arial"/>
          <w:sz w:val="18"/>
          <w:szCs w:val="18"/>
          <w:color w:val="auto"/>
        </w:rPr>
        <w:t>: The Company expects its cost of fuel to be between $3.73 and $3.78 per gallon of jet fuel (including taxes) and to have consumed</w:t>
      </w:r>
      <w:r>
        <w:rPr>
          <w:rFonts w:ascii="Arial" w:cs="Arial" w:eastAsia="Arial" w:hAnsi="Arial"/>
          <w:sz w:val="18"/>
          <w:szCs w:val="18"/>
          <w:b w:val="1"/>
          <w:bCs w:val="1"/>
          <w:color w:val="auto"/>
        </w:rPr>
        <w:t xml:space="preserve"> </w:t>
      </w:r>
      <w:r>
        <w:rPr>
          <w:rFonts w:ascii="Arial" w:cs="Arial" w:eastAsia="Arial" w:hAnsi="Arial"/>
          <w:sz w:val="18"/>
          <w:szCs w:val="18"/>
          <w:color w:val="auto"/>
        </w:rPr>
        <w:t>1,031 million gallons during the third quarter of 2022.</w:t>
      </w:r>
    </w:p>
    <w:p>
      <w:pPr>
        <w:spacing w:after="0" w:line="87" w:lineRule="exact"/>
        <w:rPr>
          <w:rFonts w:ascii="Arial" w:cs="Arial" w:eastAsia="Arial" w:hAnsi="Arial"/>
          <w:sz w:val="29"/>
          <w:szCs w:val="29"/>
          <w:color w:val="auto"/>
          <w:vertAlign w:val="superscript"/>
        </w:rPr>
      </w:pPr>
    </w:p>
    <w:p>
      <w:pPr>
        <w:ind w:left="240" w:right="120" w:hanging="214"/>
        <w:spacing w:after="0" w:line="18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Taxes</w:t>
      </w:r>
      <w:r>
        <w:rPr>
          <w:rFonts w:ascii="Arial" w:cs="Arial" w:eastAsia="Arial" w:hAnsi="Arial"/>
          <w:sz w:val="18"/>
          <w:szCs w:val="18"/>
          <w:color w:val="auto"/>
        </w:rPr>
        <w:t>: The Company expects to recognize a provision for income taxes at an effective tax rate of approximately 25% in the third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will be substantially non-cash. See “Net Special Items” and “GAAP to Non-GAAP Reconciliation” below.</w:t>
      </w:r>
    </w:p>
    <w:p>
      <w:pPr>
        <w:spacing w:after="0" w:line="73" w:lineRule="exact"/>
        <w:rPr>
          <w:rFonts w:ascii="Arial" w:cs="Arial" w:eastAsia="Arial" w:hAnsi="Arial"/>
          <w:sz w:val="29"/>
          <w:szCs w:val="29"/>
          <w:color w:val="auto"/>
          <w:vertAlign w:val="superscript"/>
        </w:rPr>
      </w:pPr>
    </w:p>
    <w:p>
      <w:pPr>
        <w:ind w:left="240" w:right="140" w:hanging="214"/>
        <w:spacing w:after="0" w:line="18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Shares outstanding</w:t>
      </w:r>
      <w:r>
        <w:rPr>
          <w:rFonts w:ascii="Arial" w:cs="Arial" w:eastAsia="Arial" w:hAnsi="Arial"/>
          <w:sz w:val="18"/>
          <w:szCs w:val="18"/>
          <w:color w:val="auto"/>
        </w:rPr>
        <w:t>: For the third quarter, the Company’s basic and diluted weighted average shares outstanding for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were 650.6 million and 716.0 million, respectively.</w:t>
      </w:r>
    </w:p>
    <w:p>
      <w:pPr>
        <w:spacing w:after="0" w:line="73" w:lineRule="exact"/>
        <w:rPr>
          <w:rFonts w:ascii="Arial" w:cs="Arial" w:eastAsia="Arial" w:hAnsi="Arial"/>
          <w:sz w:val="29"/>
          <w:szCs w:val="29"/>
          <w:color w:val="auto"/>
          <w:vertAlign w:val="superscript"/>
        </w:rPr>
      </w:pPr>
    </w:p>
    <w:p>
      <w:pPr>
        <w:ind w:left="240" w:right="200" w:hanging="214"/>
        <w:spacing w:after="0" w:line="18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Net special items</w:t>
      </w:r>
      <w:r>
        <w:rPr>
          <w:rFonts w:ascii="Arial" w:cs="Arial" w:eastAsia="Arial" w:hAnsi="Arial"/>
          <w:sz w:val="18"/>
          <w:szCs w:val="18"/>
          <w:color w:val="auto"/>
        </w:rPr>
        <w:t>: The Company expects to report a net special items credit of approximately $20 million in the third quarter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 of taxes.</w:t>
      </w:r>
    </w:p>
    <w:p>
      <w:pPr>
        <w:spacing w:after="0" w:line="54" w:lineRule="exact"/>
        <w:rPr>
          <w:rFonts w:ascii="Arial" w:cs="Arial" w:eastAsia="Arial" w:hAnsi="Arial"/>
          <w:sz w:val="29"/>
          <w:szCs w:val="29"/>
          <w:color w:val="auto"/>
          <w:vertAlign w:val="superscript"/>
        </w:rPr>
      </w:pPr>
    </w:p>
    <w:p>
      <w:pPr>
        <w:ind w:left="240" w:hanging="214"/>
        <w:spacing w:after="0"/>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Operating margin</w:t>
      </w:r>
      <w:r>
        <w:rPr>
          <w:rFonts w:ascii="Arial" w:cs="Arial" w:eastAsia="Arial" w:hAnsi="Arial"/>
          <w:sz w:val="23"/>
          <w:szCs w:val="23"/>
          <w:b w:val="1"/>
          <w:bCs w:val="1"/>
          <w:color w:val="auto"/>
          <w:vertAlign w:val="superscript"/>
        </w:rPr>
        <w:t>2</w:t>
      </w:r>
      <w:r>
        <w:rPr>
          <w:rFonts w:ascii="Arial" w:cs="Arial" w:eastAsia="Arial" w:hAnsi="Arial"/>
          <w:sz w:val="18"/>
          <w:szCs w:val="18"/>
          <w:color w:val="auto"/>
        </w:rPr>
        <w:t>: The Company expects to report an operating margin of approximately 7% in the third quarter.</w:t>
      </w:r>
    </w:p>
    <w:p>
      <w:pPr>
        <w:spacing w:after="0" w:line="14" w:lineRule="exact"/>
        <w:rPr>
          <w:rFonts w:ascii="Arial" w:cs="Arial" w:eastAsia="Arial" w:hAnsi="Arial"/>
          <w:sz w:val="29"/>
          <w:szCs w:val="29"/>
          <w:color w:val="auto"/>
          <w:vertAlign w:val="superscript"/>
        </w:rPr>
      </w:pPr>
    </w:p>
    <w:p>
      <w:pPr>
        <w:ind w:left="240" w:right="80" w:hanging="214"/>
        <w:spacing w:after="0" w:line="182"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Pre-tax margin</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expects to report a pre-tax margin of approximately 4.5% in the third quarter, higher than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 guidance of 2% to 4%.</w:t>
      </w:r>
    </w:p>
    <w:p>
      <w:pPr>
        <w:ind w:left="240" w:hanging="214"/>
        <w:spacing w:after="0" w:line="22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Liquidity</w:t>
      </w:r>
      <w:r>
        <w:rPr>
          <w:rFonts w:ascii="Arial" w:cs="Arial" w:eastAsia="Arial" w:hAnsi="Arial"/>
          <w:sz w:val="18"/>
          <w:szCs w:val="18"/>
          <w:color w:val="auto"/>
        </w:rPr>
        <w:t>: The Company expects to end the third quarter with approximately $14.3 billion in total available liquidity.</w:t>
      </w:r>
    </w:p>
    <w:p>
      <w:pPr>
        <w:spacing w:after="0" w:line="187"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i w:val="1"/>
          <w:iCs w:val="1"/>
          <w:color w:val="auto"/>
        </w:rPr>
        <w:t>These results and those reflected in the attached reconciliation tables are preliminary and final results for the third quarter may change. These preliminary results are based upon the Company’s current estimates and are subject to completion of the Company’s financial closing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19284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0" w:firstLine="8"/>
        <w:spacing w:after="0" w:line="238" w:lineRule="auto"/>
        <w:tabs>
          <w:tab w:leader="none" w:pos="103"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Total operating cost per available seat mile. All CASM guidance excludes fuel and net special items. CASM excluding fuel and net special items is a non-GAAP measure presented to provide comparability with prior guidance. For a reconciliation of CASM excluding fuel and net special items to the most comparable GAAP measure, please see the GAAP to non-GAAP reconciliation at the end of this document.</w:t>
      </w:r>
    </w:p>
    <w:p>
      <w:pPr>
        <w:spacing w:after="0" w:line="98" w:lineRule="exact"/>
        <w:rPr>
          <w:sz w:val="20"/>
          <w:szCs w:val="20"/>
          <w:color w:val="auto"/>
        </w:rPr>
      </w:pPr>
    </w:p>
    <w:p>
      <w:pPr>
        <w:ind w:firstLine="8"/>
        <w:spacing w:after="0" w:line="233" w:lineRule="auto"/>
        <w:tabs>
          <w:tab w:leader="none" w:pos="103"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Operating margin and pre-tax margin exclude net special items and are non-GAAP measures presented to provide period-to-period comparisons. All operating margin and pre-tax margin guidance exclude net special items. For a reconciliation of operating margin and pre-tax margin to the most comparable GAAP measure, please see the GAAP to non-GAAP reconciliation at the end of this document.</w:t>
      </w:r>
    </w:p>
    <w:p>
      <w:pPr>
        <w:sectPr>
          <w:pgSz w:w="11900" w:h="16838" w:orient="portrait"/>
          <w:cols w:equalWidth="0" w:num="1">
            <w:col w:w="11220"/>
          </w:cols>
          <w:pgMar w:left="320" w:top="985" w:right="359" w:bottom="1440" w:gutter="0" w:footer="0" w:header="0"/>
        </w:sectPr>
      </w:pPr>
    </w:p>
    <w:bookmarkStart w:id="4" w:name="page5"/>
    <w:bookmarkEnd w:id="4"/>
    <w:p>
      <w:pPr>
        <w:jc w:val="center"/>
        <w:ind w:right="-17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2188210</wp:posOffset>
            </wp:positionH>
            <wp:positionV relativeFrom="page">
              <wp:posOffset>88900</wp:posOffset>
            </wp:positionV>
            <wp:extent cx="3171825"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80060"/>
                    </a:xfrm>
                    <a:prstGeom prst="rect">
                      <a:avLst/>
                    </a:prstGeom>
                    <a:noFill/>
                  </pic:spPr>
                </pic:pic>
              </a:graphicData>
            </a:graphic>
          </wp:anchor>
        </w:drawing>
        <w:t>Third Quarter Investor Relations Update</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October 11, 2022</w:t>
      </w:r>
    </w:p>
    <w:p>
      <w:pPr>
        <w:spacing w:after="0" w:line="4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165735</wp:posOffset>
            </wp:positionV>
            <wp:extent cx="7063740" cy="3943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63740" cy="3943350"/>
                    </a:xfrm>
                    <a:prstGeom prst="rect">
                      <a:avLst/>
                    </a:prstGeom>
                    <a:noFill/>
                  </pic:spPr>
                </pic:pic>
              </a:graphicData>
            </a:graphic>
          </wp:anchor>
        </w:drawing>
      </w:r>
    </w:p>
    <w:p>
      <w:pPr>
        <w:sectPr>
          <w:pgSz w:w="11900" w:h="16838" w:orient="portrait"/>
          <w:cols w:equalWidth="0" w:num="1">
            <w:col w:w="11080"/>
          </w:cols>
          <w:pgMar w:left="320" w:top="1353"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Available seat miles (ASMs) (bil)</w:t>
      </w:r>
    </w:p>
    <w:p>
      <w:pPr>
        <w:spacing w:after="0" w:line="200" w:lineRule="exact"/>
        <w:rPr>
          <w:sz w:val="20"/>
          <w:szCs w:val="20"/>
          <w:color w:val="auto"/>
        </w:rPr>
      </w:pPr>
    </w:p>
    <w:p>
      <w:pPr>
        <w:spacing w:after="0" w:line="25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Total revenue</w:t>
      </w:r>
    </w:p>
    <w:p>
      <w:pPr>
        <w:spacing w:after="0" w:line="200" w:lineRule="exact"/>
        <w:rPr>
          <w:sz w:val="20"/>
          <w:szCs w:val="20"/>
          <w:color w:val="auto"/>
        </w:rPr>
      </w:pPr>
    </w:p>
    <w:p>
      <w:pPr>
        <w:spacing w:after="0" w:line="25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TRASM</w:t>
      </w:r>
    </w:p>
    <w:p>
      <w:pPr>
        <w:spacing w:after="0" w:line="200" w:lineRule="exact"/>
        <w:rPr>
          <w:sz w:val="20"/>
          <w:szCs w:val="20"/>
          <w:color w:val="auto"/>
        </w:rPr>
      </w:pPr>
    </w:p>
    <w:p>
      <w:pPr>
        <w:spacing w:after="0" w:line="25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CASM excluding fuel and net special items</w:t>
      </w:r>
    </w:p>
    <w:p>
      <w:pPr>
        <w:spacing w:after="0" w:line="37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Average fuel price (incl. taxes) ($/gal)</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Fuel gallons consumed (mil)</w:t>
      </w:r>
    </w:p>
    <w:p>
      <w:pPr>
        <w:spacing w:after="0" w:line="28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Other nonoperating expense excluding net special items ($ mil)</w:t>
      </w:r>
    </w:p>
    <w:p>
      <w:pPr>
        <w:spacing w:after="0" w:line="28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Operating margin excluding net special items</w:t>
      </w:r>
    </w:p>
    <w:p>
      <w:pPr>
        <w:spacing w:after="0" w:line="28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Pre-tax margin excluding net special items</w:t>
      </w:r>
    </w:p>
    <w:p>
      <w:pPr>
        <w:spacing w:after="0" w:line="289" w:lineRule="exact"/>
        <w:rPr>
          <w:sz w:val="20"/>
          <w:szCs w:val="20"/>
          <w:color w:val="auto"/>
        </w:rPr>
      </w:pPr>
    </w:p>
    <w:p>
      <w:pPr>
        <w:ind w:left="100" w:right="740"/>
        <w:spacing w:after="0" w:line="251" w:lineRule="auto"/>
        <w:rPr>
          <w:sz w:val="20"/>
          <w:szCs w:val="20"/>
          <w:color w:val="auto"/>
        </w:rPr>
      </w:pPr>
      <w:r>
        <w:rPr>
          <w:rFonts w:ascii="Arial" w:cs="Arial" w:eastAsia="Arial" w:hAnsi="Arial"/>
          <w:sz w:val="16"/>
          <w:szCs w:val="16"/>
          <w:color w:val="auto"/>
        </w:rPr>
        <w:t>Diluted shares outstanding for computing earnings per share excluding net special items (mil)</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3560" w:type="dxa"/>
            <w:vAlign w:val="bottom"/>
            <w:gridSpan w:val="3"/>
          </w:tcPr>
          <w:p>
            <w:pPr>
              <w:ind w:left="1780"/>
              <w:spacing w:after="0"/>
              <w:rPr>
                <w:sz w:val="20"/>
                <w:szCs w:val="20"/>
                <w:color w:val="auto"/>
              </w:rPr>
            </w:pPr>
            <w:r>
              <w:rPr>
                <w:rFonts w:ascii="Arial" w:cs="Arial" w:eastAsia="Arial" w:hAnsi="Arial"/>
                <w:sz w:val="18"/>
                <w:szCs w:val="18"/>
                <w:b w:val="1"/>
                <w:bCs w:val="1"/>
                <w:color w:val="auto"/>
              </w:rPr>
              <w:t>3rd Quarter 2022</w:t>
            </w:r>
            <w:r>
              <w:rPr>
                <w:rFonts w:ascii="Arial" w:cs="Arial" w:eastAsia="Arial" w:hAnsi="Arial"/>
                <w:sz w:val="23"/>
                <w:szCs w:val="23"/>
                <w:b w:val="1"/>
                <w:bCs w:val="1"/>
                <w:color w:val="auto"/>
                <w:vertAlign w:val="superscript"/>
              </w:rPr>
              <w:t>1,2</w:t>
            </w:r>
          </w:p>
        </w:tc>
        <w:tc>
          <w:tcPr>
            <w:tcW w:w="1620" w:type="dxa"/>
            <w:vAlign w:val="bottom"/>
          </w:tcPr>
          <w:p>
            <w:pPr>
              <w:spacing w:after="0"/>
              <w:rPr>
                <w:sz w:val="22"/>
                <w:szCs w:val="22"/>
                <w:color w:val="auto"/>
              </w:rPr>
            </w:pPr>
          </w:p>
        </w:tc>
      </w:tr>
      <w:tr>
        <w:trPr>
          <w:trHeight w:val="181"/>
        </w:trPr>
        <w:tc>
          <w:tcPr>
            <w:tcW w:w="3560" w:type="dxa"/>
            <w:vAlign w:val="bottom"/>
            <w:gridSpan w:val="3"/>
          </w:tcPr>
          <w:p>
            <w:pPr>
              <w:jc w:val="right"/>
              <w:ind w:right="1060"/>
              <w:spacing w:after="0" w:line="181" w:lineRule="exact"/>
              <w:rPr>
                <w:sz w:val="20"/>
                <w:szCs w:val="20"/>
                <w:color w:val="auto"/>
              </w:rPr>
            </w:pPr>
            <w:r>
              <w:rPr>
                <w:rFonts w:ascii="Arial" w:cs="Arial" w:eastAsia="Arial" w:hAnsi="Arial"/>
                <w:sz w:val="18"/>
                <w:szCs w:val="18"/>
                <w:color w:val="auto"/>
              </w:rPr>
              <w:t>Previous Guidance</w:t>
            </w:r>
          </w:p>
        </w:tc>
        <w:tc>
          <w:tcPr>
            <w:tcW w:w="1620" w:type="dxa"/>
            <w:vAlign w:val="bottom"/>
          </w:tcPr>
          <w:p>
            <w:pPr>
              <w:jc w:val="right"/>
              <w:spacing w:after="0" w:line="181" w:lineRule="exact"/>
              <w:rPr>
                <w:sz w:val="20"/>
                <w:szCs w:val="20"/>
                <w:color w:val="auto"/>
              </w:rPr>
            </w:pPr>
            <w:r>
              <w:rPr>
                <w:rFonts w:ascii="Arial" w:cs="Arial" w:eastAsia="Arial" w:hAnsi="Arial"/>
                <w:sz w:val="18"/>
                <w:szCs w:val="18"/>
                <w:color w:val="auto"/>
              </w:rPr>
              <w:t>Current Guidance</w:t>
            </w:r>
          </w:p>
        </w:tc>
      </w:tr>
      <w:tr>
        <w:trPr>
          <w:trHeight w:val="241"/>
        </w:trPr>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7/21/2022</w:t>
            </w: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10/11/2022</w:t>
            </w:r>
          </w:p>
        </w:tc>
      </w:tr>
      <w:tr>
        <w:trPr>
          <w:trHeight w:val="401"/>
        </w:trPr>
        <w:tc>
          <w:tcPr>
            <w:tcW w:w="3560" w:type="dxa"/>
            <w:vAlign w:val="bottom"/>
            <w:gridSpan w:val="3"/>
          </w:tcPr>
          <w:p>
            <w:pPr>
              <w:jc w:val="right"/>
              <w:ind w:right="1060"/>
              <w:spacing w:after="0"/>
              <w:rPr>
                <w:sz w:val="20"/>
                <w:szCs w:val="20"/>
                <w:color w:val="auto"/>
              </w:rPr>
            </w:pPr>
            <w:r>
              <w:rPr>
                <w:rFonts w:ascii="Arial" w:cs="Arial" w:eastAsia="Arial" w:hAnsi="Arial"/>
                <w:sz w:val="16"/>
                <w:szCs w:val="16"/>
                <w:color w:val="auto"/>
              </w:rPr>
              <w:t>~ -8.0% to -10.0% (vs. 3Q19)</w:t>
            </w:r>
          </w:p>
        </w:tc>
        <w:tc>
          <w:tcPr>
            <w:tcW w:w="1620" w:type="dxa"/>
            <w:vAlign w:val="bottom"/>
          </w:tcPr>
          <w:p>
            <w:pPr>
              <w:jc w:val="right"/>
              <w:spacing w:after="0"/>
              <w:rPr>
                <w:sz w:val="20"/>
                <w:szCs w:val="20"/>
                <w:color w:val="auto"/>
              </w:rPr>
            </w:pPr>
            <w:r>
              <w:rPr>
                <w:rFonts w:ascii="Arial" w:cs="Arial" w:eastAsia="Arial" w:hAnsi="Arial"/>
                <w:sz w:val="16"/>
                <w:szCs w:val="16"/>
                <w:color w:val="auto"/>
              </w:rPr>
              <w:t>~ -9.6% (vs. 3Q19)</w:t>
            </w:r>
          </w:p>
        </w:tc>
      </w:tr>
      <w:tr>
        <w:trPr>
          <w:trHeight w:val="215"/>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 68.6 bil ASMs</w:t>
            </w:r>
          </w:p>
        </w:tc>
      </w:tr>
      <w:tr>
        <w:trPr>
          <w:trHeight w:val="420"/>
        </w:trPr>
        <w:tc>
          <w:tcPr>
            <w:tcW w:w="3560" w:type="dxa"/>
            <w:vAlign w:val="bottom"/>
            <w:gridSpan w:val="3"/>
          </w:tcPr>
          <w:p>
            <w:pPr>
              <w:ind w:left="980"/>
              <w:spacing w:after="0"/>
              <w:rPr>
                <w:sz w:val="20"/>
                <w:szCs w:val="20"/>
                <w:color w:val="auto"/>
              </w:rPr>
            </w:pPr>
            <w:r>
              <w:rPr>
                <w:rFonts w:ascii="Arial" w:cs="Arial" w:eastAsia="Arial" w:hAnsi="Arial"/>
                <w:sz w:val="16"/>
                <w:szCs w:val="16"/>
                <w:color w:val="auto"/>
              </w:rPr>
              <w:t>~ +10.0% to +12.0%</w:t>
            </w:r>
          </w:p>
        </w:tc>
        <w:tc>
          <w:tcPr>
            <w:tcW w:w="1620" w:type="dxa"/>
            <w:vAlign w:val="bottom"/>
          </w:tcPr>
          <w:p>
            <w:pPr>
              <w:jc w:val="right"/>
              <w:spacing w:after="0"/>
              <w:rPr>
                <w:sz w:val="20"/>
                <w:szCs w:val="20"/>
                <w:color w:val="auto"/>
              </w:rPr>
            </w:pPr>
            <w:r>
              <w:rPr>
                <w:rFonts w:ascii="Arial" w:cs="Arial" w:eastAsia="Arial" w:hAnsi="Arial"/>
                <w:sz w:val="16"/>
                <w:szCs w:val="16"/>
                <w:color w:val="auto"/>
              </w:rPr>
              <w:t>~ +13.0%</w:t>
            </w:r>
          </w:p>
        </w:tc>
      </w:tr>
      <w:tr>
        <w:trPr>
          <w:trHeight w:val="215"/>
        </w:trPr>
        <w:tc>
          <w:tcPr>
            <w:tcW w:w="3560" w:type="dxa"/>
            <w:vAlign w:val="bottom"/>
            <w:gridSpan w:val="3"/>
          </w:tcPr>
          <w:p>
            <w:pPr>
              <w:jc w:val="right"/>
              <w:ind w:right="1060"/>
              <w:spacing w:after="0"/>
              <w:rPr>
                <w:sz w:val="20"/>
                <w:szCs w:val="20"/>
                <w:color w:val="auto"/>
              </w:rPr>
            </w:pPr>
            <w:r>
              <w:rPr>
                <w:rFonts w:ascii="Arial" w:cs="Arial" w:eastAsia="Arial" w:hAnsi="Arial"/>
                <w:sz w:val="16"/>
                <w:szCs w:val="16"/>
                <w:color w:val="auto"/>
              </w:rPr>
              <w:t>(vs. 3Q19)</w:t>
            </w:r>
          </w:p>
        </w:tc>
        <w:tc>
          <w:tcPr>
            <w:tcW w:w="1620" w:type="dxa"/>
            <w:vAlign w:val="bottom"/>
          </w:tcPr>
          <w:p>
            <w:pPr>
              <w:jc w:val="right"/>
              <w:spacing w:after="0"/>
              <w:rPr>
                <w:sz w:val="20"/>
                <w:szCs w:val="20"/>
                <w:color w:val="auto"/>
              </w:rPr>
            </w:pPr>
            <w:r>
              <w:rPr>
                <w:rFonts w:ascii="Arial" w:cs="Arial" w:eastAsia="Arial" w:hAnsi="Arial"/>
                <w:sz w:val="16"/>
                <w:szCs w:val="16"/>
                <w:color w:val="auto"/>
              </w:rPr>
              <w:t>(vs. 3Q19)</w:t>
            </w:r>
          </w:p>
        </w:tc>
      </w:tr>
      <w:tr>
        <w:trPr>
          <w:trHeight w:val="420"/>
        </w:trPr>
        <w:tc>
          <w:tcPr>
            <w:tcW w:w="3560" w:type="dxa"/>
            <w:vAlign w:val="bottom"/>
            <w:gridSpan w:val="3"/>
          </w:tcPr>
          <w:p>
            <w:pPr>
              <w:jc w:val="right"/>
              <w:ind w:right="1060"/>
              <w:spacing w:after="0"/>
              <w:rPr>
                <w:sz w:val="20"/>
                <w:szCs w:val="20"/>
                <w:color w:val="auto"/>
              </w:rPr>
            </w:pPr>
            <w:r>
              <w:rPr>
                <w:rFonts w:ascii="Arial" w:cs="Arial" w:eastAsia="Arial" w:hAnsi="Arial"/>
                <w:sz w:val="16"/>
                <w:szCs w:val="16"/>
                <w:color w:val="auto"/>
              </w:rPr>
              <w:t>~ +20.0% to +24.0%</w:t>
            </w:r>
          </w:p>
        </w:tc>
        <w:tc>
          <w:tcPr>
            <w:tcW w:w="1620" w:type="dxa"/>
            <w:vAlign w:val="bottom"/>
          </w:tcPr>
          <w:p>
            <w:pPr>
              <w:jc w:val="right"/>
              <w:spacing w:after="0"/>
              <w:rPr>
                <w:sz w:val="20"/>
                <w:szCs w:val="20"/>
                <w:color w:val="auto"/>
              </w:rPr>
            </w:pPr>
            <w:r>
              <w:rPr>
                <w:rFonts w:ascii="Arial" w:cs="Arial" w:eastAsia="Arial" w:hAnsi="Arial"/>
                <w:sz w:val="16"/>
                <w:szCs w:val="16"/>
                <w:color w:val="auto"/>
              </w:rPr>
              <w:t>~ +25.0%</w:t>
            </w:r>
          </w:p>
        </w:tc>
      </w:tr>
      <w:tr>
        <w:trPr>
          <w:trHeight w:val="215"/>
        </w:trPr>
        <w:tc>
          <w:tcPr>
            <w:tcW w:w="3560" w:type="dxa"/>
            <w:vAlign w:val="bottom"/>
            <w:gridSpan w:val="3"/>
          </w:tcPr>
          <w:p>
            <w:pPr>
              <w:jc w:val="right"/>
              <w:ind w:right="1060"/>
              <w:spacing w:after="0"/>
              <w:rPr>
                <w:sz w:val="20"/>
                <w:szCs w:val="20"/>
                <w:color w:val="auto"/>
              </w:rPr>
            </w:pPr>
            <w:r>
              <w:rPr>
                <w:rFonts w:ascii="Arial" w:cs="Arial" w:eastAsia="Arial" w:hAnsi="Arial"/>
                <w:sz w:val="16"/>
                <w:szCs w:val="16"/>
                <w:color w:val="auto"/>
              </w:rPr>
              <w:t>(vs. 3Q19)</w:t>
            </w:r>
          </w:p>
        </w:tc>
        <w:tc>
          <w:tcPr>
            <w:tcW w:w="1620" w:type="dxa"/>
            <w:vAlign w:val="bottom"/>
          </w:tcPr>
          <w:p>
            <w:pPr>
              <w:jc w:val="right"/>
              <w:spacing w:after="0"/>
              <w:rPr>
                <w:sz w:val="20"/>
                <w:szCs w:val="20"/>
                <w:color w:val="auto"/>
              </w:rPr>
            </w:pPr>
            <w:r>
              <w:rPr>
                <w:rFonts w:ascii="Arial" w:cs="Arial" w:eastAsia="Arial" w:hAnsi="Arial"/>
                <w:sz w:val="16"/>
                <w:szCs w:val="16"/>
                <w:color w:val="auto"/>
              </w:rPr>
              <w:t>(vs. 3Q19)</w:t>
            </w:r>
          </w:p>
        </w:tc>
      </w:tr>
      <w:tr>
        <w:trPr>
          <w:trHeight w:val="420"/>
        </w:trPr>
        <w:tc>
          <w:tcPr>
            <w:tcW w:w="3560" w:type="dxa"/>
            <w:vAlign w:val="bottom"/>
            <w:gridSpan w:val="3"/>
          </w:tcPr>
          <w:p>
            <w:pPr>
              <w:ind w:left="980"/>
              <w:spacing w:after="0"/>
              <w:rPr>
                <w:sz w:val="20"/>
                <w:szCs w:val="20"/>
                <w:color w:val="auto"/>
              </w:rPr>
            </w:pPr>
            <w:r>
              <w:rPr>
                <w:rFonts w:ascii="Arial" w:cs="Arial" w:eastAsia="Arial" w:hAnsi="Arial"/>
                <w:sz w:val="16"/>
                <w:szCs w:val="16"/>
                <w:color w:val="auto"/>
              </w:rPr>
              <w:t>~ +12.0% to +14.0%</w:t>
            </w:r>
          </w:p>
        </w:tc>
        <w:tc>
          <w:tcPr>
            <w:tcW w:w="1620" w:type="dxa"/>
            <w:vAlign w:val="bottom"/>
          </w:tcPr>
          <w:p>
            <w:pPr>
              <w:jc w:val="right"/>
              <w:spacing w:after="0"/>
              <w:rPr>
                <w:sz w:val="20"/>
                <w:szCs w:val="20"/>
                <w:color w:val="auto"/>
              </w:rPr>
            </w:pPr>
            <w:r>
              <w:rPr>
                <w:rFonts w:ascii="Arial" w:cs="Arial" w:eastAsia="Arial" w:hAnsi="Arial"/>
                <w:sz w:val="16"/>
                <w:szCs w:val="16"/>
                <w:color w:val="auto"/>
              </w:rPr>
              <w:t>~ +14.0%</w:t>
            </w:r>
          </w:p>
        </w:tc>
      </w:tr>
      <w:tr>
        <w:trPr>
          <w:trHeight w:val="215"/>
        </w:trPr>
        <w:tc>
          <w:tcPr>
            <w:tcW w:w="3560" w:type="dxa"/>
            <w:vAlign w:val="bottom"/>
            <w:gridSpan w:val="3"/>
          </w:tcPr>
          <w:p>
            <w:pPr>
              <w:jc w:val="right"/>
              <w:ind w:right="1060"/>
              <w:spacing w:after="0"/>
              <w:rPr>
                <w:sz w:val="20"/>
                <w:szCs w:val="20"/>
                <w:color w:val="auto"/>
              </w:rPr>
            </w:pPr>
            <w:r>
              <w:rPr>
                <w:rFonts w:ascii="Arial" w:cs="Arial" w:eastAsia="Arial" w:hAnsi="Arial"/>
                <w:sz w:val="16"/>
                <w:szCs w:val="16"/>
                <w:color w:val="auto"/>
              </w:rPr>
              <w:t>(vs. 3Q19)</w:t>
            </w:r>
          </w:p>
        </w:tc>
        <w:tc>
          <w:tcPr>
            <w:tcW w:w="1620" w:type="dxa"/>
            <w:vAlign w:val="bottom"/>
          </w:tcPr>
          <w:p>
            <w:pPr>
              <w:jc w:val="right"/>
              <w:spacing w:after="0"/>
              <w:rPr>
                <w:sz w:val="20"/>
                <w:szCs w:val="20"/>
                <w:color w:val="auto"/>
              </w:rPr>
            </w:pPr>
            <w:r>
              <w:rPr>
                <w:rFonts w:ascii="Arial" w:cs="Arial" w:eastAsia="Arial" w:hAnsi="Arial"/>
                <w:sz w:val="16"/>
                <w:szCs w:val="16"/>
                <w:color w:val="auto"/>
              </w:rPr>
              <w:t>(vs. 3Q19)</w:t>
            </w:r>
          </w:p>
        </w:tc>
      </w:tr>
      <w:tr>
        <w:trPr>
          <w:trHeight w:val="472"/>
        </w:trPr>
        <w:tc>
          <w:tcPr>
            <w:tcW w:w="3560" w:type="dxa"/>
            <w:vAlign w:val="bottom"/>
            <w:gridSpan w:val="3"/>
          </w:tcPr>
          <w:p>
            <w:pPr>
              <w:jc w:val="right"/>
              <w:ind w:right="1060"/>
              <w:spacing w:after="0"/>
              <w:rPr>
                <w:sz w:val="20"/>
                <w:szCs w:val="20"/>
                <w:color w:val="auto"/>
              </w:rPr>
            </w:pPr>
            <w:r>
              <w:rPr>
                <w:rFonts w:ascii="Arial" w:cs="Arial" w:eastAsia="Arial" w:hAnsi="Arial"/>
                <w:sz w:val="16"/>
                <w:szCs w:val="16"/>
                <w:color w:val="auto"/>
              </w:rPr>
              <w:t>~ $3.73 to $3.78</w:t>
            </w:r>
          </w:p>
        </w:tc>
        <w:tc>
          <w:tcPr>
            <w:tcW w:w="1620" w:type="dxa"/>
            <w:vAlign w:val="bottom"/>
          </w:tcPr>
          <w:p>
            <w:pPr>
              <w:jc w:val="right"/>
              <w:spacing w:after="0"/>
              <w:rPr>
                <w:sz w:val="20"/>
                <w:szCs w:val="20"/>
                <w:color w:val="auto"/>
              </w:rPr>
            </w:pPr>
            <w:r>
              <w:rPr>
                <w:rFonts w:ascii="Arial" w:cs="Arial" w:eastAsia="Arial" w:hAnsi="Arial"/>
                <w:sz w:val="16"/>
                <w:szCs w:val="16"/>
                <w:color w:val="auto"/>
              </w:rPr>
              <w:t>~ $3.73 to $3.78</w:t>
            </w:r>
          </w:p>
        </w:tc>
      </w:tr>
      <w:tr>
        <w:trPr>
          <w:trHeight w:val="216"/>
        </w:trPr>
        <w:tc>
          <w:tcPr>
            <w:tcW w:w="2540" w:type="dxa"/>
            <w:vAlign w:val="bottom"/>
          </w:tcPr>
          <w:p>
            <w:pPr>
              <w:jc w:val="right"/>
              <w:spacing w:after="0"/>
              <w:rPr>
                <w:sz w:val="20"/>
                <w:szCs w:val="20"/>
                <w:color w:val="auto"/>
              </w:rPr>
            </w:pPr>
            <w:r>
              <w:rPr>
                <w:rFonts w:ascii="Arial" w:cs="Arial" w:eastAsia="Arial" w:hAnsi="Arial"/>
                <w:sz w:val="16"/>
                <w:szCs w:val="16"/>
                <w:color w:val="auto"/>
              </w:rPr>
              <w:t>~ 1,040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 1,031</w:t>
            </w:r>
          </w:p>
        </w:tc>
      </w:tr>
      <w:tr>
        <w:trPr>
          <w:trHeight w:val="473"/>
        </w:trPr>
        <w:tc>
          <w:tcPr>
            <w:tcW w:w="2540" w:type="dxa"/>
            <w:vAlign w:val="bottom"/>
          </w:tcPr>
          <w:p>
            <w:pPr>
              <w:jc w:val="right"/>
              <w:spacing w:after="0"/>
              <w:rPr>
                <w:sz w:val="20"/>
                <w:szCs w:val="20"/>
                <w:color w:val="auto"/>
              </w:rPr>
            </w:pPr>
            <w:r>
              <w:rPr>
                <w:rFonts w:ascii="Arial" w:cs="Arial" w:eastAsia="Arial" w:hAnsi="Arial"/>
                <w:sz w:val="16"/>
                <w:szCs w:val="16"/>
                <w:color w:val="auto"/>
              </w:rPr>
              <w:t>~ $350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 $330</w:t>
            </w:r>
          </w:p>
        </w:tc>
      </w:tr>
      <w:tr>
        <w:trPr>
          <w:trHeight w:val="473"/>
        </w:trPr>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 7.0%</w:t>
            </w:r>
          </w:p>
        </w:tc>
      </w:tr>
      <w:tr>
        <w:trPr>
          <w:trHeight w:val="473"/>
        </w:trPr>
        <w:tc>
          <w:tcPr>
            <w:tcW w:w="3560" w:type="dxa"/>
            <w:vAlign w:val="bottom"/>
            <w:gridSpan w:val="3"/>
          </w:tcPr>
          <w:p>
            <w:pPr>
              <w:jc w:val="right"/>
              <w:ind w:right="1060"/>
              <w:spacing w:after="0"/>
              <w:rPr>
                <w:sz w:val="20"/>
                <w:szCs w:val="20"/>
                <w:color w:val="auto"/>
              </w:rPr>
            </w:pPr>
            <w:r>
              <w:rPr>
                <w:rFonts w:ascii="Arial" w:cs="Arial" w:eastAsia="Arial" w:hAnsi="Arial"/>
                <w:sz w:val="16"/>
                <w:szCs w:val="16"/>
                <w:color w:val="auto"/>
              </w:rPr>
              <w:t>2.0% to 4.0%</w:t>
            </w:r>
          </w:p>
        </w:tc>
        <w:tc>
          <w:tcPr>
            <w:tcW w:w="1620" w:type="dxa"/>
            <w:vAlign w:val="bottom"/>
          </w:tcPr>
          <w:p>
            <w:pPr>
              <w:jc w:val="right"/>
              <w:spacing w:after="0"/>
              <w:rPr>
                <w:sz w:val="20"/>
                <w:szCs w:val="20"/>
                <w:color w:val="auto"/>
              </w:rPr>
            </w:pPr>
            <w:r>
              <w:rPr>
                <w:rFonts w:ascii="Arial" w:cs="Arial" w:eastAsia="Arial" w:hAnsi="Arial"/>
                <w:sz w:val="16"/>
                <w:szCs w:val="16"/>
                <w:color w:val="auto"/>
              </w:rPr>
              <w:t>~ 4.5%</w:t>
            </w:r>
          </w:p>
        </w:tc>
      </w:tr>
      <w:tr>
        <w:trPr>
          <w:trHeight w:val="635"/>
        </w:trPr>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716.0</w:t>
            </w:r>
          </w:p>
        </w:tc>
      </w:tr>
    </w:tbl>
    <w:p>
      <w:pPr>
        <w:spacing w:after="0" w:line="208" w:lineRule="exact"/>
        <w:rPr>
          <w:sz w:val="20"/>
          <w:szCs w:val="20"/>
          <w:color w:val="auto"/>
        </w:rPr>
      </w:pPr>
    </w:p>
    <w:p>
      <w:pPr>
        <w:sectPr>
          <w:pgSz w:w="11900" w:h="16838" w:orient="portrait"/>
          <w:cols w:equalWidth="0" w:num="2">
            <w:col w:w="5180" w:space="720"/>
            <w:col w:w="5180"/>
          </w:cols>
          <w:pgMar w:left="320" w:top="1353"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50" w:lineRule="exact"/>
        <w:rPr>
          <w:sz w:val="20"/>
          <w:szCs w:val="20"/>
          <w:color w:val="auto"/>
        </w:rPr>
      </w:pPr>
    </w:p>
    <w:p>
      <w:pPr>
        <w:ind w:left="440" w:right="240" w:hanging="414"/>
        <w:spacing w:after="0" w:line="239" w:lineRule="auto"/>
        <w:tabs>
          <w:tab w:leader="none" w:pos="4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guidance on certain non-GAAP measures, which exclude, among other things, net special items. Please see the GAAP to non-GAAP reconciliation at the end of this document.</w:t>
      </w:r>
    </w:p>
    <w:p>
      <w:pPr>
        <w:spacing w:after="0" w:line="6" w:lineRule="exact"/>
        <w:rPr>
          <w:rFonts w:ascii="Arial" w:cs="Arial" w:eastAsia="Arial" w:hAnsi="Arial"/>
          <w:sz w:val="18"/>
          <w:szCs w:val="18"/>
          <w:i w:val="1"/>
          <w:iCs w:val="1"/>
          <w:color w:val="auto"/>
        </w:rPr>
      </w:pPr>
    </w:p>
    <w:p>
      <w:pPr>
        <w:ind w:left="440" w:hanging="414"/>
        <w:spacing w:after="0"/>
        <w:tabs>
          <w:tab w:leader="none" w:pos="4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Numbers may not recalculate due to rounding.</w:t>
      </w:r>
    </w:p>
    <w:p>
      <w:pPr>
        <w:sectPr>
          <w:pgSz w:w="11900" w:h="16838" w:orient="portrait"/>
          <w:cols w:equalWidth="0" w:num="1">
            <w:col w:w="11080"/>
          </w:cols>
          <w:pgMar w:left="320" w:top="1353" w:right="49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2188210</wp:posOffset>
            </wp:positionH>
            <wp:positionV relativeFrom="page">
              <wp:posOffset>88900</wp:posOffset>
            </wp:positionV>
            <wp:extent cx="317182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80060"/>
                    </a:xfrm>
                    <a:prstGeom prst="rect">
                      <a:avLst/>
                    </a:prstGeom>
                    <a:noFill/>
                  </pic:spPr>
                </pic:pic>
              </a:graphicData>
            </a:graphic>
          </wp:anchor>
        </w:drawing>
        <w:t>GAAP to Non-GAAP Reconciliation</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October 11, 2022</w:t>
      </w:r>
    </w:p>
    <w:p>
      <w:pPr>
        <w:spacing w:after="0" w:line="271"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The Company sometimes uses financial measures that are derived from the condensed consolidated financial statements but that are not presented in accordance with GAAP to understand and evaluate its current operating performance and to allow for period-to-period comparisons. The Company believes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The Company is providing a reconciliation of reported non-GAAP financial measures to their comparable financial measures on a GAAP basis.</w:t>
      </w:r>
    </w:p>
    <w:p>
      <w:pPr>
        <w:spacing w:after="0" w:line="320" w:lineRule="exact"/>
        <w:rPr>
          <w:sz w:val="20"/>
          <w:szCs w:val="20"/>
          <w:color w:val="auto"/>
        </w:rPr>
      </w:pPr>
    </w:p>
    <w:p>
      <w:pPr>
        <w:jc w:val="both"/>
        <w:ind w:right="3960"/>
        <w:spacing w:after="0" w:line="258" w:lineRule="auto"/>
        <w:rPr>
          <w:sz w:val="20"/>
          <w:szCs w:val="20"/>
          <w:color w:val="auto"/>
        </w:rPr>
      </w:pPr>
      <w:r>
        <w:rPr>
          <w:rFonts w:ascii="Arial" w:cs="Arial" w:eastAsia="Arial" w:hAnsi="Arial"/>
          <w:sz w:val="15"/>
          <w:szCs w:val="15"/>
          <w:color w:val="auto"/>
        </w:rPr>
        <w:t>The tables below present the reconciliations of the following GAAP measures to their non-GAAP measures: -Operating income (GAAP measure) to operating income excluding net special items (non-GAAP measure) -Operating margin (GAAP measure) to operating margin excluding net special items (non-GAAP measure) -Pretax income (GAAP measure) to pretax income excluding net special items (non-GAAP measure)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-Pretax margin (GAAP measure) to pretax margin excluding net special items (non-GAAP measure)</w:t>
      </w:r>
    </w:p>
    <w:p>
      <w:pPr>
        <w:spacing w:after="0" w:line="165"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Management uses these non-GAAP financial measures to evaluate the Company's current operating performance and to allow for period-to-period comparisons. As net special items may vary from period-to-period in nature and amount, the adjustment to exclude net special items allows management an additional tool to understand the Company’s core operating performance. Additionally, the tables below present the reconciliations of total operating costs (GAAP measure) to total operating costs excluding net special items and fuel (non-GAAP measure) and total operating costs per ASM (CASM) to CASM excluding net special items and fuel. Management uses total operating costs excluding net special items and fuel and CASM excluding net special items and fuel to evaluate the Company's current operating performance and for period-to-period comparisons. The price of fuel, over which the Company has no control, impacts the comparability of period-to-period financial performance. The adjustment to exclude fuel and net special items allows management an additional tool to understand and analyze the Company’s non-fuel costs and core operating performance.</w:t>
      </w:r>
    </w:p>
    <w:p>
      <w:pPr>
        <w:spacing w:after="0" w:line="200" w:lineRule="exact"/>
        <w:rPr>
          <w:sz w:val="20"/>
          <w:szCs w:val="20"/>
          <w:color w:val="auto"/>
        </w:rPr>
      </w:pPr>
    </w:p>
    <w:p>
      <w:pPr>
        <w:spacing w:after="0" w:line="302" w:lineRule="exact"/>
        <w:rPr>
          <w:sz w:val="20"/>
          <w:szCs w:val="20"/>
          <w:color w:val="auto"/>
        </w:rPr>
      </w:pPr>
    </w:p>
    <w:p>
      <w:pPr>
        <w:ind w:left="560" w:right="4220"/>
        <w:spacing w:after="0" w:line="276" w:lineRule="auto"/>
        <w:rPr>
          <w:sz w:val="20"/>
          <w:szCs w:val="20"/>
          <w:color w:val="auto"/>
        </w:rPr>
      </w:pPr>
      <w:r>
        <w:rPr>
          <w:rFonts w:ascii="Arial" w:cs="Arial" w:eastAsia="Arial" w:hAnsi="Arial"/>
          <w:sz w:val="18"/>
          <w:szCs w:val="18"/>
          <w:b w:val="1"/>
          <w:bCs w:val="1"/>
          <w:color w:val="auto"/>
        </w:rPr>
        <w:t>GAAP to Non-GAAP Reconciliation of Operating Income and Pretax Income ($ mil)</w:t>
      </w:r>
    </w:p>
    <w:tbl>
      <w:tblPr>
        <w:tblLayout w:type="fixed"/>
        <w:tblInd w:w="540" w:type="dxa"/>
        <w:tblCellMar>
          <w:top w:w="0" w:type="dxa"/>
          <w:left w:w="0" w:type="dxa"/>
          <w:bottom w:w="0" w:type="dxa"/>
          <w:right w:w="0" w:type="dxa"/>
        </w:tblCellMar>
      </w:tblPr>
      <w:tr>
        <w:trPr>
          <w:trHeight w:val="204"/>
        </w:trPr>
        <w:tc>
          <w:tcPr>
            <w:tcW w:w="83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3Q22 Guidance</w:t>
            </w:r>
          </w:p>
        </w:tc>
      </w:tr>
      <w:tr>
        <w:trPr>
          <w:trHeight w:val="21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13,459</w:t>
            </w:r>
          </w:p>
        </w:tc>
      </w:tr>
      <w:tr>
        <w:trPr>
          <w:trHeight w:val="256"/>
        </w:trPr>
        <w:tc>
          <w:tcPr>
            <w:tcW w:w="8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902</w:t>
            </w:r>
          </w:p>
        </w:tc>
      </w:tr>
      <w:tr>
        <w:trPr>
          <w:trHeight w:val="230"/>
        </w:trPr>
        <w:tc>
          <w:tcPr>
            <w:tcW w:w="8360" w:type="dxa"/>
            <w:vAlign w:val="bottom"/>
          </w:tcPr>
          <w:p>
            <w:pPr>
              <w:ind w:left="760"/>
              <w:spacing w:after="0"/>
              <w:rPr>
                <w:sz w:val="20"/>
                <w:szCs w:val="20"/>
                <w:color w:val="auto"/>
              </w:rPr>
            </w:pPr>
            <w:r>
              <w:rPr>
                <w:rFonts w:ascii="Arial" w:cs="Arial" w:eastAsia="Arial" w:hAnsi="Arial"/>
                <w:sz w:val="18"/>
                <w:szCs w:val="18"/>
                <w:i w:val="1"/>
                <w:iCs w:val="1"/>
                <w:color w:val="auto"/>
              </w:rPr>
              <w:t>Operating margin</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i w:val="1"/>
                <w:iCs w:val="1"/>
                <w:color w:val="auto"/>
              </w:rPr>
              <w:t>6.7 %</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net special charge</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40</w:t>
            </w:r>
          </w:p>
        </w:tc>
      </w:tr>
      <w:tr>
        <w:trPr>
          <w:trHeight w:val="210"/>
        </w:trPr>
        <w:tc>
          <w:tcPr>
            <w:tcW w:w="8360" w:type="dxa"/>
            <w:vAlign w:val="bottom"/>
          </w:tcPr>
          <w:p>
            <w:pPr>
              <w:ind w:left="20"/>
              <w:spacing w:after="0"/>
              <w:rPr>
                <w:sz w:val="20"/>
                <w:szCs w:val="20"/>
                <w:color w:val="auto"/>
              </w:rPr>
            </w:pPr>
            <w:r>
              <w:rPr>
                <w:rFonts w:ascii="Arial" w:cs="Arial" w:eastAsia="Arial" w:hAnsi="Arial"/>
                <w:sz w:val="18"/>
                <w:szCs w:val="18"/>
                <w:color w:val="auto"/>
              </w:rPr>
              <w:t>Operating income excluding net special items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942</w:t>
            </w:r>
          </w:p>
        </w:tc>
      </w:tr>
      <w:tr>
        <w:trPr>
          <w:trHeight w:val="230"/>
        </w:trPr>
        <w:tc>
          <w:tcPr>
            <w:tcW w:w="8360" w:type="dxa"/>
            <w:vAlign w:val="bottom"/>
            <w:shd w:val="clear" w:color="auto" w:fill="CCEEFF"/>
          </w:tcPr>
          <w:p>
            <w:pPr>
              <w:ind w:left="760"/>
              <w:spacing w:after="0"/>
              <w:rPr>
                <w:sz w:val="20"/>
                <w:szCs w:val="20"/>
                <w:color w:val="auto"/>
              </w:rPr>
            </w:pPr>
            <w:r>
              <w:rPr>
                <w:rFonts w:ascii="Arial" w:cs="Arial" w:eastAsia="Arial" w:hAnsi="Arial"/>
                <w:sz w:val="18"/>
                <w:szCs w:val="18"/>
                <w:i w:val="1"/>
                <w:iCs w:val="1"/>
                <w:color w:val="auto"/>
              </w:rPr>
              <w:t>Operating margin excluding net special items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7.0 %</w:t>
            </w:r>
          </w:p>
        </w:tc>
      </w:tr>
      <w:tr>
        <w:trPr>
          <w:trHeight w:val="256"/>
        </w:trPr>
        <w:tc>
          <w:tcPr>
            <w:tcW w:w="8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626</w:t>
            </w:r>
          </w:p>
        </w:tc>
      </w:tr>
      <w:tr>
        <w:trPr>
          <w:trHeight w:val="230"/>
        </w:trPr>
        <w:tc>
          <w:tcPr>
            <w:tcW w:w="8360" w:type="dxa"/>
            <w:vAlign w:val="bottom"/>
          </w:tcPr>
          <w:p>
            <w:pPr>
              <w:ind w:left="760"/>
              <w:spacing w:after="0"/>
              <w:rPr>
                <w:sz w:val="20"/>
                <w:szCs w:val="20"/>
                <w:color w:val="auto"/>
              </w:rPr>
            </w:pPr>
            <w:r>
              <w:rPr>
                <w:rFonts w:ascii="Arial" w:cs="Arial" w:eastAsia="Arial" w:hAnsi="Arial"/>
                <w:sz w:val="18"/>
                <w:szCs w:val="18"/>
                <w:i w:val="1"/>
                <w:iCs w:val="1"/>
                <w:color w:val="auto"/>
              </w:rPr>
              <w:t>Pretax margin</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i w:val="1"/>
                <w:iCs w:val="1"/>
                <w:color w:val="auto"/>
              </w:rPr>
              <w:t>4.6 %</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net special credit</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r>
      <w:tr>
        <w:trPr>
          <w:trHeight w:val="209"/>
        </w:trPr>
        <w:tc>
          <w:tcPr>
            <w:tcW w:w="8360" w:type="dxa"/>
            <w:vAlign w:val="bottom"/>
          </w:tcPr>
          <w:p>
            <w:pPr>
              <w:ind w:left="20"/>
              <w:spacing w:after="0"/>
              <w:rPr>
                <w:sz w:val="20"/>
                <w:szCs w:val="20"/>
                <w:color w:val="auto"/>
              </w:rPr>
            </w:pPr>
            <w:r>
              <w:rPr>
                <w:rFonts w:ascii="Arial" w:cs="Arial" w:eastAsia="Arial" w:hAnsi="Arial"/>
                <w:sz w:val="18"/>
                <w:szCs w:val="18"/>
                <w:color w:val="auto"/>
              </w:rPr>
              <w:t>Pretax income excluding net special items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606</w:t>
            </w:r>
          </w:p>
        </w:tc>
      </w:tr>
      <w:tr>
        <w:trPr>
          <w:trHeight w:val="230"/>
        </w:trPr>
        <w:tc>
          <w:tcPr>
            <w:tcW w:w="8360" w:type="dxa"/>
            <w:vAlign w:val="bottom"/>
            <w:shd w:val="clear" w:color="auto" w:fill="CCEEFF"/>
          </w:tcPr>
          <w:p>
            <w:pPr>
              <w:ind w:left="760"/>
              <w:spacing w:after="0"/>
              <w:rPr>
                <w:sz w:val="20"/>
                <w:szCs w:val="20"/>
                <w:color w:val="auto"/>
              </w:rPr>
            </w:pPr>
            <w:r>
              <w:rPr>
                <w:rFonts w:ascii="Arial" w:cs="Arial" w:eastAsia="Arial" w:hAnsi="Arial"/>
                <w:sz w:val="18"/>
                <w:szCs w:val="18"/>
                <w:i w:val="1"/>
                <w:iCs w:val="1"/>
                <w:color w:val="auto"/>
              </w:rPr>
              <w:t>Pretax margin excluding net special items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4.5 %</w:t>
            </w:r>
          </w:p>
        </w:tc>
      </w:tr>
    </w:tbl>
    <w:p>
      <w:pPr>
        <w:spacing w:after="0" w:line="200" w:lineRule="exact"/>
        <w:rPr>
          <w:sz w:val="20"/>
          <w:szCs w:val="20"/>
          <w:color w:val="auto"/>
        </w:rPr>
      </w:pPr>
    </w:p>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Note: Amounts may not recalculate due to rounding.</w:t>
      </w:r>
    </w:p>
    <w:p>
      <w:pPr>
        <w:sectPr>
          <w:pgSz w:w="11900" w:h="16838" w:orient="portrait"/>
          <w:cols w:equalWidth="0" w:num="1">
            <w:col w:w="11220"/>
          </w:cols>
          <w:pgMar w:left="320" w:top="1353" w:right="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2188210</wp:posOffset>
            </wp:positionH>
            <wp:positionV relativeFrom="page">
              <wp:posOffset>88900</wp:posOffset>
            </wp:positionV>
            <wp:extent cx="3171825" cy="480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80060"/>
                    </a:xfrm>
                    <a:prstGeom prst="rect">
                      <a:avLst/>
                    </a:prstGeom>
                    <a:noFill/>
                  </pic:spPr>
                </pic:pic>
              </a:graphicData>
            </a:graphic>
          </wp:anchor>
        </w:drawing>
        <w:t>GAAP to Non-GAAP Reconciliation</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October 11, 2022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right="4080"/>
        <w:spacing w:after="0" w:line="312" w:lineRule="auto"/>
        <w:rPr>
          <w:sz w:val="20"/>
          <w:szCs w:val="20"/>
          <w:color w:val="auto"/>
        </w:rPr>
      </w:pPr>
      <w:r>
        <w:rPr>
          <w:rFonts w:ascii="Arial" w:cs="Arial" w:eastAsia="Arial" w:hAnsi="Arial"/>
          <w:sz w:val="18"/>
          <w:szCs w:val="18"/>
          <w:b w:val="1"/>
          <w:bCs w:val="1"/>
          <w:color w:val="auto"/>
        </w:rPr>
        <w:t>GAAP to Non-GAAP Reconciliation of Total Operating Costs and CASM ($ mil except ASM and CASM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3Q22 Range</w:t>
            </w:r>
          </w:p>
        </w:tc>
        <w:tc>
          <w:tcPr>
            <w:tcW w:w="940" w:type="dxa"/>
            <w:vAlign w:val="bottom"/>
            <w:tcBorders>
              <w:bottom w:val="single" w:sz="8" w:color="auto"/>
            </w:tcBorders>
          </w:tcPr>
          <w:p>
            <w:pPr>
              <w:spacing w:after="0"/>
              <w:rPr>
                <w:sz w:val="20"/>
                <w:szCs w:val="20"/>
                <w:color w:val="auto"/>
              </w:rPr>
            </w:pPr>
          </w:p>
        </w:tc>
      </w:tr>
      <w:tr>
        <w:trPr>
          <w:trHeight w:val="223"/>
        </w:trPr>
        <w:tc>
          <w:tcPr>
            <w:tcW w:w="7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ind w:left="220"/>
              <w:spacing w:after="0"/>
              <w:rPr>
                <w:sz w:val="20"/>
                <w:szCs w:val="20"/>
                <w:color w:val="auto"/>
              </w:rPr>
            </w:pPr>
            <w:r>
              <w:rPr>
                <w:rFonts w:ascii="Arial" w:cs="Arial" w:eastAsia="Arial" w:hAnsi="Arial"/>
                <w:sz w:val="18"/>
                <w:szCs w:val="18"/>
                <w:b w:val="1"/>
                <w:bCs w:val="1"/>
                <w:color w:val="auto"/>
              </w:rPr>
              <w:t>Low</w:t>
            </w:r>
          </w:p>
        </w:tc>
        <w:tc>
          <w:tcPr>
            <w:tcW w:w="480" w:type="dxa"/>
            <w:vAlign w:val="bottom"/>
          </w:tcPr>
          <w:p>
            <w:pPr>
              <w:spacing w:after="0"/>
              <w:rPr>
                <w:sz w:val="19"/>
                <w:szCs w:val="19"/>
                <w:color w:val="auto"/>
              </w:rPr>
            </w:pPr>
          </w:p>
        </w:tc>
        <w:tc>
          <w:tcPr>
            <w:tcW w:w="940" w:type="dxa"/>
            <w:vAlign w:val="bottom"/>
          </w:tcPr>
          <w:p>
            <w:pPr>
              <w:jc w:val="right"/>
              <w:ind w:right="438"/>
              <w:spacing w:after="0"/>
              <w:rPr>
                <w:sz w:val="20"/>
                <w:szCs w:val="20"/>
                <w:color w:val="auto"/>
              </w:rPr>
            </w:pPr>
            <w:r>
              <w:rPr>
                <w:rFonts w:ascii="Arial" w:cs="Arial" w:eastAsia="Arial" w:hAnsi="Arial"/>
                <w:sz w:val="18"/>
                <w:szCs w:val="18"/>
                <w:b w:val="1"/>
                <w:bCs w:val="1"/>
                <w:color w:val="auto"/>
                <w:w w:val="99"/>
              </w:rPr>
              <w:t>High</w:t>
            </w:r>
          </w:p>
        </w:tc>
      </w:tr>
      <w:tr>
        <w:trPr>
          <w:trHeight w:val="209"/>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12,543</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12,594</w:t>
            </w: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Less fuel expense</w:t>
            </w:r>
          </w:p>
        </w:tc>
        <w:tc>
          <w:tcPr>
            <w:tcW w:w="300" w:type="dxa"/>
            <w:vAlign w:val="bottom"/>
          </w:tcPr>
          <w:p>
            <w:pPr>
              <w:spacing w:after="0"/>
              <w:rPr>
                <w:sz w:val="18"/>
                <w:szCs w:val="18"/>
                <w:color w:val="auto"/>
              </w:rPr>
            </w:pPr>
          </w:p>
        </w:tc>
        <w:tc>
          <w:tcPr>
            <w:tcW w:w="1100" w:type="dxa"/>
            <w:vAlign w:val="bottom"/>
          </w:tcPr>
          <w:p>
            <w:pPr>
              <w:jc w:val="right"/>
              <w:ind w:right="138"/>
              <w:spacing w:after="0"/>
              <w:rPr>
                <w:sz w:val="20"/>
                <w:szCs w:val="20"/>
                <w:color w:val="auto"/>
              </w:rPr>
            </w:pPr>
            <w:r>
              <w:rPr>
                <w:rFonts w:ascii="Arial" w:cs="Arial" w:eastAsia="Arial" w:hAnsi="Arial"/>
                <w:sz w:val="16"/>
                <w:szCs w:val="16"/>
                <w:color w:val="auto"/>
              </w:rPr>
              <w:t>3,846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ind w:right="138"/>
              <w:spacing w:after="0"/>
              <w:rPr>
                <w:sz w:val="20"/>
                <w:szCs w:val="20"/>
                <w:color w:val="auto"/>
              </w:rPr>
            </w:pPr>
            <w:r>
              <w:rPr>
                <w:rFonts w:ascii="Arial" w:cs="Arial" w:eastAsia="Arial" w:hAnsi="Arial"/>
                <w:sz w:val="16"/>
                <w:szCs w:val="16"/>
                <w:color w:val="auto"/>
              </w:rPr>
              <w:t>3,897</w:t>
            </w:r>
          </w:p>
        </w:tc>
      </w:tr>
      <w:tr>
        <w:trPr>
          <w:trHeight w:val="217"/>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operating net special charge</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40</w:t>
            </w:r>
          </w:p>
        </w:tc>
      </w:tr>
      <w:tr>
        <w:trPr>
          <w:trHeight w:val="209"/>
        </w:trPr>
        <w:tc>
          <w:tcPr>
            <w:tcW w:w="7260" w:type="dxa"/>
            <w:vAlign w:val="bottom"/>
          </w:tcPr>
          <w:p>
            <w:pPr>
              <w:ind w:left="20"/>
              <w:spacing w:after="0"/>
              <w:rPr>
                <w:sz w:val="20"/>
                <w:szCs w:val="20"/>
                <w:color w:val="auto"/>
              </w:rPr>
            </w:pPr>
            <w:r>
              <w:rPr>
                <w:rFonts w:ascii="Arial" w:cs="Arial" w:eastAsia="Arial" w:hAnsi="Arial"/>
                <w:sz w:val="16"/>
                <w:szCs w:val="16"/>
                <w:color w:val="auto"/>
              </w:rPr>
              <w:t>Total operating expense excluding fuel and net special items (Non-GAAP)</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38"/>
              <w:spacing w:after="0"/>
              <w:rPr>
                <w:sz w:val="20"/>
                <w:szCs w:val="20"/>
                <w:color w:val="auto"/>
              </w:rPr>
            </w:pPr>
            <w:r>
              <w:rPr>
                <w:rFonts w:ascii="Arial" w:cs="Arial" w:eastAsia="Arial" w:hAnsi="Arial"/>
                <w:sz w:val="16"/>
                <w:szCs w:val="16"/>
                <w:color w:val="auto"/>
              </w:rPr>
              <w:t>8,657</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8"/>
              <w:spacing w:after="0"/>
              <w:rPr>
                <w:sz w:val="20"/>
                <w:szCs w:val="20"/>
                <w:color w:val="auto"/>
              </w:rPr>
            </w:pPr>
            <w:r>
              <w:rPr>
                <w:rFonts w:ascii="Arial" w:cs="Arial" w:eastAsia="Arial" w:hAnsi="Arial"/>
                <w:sz w:val="16"/>
                <w:szCs w:val="16"/>
                <w:color w:val="auto"/>
              </w:rPr>
              <w:t>8,657</w:t>
            </w:r>
          </w:p>
        </w:tc>
      </w:tr>
      <w:tr>
        <w:trPr>
          <w:trHeight w:val="271"/>
        </w:trPr>
        <w:tc>
          <w:tcPr>
            <w:tcW w:w="7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Total CASM (cts)</w:t>
            </w:r>
          </w:p>
        </w:tc>
        <w:tc>
          <w:tcPr>
            <w:tcW w:w="300" w:type="dxa"/>
            <w:vAlign w:val="bottom"/>
          </w:tcPr>
          <w:p>
            <w:pPr>
              <w:spacing w:after="0"/>
              <w:rPr>
                <w:sz w:val="18"/>
                <w:szCs w:val="18"/>
                <w:color w:val="auto"/>
              </w:rPr>
            </w:pPr>
          </w:p>
        </w:tc>
        <w:tc>
          <w:tcPr>
            <w:tcW w:w="1100" w:type="dxa"/>
            <w:vAlign w:val="bottom"/>
          </w:tcPr>
          <w:p>
            <w:pPr>
              <w:jc w:val="right"/>
              <w:ind w:right="138"/>
              <w:spacing w:after="0"/>
              <w:rPr>
                <w:sz w:val="20"/>
                <w:szCs w:val="20"/>
                <w:color w:val="auto"/>
              </w:rPr>
            </w:pPr>
            <w:r>
              <w:rPr>
                <w:rFonts w:ascii="Arial" w:cs="Arial" w:eastAsia="Arial" w:hAnsi="Arial"/>
                <w:sz w:val="16"/>
                <w:szCs w:val="16"/>
                <w:color w:val="auto"/>
              </w:rPr>
              <w:t>18.28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ind w:right="138"/>
              <w:spacing w:after="0"/>
              <w:rPr>
                <w:sz w:val="20"/>
                <w:szCs w:val="20"/>
                <w:color w:val="auto"/>
              </w:rPr>
            </w:pPr>
            <w:r>
              <w:rPr>
                <w:rFonts w:ascii="Arial" w:cs="Arial" w:eastAsia="Arial" w:hAnsi="Arial"/>
                <w:sz w:val="16"/>
                <w:szCs w:val="16"/>
                <w:color w:val="auto"/>
              </w:rPr>
              <w:t>18.36</w:t>
            </w:r>
          </w:p>
        </w:tc>
      </w:tr>
      <w:tr>
        <w:trPr>
          <w:trHeight w:val="271"/>
        </w:trPr>
        <w:tc>
          <w:tcPr>
            <w:tcW w:w="7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Total CASM excluding fuel and net special items (cts) (Non-GAAP)</w:t>
            </w:r>
          </w:p>
        </w:tc>
        <w:tc>
          <w:tcPr>
            <w:tcW w:w="300" w:type="dxa"/>
            <w:vAlign w:val="bottom"/>
          </w:tcPr>
          <w:p>
            <w:pPr>
              <w:spacing w:after="0"/>
              <w:rPr>
                <w:sz w:val="18"/>
                <w:szCs w:val="18"/>
                <w:color w:val="auto"/>
              </w:rPr>
            </w:pPr>
          </w:p>
        </w:tc>
        <w:tc>
          <w:tcPr>
            <w:tcW w:w="1100" w:type="dxa"/>
            <w:vAlign w:val="bottom"/>
          </w:tcPr>
          <w:p>
            <w:pPr>
              <w:jc w:val="right"/>
              <w:ind w:right="138"/>
              <w:spacing w:after="0"/>
              <w:rPr>
                <w:sz w:val="20"/>
                <w:szCs w:val="20"/>
                <w:color w:val="auto"/>
              </w:rPr>
            </w:pPr>
            <w:r>
              <w:rPr>
                <w:rFonts w:ascii="Arial" w:cs="Arial" w:eastAsia="Arial" w:hAnsi="Arial"/>
                <w:sz w:val="16"/>
                <w:szCs w:val="16"/>
                <w:color w:val="auto"/>
              </w:rPr>
              <w:t>12.62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ind w:right="138"/>
              <w:spacing w:after="0"/>
              <w:rPr>
                <w:sz w:val="20"/>
                <w:szCs w:val="20"/>
                <w:color w:val="auto"/>
              </w:rPr>
            </w:pPr>
            <w:r>
              <w:rPr>
                <w:rFonts w:ascii="Arial" w:cs="Arial" w:eastAsia="Arial" w:hAnsi="Arial"/>
                <w:sz w:val="16"/>
                <w:szCs w:val="16"/>
                <w:color w:val="auto"/>
              </w:rPr>
              <w:t>12.62</w:t>
            </w:r>
          </w:p>
        </w:tc>
      </w:tr>
      <w:tr>
        <w:trPr>
          <w:trHeight w:val="217"/>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Percentage change compared to 3Q 2019 (%)</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14.0 %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14.0 %</w:t>
            </w:r>
          </w:p>
        </w:tc>
      </w:tr>
      <w:tr>
        <w:trPr>
          <w:trHeight w:val="270"/>
        </w:trPr>
        <w:tc>
          <w:tcPr>
            <w:tcW w:w="7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16"/>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ASMs (bil)</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68.6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68.6</w:t>
            </w:r>
          </w:p>
        </w:tc>
      </w:tr>
      <w:tr>
        <w:trPr>
          <w:trHeight w:val="270"/>
        </w:trPr>
        <w:tc>
          <w:tcPr>
            <w:tcW w:w="7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16"/>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non-operating expense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Other non-operating expense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38"/>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8"/>
              <w:spacing w:after="0"/>
              <w:rPr>
                <w:sz w:val="20"/>
                <w:szCs w:val="20"/>
                <w:color w:val="auto"/>
              </w:rPr>
            </w:pPr>
            <w:r>
              <w:rPr>
                <w:rFonts w:ascii="Arial" w:cs="Arial" w:eastAsia="Arial" w:hAnsi="Arial"/>
                <w:sz w:val="16"/>
                <w:szCs w:val="16"/>
                <w:color w:val="auto"/>
              </w:rPr>
              <w:t>270</w:t>
            </w:r>
          </w:p>
        </w:tc>
      </w:tr>
      <w:tr>
        <w:trPr>
          <w:trHeight w:val="217"/>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non-operating net special credit</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(60)</w:t>
            </w:r>
          </w:p>
        </w:tc>
      </w:tr>
      <w:tr>
        <w:trPr>
          <w:trHeight w:val="209"/>
        </w:trPr>
        <w:tc>
          <w:tcPr>
            <w:tcW w:w="7260" w:type="dxa"/>
            <w:vAlign w:val="bottom"/>
          </w:tcPr>
          <w:p>
            <w:pPr>
              <w:ind w:left="20"/>
              <w:spacing w:after="0"/>
              <w:rPr>
                <w:sz w:val="20"/>
                <w:szCs w:val="20"/>
                <w:color w:val="auto"/>
              </w:rPr>
            </w:pPr>
            <w:r>
              <w:rPr>
                <w:rFonts w:ascii="Arial" w:cs="Arial" w:eastAsia="Arial" w:hAnsi="Arial"/>
                <w:sz w:val="16"/>
                <w:szCs w:val="16"/>
                <w:color w:val="auto"/>
              </w:rPr>
              <w:t>Other non-operating expense excluding net special items (Non-GAAP)</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38"/>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8"/>
              <w:spacing w:after="0"/>
              <w:rPr>
                <w:sz w:val="20"/>
                <w:szCs w:val="20"/>
                <w:color w:val="auto"/>
              </w:rPr>
            </w:pPr>
            <w:r>
              <w:rPr>
                <w:rFonts w:ascii="Arial" w:cs="Arial" w:eastAsia="Arial" w:hAnsi="Arial"/>
                <w:sz w:val="16"/>
                <w:szCs w:val="16"/>
                <w:color w:val="auto"/>
              </w:rPr>
              <w:t>330</w:t>
            </w:r>
          </w:p>
        </w:tc>
      </w:tr>
      <w:tr>
        <w:trPr>
          <w:trHeight w:val="271"/>
        </w:trPr>
        <w:tc>
          <w:tcPr>
            <w:tcW w:w="7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bl>
    <w:p>
      <w:pPr>
        <w:spacing w:after="0" w:line="16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Note: Amounts may not recalculate due to rounding.</w:t>
      </w:r>
    </w:p>
    <w:p>
      <w:pPr>
        <w:sectPr>
          <w:pgSz w:w="11900" w:h="16838" w:orient="portrait"/>
          <w:cols w:equalWidth="0" w:num="1">
            <w:col w:w="10180"/>
          </w:cols>
          <w:pgMar w:left="860" w:top="1353" w:right="859" w:bottom="1440" w:gutter="0" w:footer="0" w:header="0"/>
        </w:sectPr>
      </w:pPr>
    </w:p>
    <w:bookmarkStart w:id="7" w:name="page8"/>
    <w:bookmarkEnd w:id="7"/>
    <w:p>
      <w:pPr>
        <w:ind w:left="47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2188210</wp:posOffset>
            </wp:positionH>
            <wp:positionV relativeFrom="page">
              <wp:posOffset>88900</wp:posOffset>
            </wp:positionV>
            <wp:extent cx="3171825" cy="480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80060"/>
                    </a:xfrm>
                    <a:prstGeom prst="rect">
                      <a:avLst/>
                    </a:prstGeom>
                    <a:noFill/>
                  </pic:spPr>
                </pic:pic>
              </a:graphicData>
            </a:graphic>
          </wp:anchor>
        </w:drawing>
        <w:t>October 11, 2022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the continuing availability of borrowings under revolving lines of credit,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herein as well as in the Company’s Quarterly Report on Form 10-Q for the quarter ended June 30, 2022 (especially in Part I, Item 2. Management’s Discussion and Analysis of Financial Condition and Results of Operations and Part II, Item 1A. Risk Factors), and other risks and uncertainties listed from time to time in the Company’s other filings with the Securities and Exchange Commission. In particular, the consequences of the coronavirus outbreak to economic conditions and the travel industry in general and the financial position and operating results of the Company in particular have been material, are changing rapidly, and cannot be predicted.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sectPr>
      <w:pgSz w:w="11900" w:h="16838" w:orient="portrait"/>
      <w:cols w:equalWidth="0" w:num="1">
        <w:col w:w="11180"/>
      </w:cols>
      <w:pgMar w:left="320" w:top="13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682"/>
    </w:lvl>
  </w:abstractNum>
  <w:abstractNum w:abstractNumId="1">
    <w:nsid w:val="46E87CCD"/>
    <w:multiLevelType w:val="hybridMultilevel"/>
    <w:lvl w:ilvl="0">
      <w:lvlJc w:val="left"/>
      <w:lvlText w:val="(%1)"/>
      <w:numFmt w:val="decimal"/>
      <w:start w:val="682"/>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2"/>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2022-10-11T06:32:40Z</dcterms:created>
  <dcterms:modified xsi:type="dcterms:W3CDTF">2022-10-11T06:32:40Z</dcterms:modified>
</cp:coreProperties>
</file>