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160655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87"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111760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19"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2018</w:t>
      </w:r>
    </w:p>
    <w:p>
      <w:pPr>
        <w:sectPr>
          <w:pgSz w:w="11900" w:h="16838" w:orient="portrait"/>
          <w:cols w:equalWidth="0" w:num="1">
            <w:col w:w="11420"/>
          </w:cols>
          <w:pgMar w:left="240" w:top="1099" w:right="239" w:bottom="1440" w:gutter="0" w:footer="0" w:header="0"/>
        </w:sectPr>
      </w:pPr>
    </w:p>
    <w:p>
      <w:pPr>
        <w:spacing w:after="0" w:line="140" w:lineRule="exact"/>
        <w:rPr>
          <w:sz w:val="24"/>
          <w:szCs w:val="24"/>
          <w:color w:val="auto"/>
        </w:rPr>
      </w:pPr>
    </w:p>
    <w:p>
      <w:pPr>
        <w:ind w:left="4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96" w:lineRule="exact"/>
        <w:rPr>
          <w:sz w:val="24"/>
          <w:szCs w:val="24"/>
          <w:color w:val="auto"/>
        </w:rPr>
      </w:pPr>
    </w:p>
    <w:p>
      <w:pPr>
        <w:sectPr>
          <w:pgSz w:w="11900" w:h="16838" w:orient="portrait"/>
          <w:cols w:equalWidth="0" w:num="2">
            <w:col w:w="160" w:space="560"/>
            <w:col w:w="10700"/>
          </w:cols>
          <w:pgMar w:left="240" w:top="1099" w:right="239" w:bottom="1440" w:gutter="0" w:footer="0" w:header="0"/>
          <w:type w:val="continuous"/>
        </w:sectPr>
      </w:pPr>
    </w:p>
    <w:p>
      <w:pPr>
        <w:ind w:left="4180"/>
        <w:spacing w:after="0"/>
        <w:rPr>
          <w:sz w:val="20"/>
          <w:szCs w:val="20"/>
          <w:color w:val="auto"/>
        </w:rPr>
      </w:pPr>
      <w:r>
        <w:rPr>
          <w:rFonts w:ascii="Arial" w:cs="Arial" w:eastAsia="Arial" w:hAnsi="Arial"/>
          <w:sz w:val="14"/>
          <w:szCs w:val="14"/>
          <w:b w:val="1"/>
          <w:bCs w:val="1"/>
          <w:color w:val="auto"/>
        </w:rPr>
        <w:t>For the Transition Period From</w:t>
      </w:r>
    </w:p>
    <w:p>
      <w:pPr>
        <w:spacing w:after="0" w:line="55" w:lineRule="exact"/>
        <w:rPr>
          <w:sz w:val="24"/>
          <w:szCs w:val="24"/>
          <w:color w:val="auto"/>
        </w:rPr>
      </w:pPr>
    </w:p>
    <w:p>
      <w:pPr>
        <w:ind w:left="4640"/>
        <w:spacing w:after="0"/>
        <w:rPr>
          <w:sz w:val="20"/>
          <w:szCs w:val="20"/>
          <w:color w:val="auto"/>
        </w:rPr>
      </w:pPr>
      <w:r>
        <w:rPr>
          <w:rFonts w:ascii="Arial" w:cs="Arial" w:eastAsia="Arial" w:hAnsi="Arial"/>
          <w:sz w:val="14"/>
          <w:szCs w:val="14"/>
          <w:b w:val="1"/>
          <w:bCs w:val="1"/>
          <w:color w:val="auto"/>
        </w:rPr>
        <w:t>Commission file number 1-8400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416" w:lineRule="exact"/>
        <w:rPr>
          <w:sz w:val="24"/>
          <w:szCs w:val="24"/>
          <w:color w:val="auto"/>
        </w:rPr>
      </w:pPr>
    </w:p>
    <w:p>
      <w:pPr>
        <w:sectPr>
          <w:pgSz w:w="11900" w:h="16838" w:orient="portrait"/>
          <w:cols w:equalWidth="0" w:num="2">
            <w:col w:w="6800" w:space="320"/>
            <w:col w:w="4300"/>
          </w:cols>
          <w:pgMar w:left="240" w:top="1099" w:right="239" w:bottom="1440" w:gutter="0" w:footer="0" w:header="0"/>
          <w:type w:val="continuous"/>
        </w:sectPr>
      </w:pP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-156210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93345</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980" w:type="dxa"/>
        <w:tblCellMar>
          <w:top w:w="0" w:type="dxa"/>
          <w:left w:w="0" w:type="dxa"/>
          <w:bottom w:w="0" w:type="dxa"/>
          <w:right w:w="0" w:type="dxa"/>
        </w:tblCellMar>
      </w:tblPr>
      <w:tr>
        <w:trPr>
          <w:trHeight w:val="190"/>
        </w:trPr>
        <w:tc>
          <w:tcPr>
            <w:tcW w:w="3500" w:type="dxa"/>
            <w:vAlign w:val="bottom"/>
          </w:tcPr>
          <w:p>
            <w:pPr>
              <w:jc w:val="center"/>
              <w:ind w:right="77"/>
              <w:spacing w:after="0"/>
              <w:rPr>
                <w:sz w:val="20"/>
                <w:szCs w:val="20"/>
                <w:color w:val="auto"/>
              </w:rPr>
            </w:pPr>
            <w:r>
              <w:rPr>
                <w:rFonts w:ascii="Arial" w:cs="Arial" w:eastAsia="Arial" w:hAnsi="Arial"/>
                <w:sz w:val="14"/>
                <w:szCs w:val="14"/>
                <w:b w:val="1"/>
                <w:bCs w:val="1"/>
                <w:color w:val="auto"/>
              </w:rPr>
              <w:t>Delaware</w:t>
            </w:r>
          </w:p>
        </w:tc>
        <w:tc>
          <w:tcPr>
            <w:tcW w:w="5020" w:type="dxa"/>
            <w:vAlign w:val="bottom"/>
          </w:tcPr>
          <w:p>
            <w:pPr>
              <w:jc w:val="right"/>
              <w:ind w:right="815"/>
              <w:spacing w:after="0"/>
              <w:rPr>
                <w:sz w:val="20"/>
                <w:szCs w:val="20"/>
                <w:color w:val="auto"/>
              </w:rPr>
            </w:pPr>
            <w:r>
              <w:rPr>
                <w:rFonts w:ascii="Arial" w:cs="Arial" w:eastAsia="Arial" w:hAnsi="Arial"/>
                <w:sz w:val="14"/>
                <w:szCs w:val="14"/>
                <w:b w:val="1"/>
                <w:bCs w:val="1"/>
                <w:color w:val="auto"/>
              </w:rPr>
              <w:t>75-1825172</w:t>
            </w:r>
          </w:p>
        </w:tc>
      </w:tr>
      <w:tr>
        <w:trPr>
          <w:trHeight w:val="166"/>
        </w:trPr>
        <w:tc>
          <w:tcPr>
            <w:tcW w:w="3500" w:type="dxa"/>
            <w:vAlign w:val="bottom"/>
          </w:tcPr>
          <w:p>
            <w:pPr>
              <w:jc w:val="center"/>
              <w:ind w:right="77"/>
              <w:spacing w:after="0"/>
              <w:rPr>
                <w:sz w:val="20"/>
                <w:szCs w:val="20"/>
                <w:color w:val="auto"/>
              </w:rPr>
            </w:pPr>
            <w:r>
              <w:rPr>
                <w:rFonts w:ascii="Arial" w:cs="Arial" w:eastAsia="Arial" w:hAnsi="Arial"/>
                <w:sz w:val="11"/>
                <w:szCs w:val="11"/>
                <w:color w:val="auto"/>
                <w:w w:val="98"/>
              </w:rPr>
              <w:t>(State or other jurisdiction of incorporation or organization)</w:t>
            </w:r>
          </w:p>
        </w:tc>
        <w:tc>
          <w:tcPr>
            <w:tcW w:w="5020" w:type="dxa"/>
            <w:vAlign w:val="bottom"/>
          </w:tcPr>
          <w:p>
            <w:pPr>
              <w:jc w:val="center"/>
              <w:ind w:left="2415"/>
              <w:spacing w:after="0"/>
              <w:rPr>
                <w:sz w:val="20"/>
                <w:szCs w:val="20"/>
                <w:color w:val="auto"/>
              </w:rPr>
            </w:pPr>
            <w:r>
              <w:rPr>
                <w:rFonts w:ascii="Arial" w:cs="Arial" w:eastAsia="Arial" w:hAnsi="Arial"/>
                <w:sz w:val="11"/>
                <w:szCs w:val="11"/>
                <w:color w:val="auto"/>
                <w:w w:val="98"/>
              </w:rPr>
              <w:t>(I.R.S. Employer Identification No.)</w:t>
            </w:r>
          </w:p>
        </w:tc>
      </w:tr>
      <w:tr>
        <w:trPr>
          <w:trHeight w:val="226"/>
        </w:trPr>
        <w:tc>
          <w:tcPr>
            <w:tcW w:w="3500" w:type="dxa"/>
            <w:vAlign w:val="bottom"/>
          </w:tcPr>
          <w:p>
            <w:pPr>
              <w:jc w:val="center"/>
              <w:ind w:right="77"/>
              <w:spacing w:after="0"/>
              <w:rPr>
                <w:sz w:val="20"/>
                <w:szCs w:val="20"/>
                <w:color w:val="auto"/>
              </w:rPr>
            </w:pPr>
            <w:r>
              <w:rPr>
                <w:rFonts w:ascii="Arial" w:cs="Arial" w:eastAsia="Arial" w:hAnsi="Arial"/>
                <w:sz w:val="14"/>
                <w:szCs w:val="14"/>
                <w:b w:val="1"/>
                <w:bCs w:val="1"/>
                <w:color w:val="auto"/>
              </w:rPr>
              <w:t>4333 Amon Carter Blvd., Fort Worth, Texas 76155</w:t>
            </w:r>
          </w:p>
        </w:tc>
        <w:tc>
          <w:tcPr>
            <w:tcW w:w="5020" w:type="dxa"/>
            <w:vAlign w:val="bottom"/>
          </w:tcPr>
          <w:p>
            <w:pPr>
              <w:jc w:val="right"/>
              <w:ind w:right="715"/>
              <w:spacing w:after="0"/>
              <w:rPr>
                <w:sz w:val="20"/>
                <w:szCs w:val="20"/>
                <w:color w:val="auto"/>
              </w:rPr>
            </w:pPr>
            <w:r>
              <w:rPr>
                <w:rFonts w:ascii="Arial" w:cs="Arial" w:eastAsia="Arial" w:hAnsi="Arial"/>
                <w:sz w:val="14"/>
                <w:szCs w:val="14"/>
                <w:b w:val="1"/>
                <w:bCs w:val="1"/>
                <w:color w:val="auto"/>
              </w:rPr>
              <w:t>(817) 963-1234</w:t>
            </w:r>
          </w:p>
        </w:tc>
      </w:tr>
      <w:tr>
        <w:trPr>
          <w:trHeight w:val="166"/>
        </w:trPr>
        <w:tc>
          <w:tcPr>
            <w:tcW w:w="3500" w:type="dxa"/>
            <w:vAlign w:val="bottom"/>
          </w:tcPr>
          <w:p>
            <w:pPr>
              <w:jc w:val="center"/>
              <w:ind w:right="77"/>
              <w:spacing w:after="0"/>
              <w:rPr>
                <w:sz w:val="20"/>
                <w:szCs w:val="20"/>
                <w:color w:val="auto"/>
              </w:rPr>
            </w:pPr>
            <w:r>
              <w:rPr>
                <w:rFonts w:ascii="Arial" w:cs="Arial" w:eastAsia="Arial" w:hAnsi="Arial"/>
                <w:sz w:val="11"/>
                <w:szCs w:val="11"/>
                <w:color w:val="auto"/>
                <w:w w:val="97"/>
              </w:rPr>
              <w:t>(Address of principal executive offices, including zip code)</w:t>
            </w:r>
          </w:p>
        </w:tc>
        <w:tc>
          <w:tcPr>
            <w:tcW w:w="5020" w:type="dxa"/>
            <w:vAlign w:val="bottom"/>
          </w:tcPr>
          <w:p>
            <w:pPr>
              <w:jc w:val="center"/>
              <w:ind w:left="2415"/>
              <w:spacing w:after="0"/>
              <w:rPr>
                <w:sz w:val="20"/>
                <w:szCs w:val="20"/>
                <w:color w:val="auto"/>
              </w:rPr>
            </w:pPr>
            <w:r>
              <w:rPr>
                <w:rFonts w:ascii="Arial" w:cs="Arial" w:eastAsia="Arial" w:hAnsi="Arial"/>
                <w:sz w:val="11"/>
                <w:szCs w:val="11"/>
                <w:color w:val="auto"/>
                <w:w w:val="98"/>
              </w:rPr>
              <w:t>(Registrant’s telephone number, including area code)</w:t>
            </w:r>
          </w:p>
        </w:tc>
      </w:tr>
      <w:tr>
        <w:trPr>
          <w:trHeight w:val="253"/>
        </w:trPr>
        <w:tc>
          <w:tcPr>
            <w:tcW w:w="350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Arial" w:cs="Arial" w:eastAsia="Arial" w:hAnsi="Arial"/>
                <w:sz w:val="14"/>
                <w:szCs w:val="14"/>
                <w:b w:val="1"/>
                <w:bCs w:val="1"/>
                <w:color w:val="auto"/>
              </w:rPr>
              <w:t>Commission file number 1-2691</w:t>
            </w:r>
          </w:p>
        </w:tc>
      </w:tr>
    </w:tbl>
    <w:p>
      <w:pPr>
        <w:spacing w:after="0" w:line="242" w:lineRule="exact"/>
        <w:rPr>
          <w:sz w:val="24"/>
          <w:szCs w:val="24"/>
          <w:color w:val="auto"/>
        </w:rPr>
      </w:pPr>
    </w:p>
    <w:tbl>
      <w:tblPr>
        <w:tblLayout w:type="fixed"/>
        <w:tblInd w:w="980" w:type="dxa"/>
        <w:tblCellMar>
          <w:top w:w="0" w:type="dxa"/>
          <w:left w:w="0" w:type="dxa"/>
          <w:bottom w:w="0" w:type="dxa"/>
          <w:right w:w="0" w:type="dxa"/>
        </w:tblCellMar>
      </w:tblPr>
      <w:tr>
        <w:trPr>
          <w:trHeight w:val="20"/>
        </w:trPr>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47"/>
        </w:trPr>
        <w:tc>
          <w:tcPr>
            <w:tcW w:w="3440" w:type="dxa"/>
            <w:vAlign w:val="bottom"/>
          </w:tcPr>
          <w:p>
            <w:pPr>
              <w:spacing w:after="0"/>
              <w:rPr>
                <w:sz w:val="21"/>
                <w:szCs w:val="21"/>
                <w:color w:val="auto"/>
              </w:rPr>
            </w:pPr>
          </w:p>
        </w:tc>
        <w:tc>
          <w:tcPr>
            <w:tcW w:w="5080" w:type="dxa"/>
            <w:vAlign w:val="bottom"/>
            <w:gridSpan w:val="3"/>
          </w:tcPr>
          <w:p>
            <w:pPr>
              <w:jc w:val="center"/>
              <w:ind w:right="2446"/>
              <w:spacing w:after="0" w:line="247" w:lineRule="exact"/>
              <w:rPr>
                <w:sz w:val="20"/>
                <w:szCs w:val="20"/>
                <w:color w:val="auto"/>
              </w:rPr>
            </w:pPr>
            <w:r>
              <w:rPr>
                <w:rFonts w:ascii="Arial" w:cs="Arial" w:eastAsia="Arial" w:hAnsi="Arial"/>
                <w:sz w:val="22"/>
                <w:szCs w:val="22"/>
                <w:b w:val="1"/>
                <w:bCs w:val="1"/>
                <w:color w:val="auto"/>
                <w:w w:val="98"/>
              </w:rPr>
              <w:t>American Airlines, Inc.</w:t>
            </w:r>
          </w:p>
        </w:tc>
      </w:tr>
      <w:tr>
        <w:trPr>
          <w:trHeight w:val="130"/>
        </w:trPr>
        <w:tc>
          <w:tcPr>
            <w:tcW w:w="3440" w:type="dxa"/>
            <w:vAlign w:val="bottom"/>
          </w:tcPr>
          <w:p>
            <w:pPr>
              <w:spacing w:after="0"/>
              <w:rPr>
                <w:sz w:val="11"/>
                <w:szCs w:val="11"/>
                <w:color w:val="auto"/>
              </w:rPr>
            </w:pPr>
          </w:p>
        </w:tc>
        <w:tc>
          <w:tcPr>
            <w:tcW w:w="5080" w:type="dxa"/>
            <w:vAlign w:val="bottom"/>
            <w:gridSpan w:val="3"/>
          </w:tcPr>
          <w:p>
            <w:pPr>
              <w:jc w:val="center"/>
              <w:ind w:right="2446"/>
              <w:spacing w:after="0"/>
              <w:rPr>
                <w:sz w:val="20"/>
                <w:szCs w:val="20"/>
                <w:color w:val="auto"/>
              </w:rPr>
            </w:pPr>
            <w:r>
              <w:rPr>
                <w:rFonts w:ascii="Arial" w:cs="Arial" w:eastAsia="Arial" w:hAnsi="Arial"/>
                <w:sz w:val="11"/>
                <w:szCs w:val="11"/>
                <w:color w:val="auto"/>
                <w:w w:val="98"/>
              </w:rPr>
              <w:t>(Exact name of registrant as specified in its charter)</w:t>
            </w:r>
          </w:p>
        </w:tc>
      </w:tr>
      <w:tr>
        <w:trPr>
          <w:trHeight w:val="144"/>
        </w:trPr>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2700" w:type="dxa"/>
            <w:vAlign w:val="bottom"/>
          </w:tcPr>
          <w:p>
            <w:pPr>
              <w:spacing w:after="0"/>
              <w:rPr>
                <w:sz w:val="12"/>
                <w:szCs w:val="12"/>
                <w:color w:val="auto"/>
              </w:rPr>
            </w:pPr>
          </w:p>
        </w:tc>
      </w:tr>
      <w:tr>
        <w:trPr>
          <w:trHeight w:val="589"/>
        </w:trPr>
        <w:tc>
          <w:tcPr>
            <w:tcW w:w="3440" w:type="dxa"/>
            <w:vAlign w:val="bottom"/>
          </w:tcPr>
          <w:p>
            <w:pPr>
              <w:jc w:val="center"/>
              <w:ind w:right="17"/>
              <w:spacing w:after="0"/>
              <w:rPr>
                <w:sz w:val="20"/>
                <w:szCs w:val="20"/>
                <w:color w:val="auto"/>
              </w:rPr>
            </w:pPr>
            <w:r>
              <w:rPr>
                <w:rFonts w:ascii="Arial" w:cs="Arial" w:eastAsia="Arial" w:hAnsi="Arial"/>
                <w:sz w:val="14"/>
                <w:szCs w:val="14"/>
                <w:b w:val="1"/>
                <w:bCs w:val="1"/>
                <w:color w:val="auto"/>
              </w:rPr>
              <w:t>Delaware</w:t>
            </w:r>
          </w:p>
        </w:tc>
        <w:tc>
          <w:tcPr>
            <w:tcW w:w="5080" w:type="dxa"/>
            <w:vAlign w:val="bottom"/>
            <w:gridSpan w:val="3"/>
          </w:tcPr>
          <w:p>
            <w:pPr>
              <w:jc w:val="right"/>
              <w:ind w:right="826"/>
              <w:spacing w:after="0"/>
              <w:rPr>
                <w:sz w:val="20"/>
                <w:szCs w:val="20"/>
                <w:color w:val="auto"/>
              </w:rPr>
            </w:pPr>
            <w:r>
              <w:rPr>
                <w:rFonts w:ascii="Arial" w:cs="Arial" w:eastAsia="Arial" w:hAnsi="Arial"/>
                <w:sz w:val="14"/>
                <w:szCs w:val="14"/>
                <w:b w:val="1"/>
                <w:bCs w:val="1"/>
                <w:color w:val="auto"/>
              </w:rPr>
              <w:t>13-1502798</w:t>
            </w:r>
          </w:p>
        </w:tc>
      </w:tr>
      <w:tr>
        <w:trPr>
          <w:trHeight w:val="166"/>
        </w:trPr>
        <w:tc>
          <w:tcPr>
            <w:tcW w:w="3440" w:type="dxa"/>
            <w:vAlign w:val="bottom"/>
          </w:tcPr>
          <w:p>
            <w:pPr>
              <w:jc w:val="center"/>
              <w:ind w:right="17"/>
              <w:spacing w:after="0"/>
              <w:rPr>
                <w:sz w:val="20"/>
                <w:szCs w:val="20"/>
                <w:color w:val="auto"/>
              </w:rPr>
            </w:pPr>
            <w:r>
              <w:rPr>
                <w:rFonts w:ascii="Arial" w:cs="Arial" w:eastAsia="Arial" w:hAnsi="Arial"/>
                <w:sz w:val="11"/>
                <w:szCs w:val="11"/>
                <w:color w:val="auto"/>
                <w:w w:val="98"/>
              </w:rPr>
              <w:t>(State or other jurisdiction of incorporation or organization)</w:t>
            </w:r>
          </w:p>
        </w:tc>
        <w:tc>
          <w:tcPr>
            <w:tcW w:w="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00" w:type="dxa"/>
            <w:vAlign w:val="bottom"/>
          </w:tcPr>
          <w:p>
            <w:pPr>
              <w:jc w:val="center"/>
              <w:ind w:left="106"/>
              <w:spacing w:after="0"/>
              <w:rPr>
                <w:sz w:val="20"/>
                <w:szCs w:val="20"/>
                <w:color w:val="auto"/>
              </w:rPr>
            </w:pPr>
            <w:r>
              <w:rPr>
                <w:rFonts w:ascii="Arial" w:cs="Arial" w:eastAsia="Arial" w:hAnsi="Arial"/>
                <w:sz w:val="11"/>
                <w:szCs w:val="11"/>
                <w:color w:val="auto"/>
                <w:w w:val="98"/>
              </w:rPr>
              <w:t>(I.R.S. Employer Identification No.)</w:t>
            </w:r>
          </w:p>
        </w:tc>
      </w:tr>
      <w:tr>
        <w:trPr>
          <w:trHeight w:val="226"/>
        </w:trPr>
        <w:tc>
          <w:tcPr>
            <w:tcW w:w="3440" w:type="dxa"/>
            <w:vAlign w:val="bottom"/>
          </w:tcPr>
          <w:p>
            <w:pPr>
              <w:jc w:val="center"/>
              <w:ind w:right="17"/>
              <w:spacing w:after="0"/>
              <w:rPr>
                <w:sz w:val="20"/>
                <w:szCs w:val="20"/>
                <w:color w:val="auto"/>
              </w:rPr>
            </w:pPr>
            <w:r>
              <w:rPr>
                <w:rFonts w:ascii="Arial" w:cs="Arial" w:eastAsia="Arial" w:hAnsi="Arial"/>
                <w:sz w:val="14"/>
                <w:szCs w:val="14"/>
                <w:b w:val="1"/>
                <w:bCs w:val="1"/>
                <w:color w:val="auto"/>
              </w:rPr>
              <w:t>4333 Amon Carter Blvd., Fort Worth, Texas 76155</w:t>
            </w:r>
          </w:p>
        </w:tc>
        <w:tc>
          <w:tcPr>
            <w:tcW w:w="5080" w:type="dxa"/>
            <w:vAlign w:val="bottom"/>
            <w:gridSpan w:val="3"/>
          </w:tcPr>
          <w:p>
            <w:pPr>
              <w:jc w:val="right"/>
              <w:ind w:right="726"/>
              <w:spacing w:after="0"/>
              <w:rPr>
                <w:sz w:val="20"/>
                <w:szCs w:val="20"/>
                <w:color w:val="auto"/>
              </w:rPr>
            </w:pPr>
            <w:r>
              <w:rPr>
                <w:rFonts w:ascii="Arial" w:cs="Arial" w:eastAsia="Arial" w:hAnsi="Arial"/>
                <w:sz w:val="14"/>
                <w:szCs w:val="14"/>
                <w:b w:val="1"/>
                <w:bCs w:val="1"/>
                <w:color w:val="auto"/>
              </w:rPr>
              <w:t>(817) 963-1234</w:t>
            </w:r>
          </w:p>
        </w:tc>
      </w:tr>
      <w:tr>
        <w:trPr>
          <w:trHeight w:val="166"/>
        </w:trPr>
        <w:tc>
          <w:tcPr>
            <w:tcW w:w="3440" w:type="dxa"/>
            <w:vAlign w:val="bottom"/>
          </w:tcPr>
          <w:p>
            <w:pPr>
              <w:jc w:val="center"/>
              <w:ind w:right="17"/>
              <w:spacing w:after="0"/>
              <w:rPr>
                <w:sz w:val="20"/>
                <w:szCs w:val="20"/>
                <w:color w:val="auto"/>
              </w:rPr>
            </w:pPr>
            <w:r>
              <w:rPr>
                <w:rFonts w:ascii="Arial" w:cs="Arial" w:eastAsia="Arial" w:hAnsi="Arial"/>
                <w:sz w:val="11"/>
                <w:szCs w:val="11"/>
                <w:color w:val="auto"/>
                <w:w w:val="97"/>
              </w:rPr>
              <w:t>(Address of principal executive offices, including zip code)</w:t>
            </w:r>
          </w:p>
        </w:tc>
        <w:tc>
          <w:tcPr>
            <w:tcW w:w="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00" w:type="dxa"/>
            <w:vAlign w:val="bottom"/>
          </w:tcPr>
          <w:p>
            <w:pPr>
              <w:jc w:val="center"/>
              <w:ind w:left="106"/>
              <w:spacing w:after="0"/>
              <w:rPr>
                <w:sz w:val="20"/>
                <w:szCs w:val="20"/>
                <w:color w:val="auto"/>
              </w:rPr>
            </w:pPr>
            <w:r>
              <w:rPr>
                <w:rFonts w:ascii="Arial" w:cs="Arial" w:eastAsia="Arial" w:hAnsi="Arial"/>
                <w:sz w:val="11"/>
                <w:szCs w:val="11"/>
                <w:color w:val="auto"/>
                <w:w w:val="98"/>
              </w:rPr>
              <w:t>(Registrant’s telephone number, including area code)</w:t>
            </w:r>
          </w:p>
        </w:tc>
      </w:tr>
    </w:tbl>
    <w:p>
      <w:pPr>
        <w:spacing w:after="0" w:line="73" w:lineRule="exact"/>
        <w:rPr>
          <w:sz w:val="24"/>
          <w:szCs w:val="24"/>
          <w:color w:val="auto"/>
        </w:rPr>
      </w:pPr>
    </w:p>
    <w:p>
      <w:pPr>
        <w:ind w:left="260" w:right="20"/>
        <w:spacing w:after="0" w:line="238"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1099" w:right="239" w:bottom="1440" w:gutter="0" w:footer="0" w:header="0"/>
          <w:type w:val="continuous"/>
        </w:sectPr>
      </w:pPr>
    </w:p>
    <w:p>
      <w:pPr>
        <w:spacing w:after="0" w:line="154"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Group Inc.</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34" w:lineRule="exact"/>
        <w:rPr>
          <w:sz w:val="24"/>
          <w:szCs w:val="24"/>
          <w:color w:val="auto"/>
        </w:rPr>
      </w:pPr>
    </w:p>
    <w:p>
      <w:pPr>
        <w:sectPr>
          <w:pgSz w:w="11900" w:h="16838" w:orient="portrait"/>
          <w:cols w:equalWidth="0" w:num="5">
            <w:col w:w="9140" w:space="720"/>
            <w:col w:w="100" w:space="480"/>
            <w:col w:w="160" w:space="180"/>
            <w:col w:w="80" w:space="400"/>
            <w:col w:w="160"/>
          </w:cols>
          <w:pgMar w:left="240" w:top="1099" w:right="23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Inc.</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6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88" w:lineRule="exact"/>
        <w:rPr>
          <w:sz w:val="24"/>
          <w:szCs w:val="24"/>
          <w:color w:val="auto"/>
        </w:rPr>
      </w:pPr>
    </w:p>
    <w:p>
      <w:pPr>
        <w:sectPr>
          <w:pgSz w:w="11900" w:h="16838" w:orient="portrait"/>
          <w:cols w:equalWidth="0" w:num="5">
            <w:col w:w="9140" w:space="720"/>
            <w:col w:w="100" w:space="480"/>
            <w:col w:w="160" w:space="180"/>
            <w:col w:w="80" w:space="400"/>
            <w:col w:w="160"/>
          </w:cols>
          <w:pgMar w:left="240" w:top="1099" w:right="239" w:bottom="1440" w:gutter="0" w:footer="0" w:header="0"/>
          <w:type w:val="continuous"/>
        </w:sectPr>
      </w:pPr>
    </w:p>
    <w:p>
      <w:pPr>
        <w:ind w:left="260" w:right="20"/>
        <w:spacing w:after="0" w:line="238" w:lineRule="auto"/>
        <w:rPr>
          <w:sz w:val="20"/>
          <w:szCs w:val="20"/>
          <w:color w:val="auto"/>
        </w:rPr>
      </w:pPr>
      <w:r>
        <w:rPr>
          <w:rFonts w:ascii="Arial" w:cs="Arial" w:eastAsia="Arial" w:hAnsi="Arial"/>
          <w:sz w:val="11"/>
          <w:szCs w:val="11"/>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ectPr>
          <w:pgSz w:w="11900" w:h="16838" w:orient="portrait"/>
          <w:cols w:equalWidth="0" w:num="1">
            <w:col w:w="11420"/>
          </w:cols>
          <w:pgMar w:left="240" w:top="1099" w:right="239" w:bottom="1440" w:gutter="0" w:footer="0" w:header="0"/>
          <w:type w:val="continuous"/>
        </w:sectPr>
      </w:pPr>
    </w:p>
    <w:p>
      <w:pPr>
        <w:spacing w:after="0" w:line="154"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Group Inc.</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34" w:lineRule="exact"/>
        <w:rPr>
          <w:sz w:val="24"/>
          <w:szCs w:val="24"/>
          <w:color w:val="auto"/>
        </w:rPr>
      </w:pPr>
    </w:p>
    <w:p>
      <w:pPr>
        <w:sectPr>
          <w:pgSz w:w="11900" w:h="16838" w:orient="portrait"/>
          <w:cols w:equalWidth="0" w:num="5">
            <w:col w:w="9140" w:space="720"/>
            <w:col w:w="100" w:space="480"/>
            <w:col w:w="160" w:space="180"/>
            <w:col w:w="80" w:space="400"/>
            <w:col w:w="160"/>
          </w:cols>
          <w:pgMar w:left="240" w:top="1099" w:right="23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Inc.</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6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88" w:lineRule="exact"/>
        <w:rPr>
          <w:sz w:val="24"/>
          <w:szCs w:val="24"/>
          <w:color w:val="auto"/>
        </w:rPr>
      </w:pPr>
    </w:p>
    <w:p>
      <w:pPr>
        <w:sectPr>
          <w:pgSz w:w="11900" w:h="16838" w:orient="portrait"/>
          <w:cols w:equalWidth="0" w:num="5">
            <w:col w:w="9140" w:space="720"/>
            <w:col w:w="100" w:space="480"/>
            <w:col w:w="160" w:space="180"/>
            <w:col w:w="80" w:space="400"/>
            <w:col w:w="160"/>
          </w:cols>
          <w:pgMar w:left="240" w:top="1099" w:right="239" w:bottom="1440" w:gutter="0" w:footer="0" w:header="0"/>
          <w:type w:val="continuous"/>
        </w:sectPr>
      </w:pPr>
    </w:p>
    <w:p>
      <w:pPr>
        <w:ind w:left="260"/>
        <w:spacing w:after="0" w:line="238"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1099" w:right="239" w:bottom="1440" w:gutter="0" w:footer="0" w:header="0"/>
          <w:type w:val="continuous"/>
        </w:sectPr>
      </w:pPr>
    </w:p>
    <w:p>
      <w:pPr>
        <w:spacing w:after="0" w:line="208"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Group Inc.</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Large Accelerated Filer</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Accelerated Filer</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Emerging Growth Company</w:t>
      </w:r>
    </w:p>
    <w:p>
      <w:pPr>
        <w:spacing w:after="0" w:line="60" w:lineRule="exact"/>
        <w:rPr>
          <w:sz w:val="24"/>
          <w:szCs w:val="24"/>
          <w:color w:val="auto"/>
        </w:rPr>
      </w:pPr>
    </w:p>
    <w:p>
      <w:pPr>
        <w:sectPr>
          <w:pgSz w:w="11900" w:h="16838" w:orient="portrait"/>
          <w:cols w:equalWidth="0" w:num="6">
            <w:col w:w="1420" w:space="340"/>
            <w:col w:w="1240" w:space="580"/>
            <w:col w:w="940" w:space="560"/>
            <w:col w:w="1140" w:space="560"/>
            <w:col w:w="1480" w:space="680"/>
            <w:col w:w="2480"/>
          </w:cols>
          <w:pgMar w:left="240" w:top="1099" w:right="23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Inc.</w:t>
      </w:r>
    </w:p>
    <w:p>
      <w:pPr>
        <w:spacing w:after="0" w:line="20" w:lineRule="exact"/>
        <w:rPr>
          <w:sz w:val="24"/>
          <w:szCs w:val="24"/>
          <w:color w:val="auto"/>
        </w:rPr>
      </w:pPr>
      <w:r>
        <w:rPr>
          <w:sz w:val="24"/>
          <w:szCs w:val="24"/>
          <w:color w:val="auto"/>
        </w:rPr>
        <w:br w:type="column"/>
      </w:r>
    </w:p>
    <w:p>
      <w:pPr>
        <w:jc w:val="cente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Large Accelerated Filer</w:t>
      </w:r>
    </w:p>
    <w:p>
      <w:pPr>
        <w:spacing w:after="0" w:line="20" w:lineRule="exact"/>
        <w:rPr>
          <w:sz w:val="24"/>
          <w:szCs w:val="24"/>
          <w:color w:val="auto"/>
        </w:rPr>
      </w:pPr>
      <w:r>
        <w:rPr>
          <w:sz w:val="24"/>
          <w:szCs w:val="24"/>
          <w:color w:val="auto"/>
        </w:rPr>
        <w:br w:type="column"/>
      </w:r>
    </w:p>
    <w:p>
      <w:pPr>
        <w:jc w:val="cente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Accelerated Filer</w:t>
      </w:r>
    </w:p>
    <w:p>
      <w:pPr>
        <w:spacing w:after="0" w:line="20" w:lineRule="exact"/>
        <w:rPr>
          <w:sz w:val="24"/>
          <w:szCs w:val="24"/>
          <w:color w:val="auto"/>
        </w:rPr>
      </w:pPr>
      <w:r>
        <w:rPr>
          <w:sz w:val="24"/>
          <w:szCs w:val="24"/>
          <w:color w:val="auto"/>
        </w:rPr>
        <w:br w:type="column"/>
      </w:r>
    </w:p>
    <w:p>
      <w:pPr>
        <w:jc w:val="cente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Non-accelerated Filer</w:t>
      </w:r>
    </w:p>
    <w:p>
      <w:pPr>
        <w:spacing w:after="0" w:line="20" w:lineRule="exact"/>
        <w:rPr>
          <w:sz w:val="24"/>
          <w:szCs w:val="24"/>
          <w:color w:val="auto"/>
        </w:rPr>
      </w:pPr>
      <w:r>
        <w:rPr>
          <w:sz w:val="24"/>
          <w:szCs w:val="24"/>
          <w:color w:val="auto"/>
        </w:rPr>
        <w:br w:type="column"/>
      </w:r>
    </w:p>
    <w:p>
      <w:pP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Emerging Growth Company</w:t>
      </w:r>
    </w:p>
    <w:p>
      <w:pPr>
        <w:spacing w:after="0" w:line="114" w:lineRule="exact"/>
        <w:rPr>
          <w:sz w:val="24"/>
          <w:szCs w:val="24"/>
          <w:color w:val="auto"/>
        </w:rPr>
      </w:pPr>
    </w:p>
    <w:p>
      <w:pPr>
        <w:sectPr>
          <w:pgSz w:w="11900" w:h="16838" w:orient="portrait"/>
          <w:cols w:equalWidth="0" w:num="6">
            <w:col w:w="1100" w:space="660"/>
            <w:col w:w="1240" w:space="580"/>
            <w:col w:w="940" w:space="560"/>
            <w:col w:w="1140" w:space="560"/>
            <w:col w:w="1480" w:space="680"/>
            <w:col w:w="2480"/>
          </w:cols>
          <w:pgMar w:left="240" w:top="1099" w:right="239" w:bottom="1440" w:gutter="0" w:footer="0" w:header="0"/>
          <w:type w:val="continuous"/>
        </w:sectPr>
      </w:pPr>
    </w:p>
    <w:p>
      <w:pPr>
        <w:ind w:left="260"/>
        <w:spacing w:after="0" w:line="238" w:lineRule="auto"/>
        <w:rPr>
          <w:sz w:val="20"/>
          <w:szCs w:val="20"/>
          <w:color w:val="auto"/>
        </w:rPr>
      </w:pPr>
      <w:r>
        <w:rPr>
          <w:rFonts w:ascii="Arial" w:cs="Arial" w:eastAsia="Arial" w:hAnsi="Arial"/>
          <w:sz w:val="11"/>
          <w:szCs w:val="11"/>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130"/>
        </w:trPr>
        <w:tc>
          <w:tcPr>
            <w:tcW w:w="7720" w:type="dxa"/>
            <w:vAlign w:val="bottom"/>
          </w:tcPr>
          <w:p>
            <w:pPr>
              <w:spacing w:after="0"/>
              <w:rPr>
                <w:sz w:val="20"/>
                <w:szCs w:val="20"/>
                <w:color w:val="auto"/>
              </w:rPr>
            </w:pPr>
            <w:r>
              <w:rPr>
                <w:rFonts w:ascii="Arial" w:cs="Arial" w:eastAsia="Arial" w:hAnsi="Arial"/>
                <w:sz w:val="11"/>
                <w:szCs w:val="11"/>
                <w:color w:val="auto"/>
              </w:rPr>
              <w:t>American Airlines Group Inc.</w:t>
            </w:r>
          </w:p>
        </w:tc>
        <w:tc>
          <w:tcPr>
            <w:tcW w:w="2200" w:type="dxa"/>
            <w:vAlign w:val="bottom"/>
          </w:tcPr>
          <w:p>
            <w:pPr>
              <w:spacing w:after="0"/>
              <w:rPr>
                <w:sz w:val="11"/>
                <w:szCs w:val="11"/>
                <w:color w:val="auto"/>
              </w:rPr>
            </w:pPr>
          </w:p>
        </w:tc>
        <w:tc>
          <w:tcPr>
            <w:tcW w:w="74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7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7720" w:type="dxa"/>
            <w:vAlign w:val="bottom"/>
          </w:tcPr>
          <w:p>
            <w:pPr>
              <w:spacing w:after="0"/>
              <w:rPr>
                <w:sz w:val="20"/>
                <w:szCs w:val="20"/>
                <w:color w:val="auto"/>
              </w:rPr>
            </w:pPr>
            <w:r>
              <w:rPr>
                <w:rFonts w:ascii="Arial" w:cs="Arial" w:eastAsia="Arial" w:hAnsi="Arial"/>
                <w:sz w:val="11"/>
                <w:szCs w:val="11"/>
                <w:color w:val="auto"/>
              </w:rPr>
              <w:t>American Airlines, Inc.</w:t>
            </w:r>
          </w:p>
        </w:tc>
        <w:tc>
          <w:tcPr>
            <w:tcW w:w="2200" w:type="dxa"/>
            <w:vAlign w:val="bottom"/>
          </w:tcPr>
          <w:p>
            <w:pPr>
              <w:spacing w:after="0"/>
              <w:rPr>
                <w:sz w:val="14"/>
                <w:szCs w:val="14"/>
                <w:color w:val="auto"/>
              </w:rPr>
            </w:pPr>
          </w:p>
        </w:tc>
        <w:tc>
          <w:tcPr>
            <w:tcW w:w="74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77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22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w:t>
            </w:r>
          </w:p>
        </w:tc>
        <w:tc>
          <w:tcPr>
            <w:tcW w:w="2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7720" w:type="dxa"/>
            <w:vAlign w:val="bottom"/>
          </w:tcPr>
          <w:p>
            <w:pPr>
              <w:spacing w:after="0"/>
              <w:rPr>
                <w:sz w:val="20"/>
                <w:szCs w:val="20"/>
                <w:color w:val="auto"/>
              </w:rPr>
            </w:pPr>
            <w:r>
              <w:rPr>
                <w:rFonts w:ascii="Arial" w:cs="Arial" w:eastAsia="Arial" w:hAnsi="Arial"/>
                <w:sz w:val="11"/>
                <w:szCs w:val="11"/>
                <w:color w:val="auto"/>
              </w:rPr>
              <w:t>American Airlines Group Inc.</w:t>
            </w:r>
          </w:p>
        </w:tc>
        <w:tc>
          <w:tcPr>
            <w:tcW w:w="2200" w:type="dxa"/>
            <w:vAlign w:val="bottom"/>
          </w:tcPr>
          <w:p>
            <w:pPr>
              <w:ind w:left="2100"/>
              <w:spacing w:after="0" w:line="111" w:lineRule="exact"/>
              <w:rPr>
                <w:sz w:val="20"/>
                <w:szCs w:val="20"/>
                <w:color w:val="auto"/>
              </w:rPr>
            </w:pPr>
            <w:r>
              <w:rPr>
                <w:rFonts w:ascii="MS PGothic" w:cs="MS PGothic" w:eastAsia="MS PGothic" w:hAnsi="MS PGothic"/>
                <w:sz w:val="11"/>
                <w:szCs w:val="11"/>
                <w:color w:val="auto"/>
                <w:w w:val="72"/>
              </w:rPr>
              <w:t>☐</w:t>
            </w:r>
          </w:p>
        </w:tc>
        <w:tc>
          <w:tcPr>
            <w:tcW w:w="740" w:type="dxa"/>
            <w:vAlign w:val="bottom"/>
          </w:tcPr>
          <w:p>
            <w:pPr>
              <w:ind w:left="480"/>
              <w:spacing w:after="0"/>
              <w:rPr>
                <w:sz w:val="20"/>
                <w:szCs w:val="20"/>
                <w:color w:val="auto"/>
              </w:rPr>
            </w:pPr>
            <w:r>
              <w:rPr>
                <w:rFonts w:ascii="Arial" w:cs="Arial" w:eastAsia="Arial" w:hAnsi="Arial"/>
                <w:sz w:val="11"/>
                <w:szCs w:val="11"/>
                <w:color w:val="auto"/>
              </w:rPr>
              <w:t>Yes</w:t>
            </w:r>
          </w:p>
        </w:tc>
        <w:tc>
          <w:tcPr>
            <w:tcW w:w="36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340" w:type="dxa"/>
            <w:vAlign w:val="bottom"/>
          </w:tcPr>
          <w:p>
            <w:pPr>
              <w:ind w:left="200"/>
              <w:spacing w:after="0"/>
              <w:rPr>
                <w:sz w:val="20"/>
                <w:szCs w:val="20"/>
                <w:color w:val="auto"/>
              </w:rPr>
            </w:pPr>
            <w:r>
              <w:rPr>
                <w:rFonts w:ascii="Arial" w:cs="Arial" w:eastAsia="Arial" w:hAnsi="Arial"/>
                <w:sz w:val="11"/>
                <w:szCs w:val="11"/>
                <w:color w:val="auto"/>
                <w:w w:val="85"/>
              </w:rPr>
              <w:t>No</w:t>
            </w:r>
          </w:p>
        </w:tc>
        <w:tc>
          <w:tcPr>
            <w:tcW w:w="0" w:type="dxa"/>
            <w:vAlign w:val="bottom"/>
          </w:tcPr>
          <w:p>
            <w:pPr>
              <w:spacing w:after="0"/>
              <w:rPr>
                <w:sz w:val="1"/>
                <w:szCs w:val="1"/>
                <w:color w:val="auto"/>
              </w:rPr>
            </w:pPr>
          </w:p>
        </w:tc>
      </w:tr>
      <w:tr>
        <w:trPr>
          <w:trHeight w:val="164"/>
        </w:trPr>
        <w:tc>
          <w:tcPr>
            <w:tcW w:w="7720" w:type="dxa"/>
            <w:vAlign w:val="bottom"/>
          </w:tcPr>
          <w:p>
            <w:pPr>
              <w:spacing w:after="0"/>
              <w:rPr>
                <w:sz w:val="20"/>
                <w:szCs w:val="20"/>
                <w:color w:val="auto"/>
              </w:rPr>
            </w:pPr>
            <w:r>
              <w:rPr>
                <w:rFonts w:ascii="Arial" w:cs="Arial" w:eastAsia="Arial" w:hAnsi="Arial"/>
                <w:sz w:val="11"/>
                <w:szCs w:val="11"/>
                <w:color w:val="auto"/>
              </w:rPr>
              <w:t>American Airlines, Inc.</w:t>
            </w:r>
          </w:p>
        </w:tc>
        <w:tc>
          <w:tcPr>
            <w:tcW w:w="2200" w:type="dxa"/>
            <w:vAlign w:val="bottom"/>
            <w:vMerge w:val="restart"/>
          </w:tcPr>
          <w:p>
            <w:pPr>
              <w:ind w:left="2100"/>
              <w:spacing w:after="0" w:line="111" w:lineRule="exact"/>
              <w:rPr>
                <w:sz w:val="20"/>
                <w:szCs w:val="20"/>
                <w:color w:val="auto"/>
              </w:rPr>
            </w:pPr>
            <w:r>
              <w:rPr>
                <w:rFonts w:ascii="MS PGothic" w:cs="MS PGothic" w:eastAsia="MS PGothic" w:hAnsi="MS PGothic"/>
                <w:sz w:val="11"/>
                <w:szCs w:val="11"/>
                <w:color w:val="auto"/>
                <w:w w:val="72"/>
              </w:rPr>
              <w:t>☐</w:t>
            </w:r>
          </w:p>
        </w:tc>
        <w:tc>
          <w:tcPr>
            <w:tcW w:w="740" w:type="dxa"/>
            <w:vAlign w:val="bottom"/>
            <w:vMerge w:val="restart"/>
          </w:tcPr>
          <w:p>
            <w:pPr>
              <w:ind w:left="480"/>
              <w:spacing w:after="0"/>
              <w:rPr>
                <w:sz w:val="20"/>
                <w:szCs w:val="20"/>
                <w:color w:val="auto"/>
              </w:rPr>
            </w:pPr>
            <w:r>
              <w:rPr>
                <w:rFonts w:ascii="Arial" w:cs="Arial" w:eastAsia="Arial" w:hAnsi="Arial"/>
                <w:sz w:val="11"/>
                <w:szCs w:val="11"/>
                <w:color w:val="auto"/>
              </w:rPr>
              <w:t>Yes</w:t>
            </w:r>
          </w:p>
        </w:tc>
        <w:tc>
          <w:tcPr>
            <w:tcW w:w="36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340" w:type="dxa"/>
            <w:vAlign w:val="bottom"/>
            <w:vMerge w:val="restart"/>
          </w:tcPr>
          <w:p>
            <w:pPr>
              <w:ind w:left="200"/>
              <w:spacing w:after="0"/>
              <w:rPr>
                <w:sz w:val="20"/>
                <w:szCs w:val="20"/>
                <w:color w:val="auto"/>
              </w:rPr>
            </w:pPr>
            <w:r>
              <w:rPr>
                <w:rFonts w:ascii="Arial" w:cs="Arial" w:eastAsia="Arial" w:hAnsi="Arial"/>
                <w:sz w:val="11"/>
                <w:szCs w:val="11"/>
                <w:color w:val="auto"/>
                <w:w w:val="85"/>
              </w:rPr>
              <w:t>No</w:t>
            </w:r>
          </w:p>
        </w:tc>
        <w:tc>
          <w:tcPr>
            <w:tcW w:w="0" w:type="dxa"/>
            <w:vAlign w:val="bottom"/>
          </w:tcPr>
          <w:p>
            <w:pPr>
              <w:spacing w:after="0"/>
              <w:rPr>
                <w:sz w:val="1"/>
                <w:szCs w:val="1"/>
                <w:color w:val="auto"/>
              </w:rPr>
            </w:pPr>
          </w:p>
        </w:tc>
      </w:tr>
      <w:tr>
        <w:trPr>
          <w:trHeight w:val="107"/>
        </w:trPr>
        <w:tc>
          <w:tcPr>
            <w:tcW w:w="7720" w:type="dxa"/>
            <w:vAlign w:val="bottom"/>
          </w:tcPr>
          <w:p>
            <w:pPr>
              <w:spacing w:after="0"/>
              <w:rPr>
                <w:sz w:val="9"/>
                <w:szCs w:val="9"/>
                <w:color w:val="auto"/>
              </w:rPr>
            </w:pPr>
          </w:p>
        </w:tc>
        <w:tc>
          <w:tcPr>
            <w:tcW w:w="22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ind w:left="260" w:right="20"/>
        <w:spacing w:after="0" w:line="238" w:lineRule="auto"/>
        <w:rPr>
          <w:sz w:val="20"/>
          <w:szCs w:val="20"/>
          <w:color w:val="auto"/>
        </w:rPr>
      </w:pPr>
      <w:r>
        <w:rPr>
          <w:rFonts w:ascii="Arial" w:cs="Arial" w:eastAsia="Arial" w:hAnsi="Arial"/>
          <w:sz w:val="11"/>
          <w:szCs w:val="11"/>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8680" w:type="dxa"/>
            <w:vAlign w:val="bottom"/>
          </w:tcPr>
          <w:p>
            <w:pPr>
              <w:ind w:left="40"/>
              <w:spacing w:after="0"/>
              <w:rPr>
                <w:sz w:val="20"/>
                <w:szCs w:val="20"/>
                <w:color w:val="auto"/>
              </w:rPr>
            </w:pPr>
            <w:r>
              <w:rPr>
                <w:rFonts w:ascii="Arial" w:cs="Arial" w:eastAsia="Arial" w:hAnsi="Arial"/>
                <w:sz w:val="11"/>
                <w:szCs w:val="11"/>
                <w:color w:val="auto"/>
              </w:rPr>
              <w:t>American Airlines Group Inc.</w:t>
            </w:r>
          </w:p>
        </w:tc>
        <w:tc>
          <w:tcPr>
            <w:tcW w:w="1520" w:type="dxa"/>
            <w:vAlign w:val="bottom"/>
          </w:tcPr>
          <w:p>
            <w:pPr>
              <w:ind w:left="1180"/>
              <w:spacing w:after="0" w:line="111" w:lineRule="exact"/>
              <w:rPr>
                <w:sz w:val="20"/>
                <w:szCs w:val="20"/>
                <w:color w:val="auto"/>
              </w:rPr>
            </w:pPr>
            <w:r>
              <w:rPr>
                <w:rFonts w:ascii="MS PGothic" w:cs="MS PGothic" w:eastAsia="MS PGothic" w:hAnsi="MS PGothic"/>
                <w:sz w:val="11"/>
                <w:szCs w:val="11"/>
                <w:color w:val="auto"/>
              </w:rPr>
              <w:t>☒</w:t>
            </w:r>
          </w:p>
        </w:tc>
        <w:tc>
          <w:tcPr>
            <w:tcW w:w="500" w:type="dxa"/>
            <w:vAlign w:val="bottom"/>
          </w:tcPr>
          <w:p>
            <w:pPr>
              <w:ind w:left="240"/>
              <w:spacing w:after="0"/>
              <w:rPr>
                <w:sz w:val="20"/>
                <w:szCs w:val="20"/>
                <w:color w:val="auto"/>
              </w:rPr>
            </w:pPr>
            <w:r>
              <w:rPr>
                <w:rFonts w:ascii="Arial" w:cs="Arial" w:eastAsia="Arial" w:hAnsi="Arial"/>
                <w:sz w:val="11"/>
                <w:szCs w:val="11"/>
                <w:color w:val="auto"/>
              </w:rPr>
              <w:t>Yes</w:t>
            </w:r>
          </w:p>
        </w:tc>
        <w:tc>
          <w:tcPr>
            <w:tcW w:w="36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360" w:type="dxa"/>
            <w:vAlign w:val="bottom"/>
          </w:tcPr>
          <w:p>
            <w:pPr>
              <w:ind w:left="200"/>
              <w:spacing w:after="0"/>
              <w:rPr>
                <w:sz w:val="20"/>
                <w:szCs w:val="20"/>
                <w:color w:val="auto"/>
              </w:rPr>
            </w:pPr>
            <w:r>
              <w:rPr>
                <w:rFonts w:ascii="Arial" w:cs="Arial" w:eastAsia="Arial" w:hAnsi="Arial"/>
                <w:sz w:val="11"/>
                <w:szCs w:val="11"/>
                <w:color w:val="auto"/>
                <w:w w:val="99"/>
              </w:rPr>
              <w:t>No</w:t>
            </w:r>
          </w:p>
        </w:tc>
      </w:tr>
      <w:tr>
        <w:trPr>
          <w:trHeight w:val="176"/>
        </w:trPr>
        <w:tc>
          <w:tcPr>
            <w:tcW w:w="8680" w:type="dxa"/>
            <w:vAlign w:val="bottom"/>
          </w:tcPr>
          <w:p>
            <w:pPr>
              <w:ind w:left="40"/>
              <w:spacing w:after="0"/>
              <w:rPr>
                <w:sz w:val="20"/>
                <w:szCs w:val="20"/>
                <w:color w:val="auto"/>
              </w:rPr>
            </w:pPr>
            <w:r>
              <w:rPr>
                <w:rFonts w:ascii="Arial" w:cs="Arial" w:eastAsia="Arial" w:hAnsi="Arial"/>
                <w:sz w:val="11"/>
                <w:szCs w:val="11"/>
                <w:color w:val="auto"/>
              </w:rPr>
              <w:t>American Airlines, Inc.</w:t>
            </w:r>
          </w:p>
        </w:tc>
        <w:tc>
          <w:tcPr>
            <w:tcW w:w="1520" w:type="dxa"/>
            <w:vAlign w:val="bottom"/>
          </w:tcPr>
          <w:p>
            <w:pPr>
              <w:ind w:left="1180"/>
              <w:spacing w:after="0" w:line="111" w:lineRule="exact"/>
              <w:rPr>
                <w:sz w:val="20"/>
                <w:szCs w:val="20"/>
                <w:color w:val="auto"/>
              </w:rPr>
            </w:pPr>
            <w:r>
              <w:rPr>
                <w:rFonts w:ascii="MS PGothic" w:cs="MS PGothic" w:eastAsia="MS PGothic" w:hAnsi="MS PGothic"/>
                <w:sz w:val="11"/>
                <w:szCs w:val="11"/>
                <w:color w:val="auto"/>
              </w:rPr>
              <w:t>☒</w:t>
            </w:r>
          </w:p>
        </w:tc>
        <w:tc>
          <w:tcPr>
            <w:tcW w:w="500" w:type="dxa"/>
            <w:vAlign w:val="bottom"/>
          </w:tcPr>
          <w:p>
            <w:pPr>
              <w:ind w:left="240"/>
              <w:spacing w:after="0"/>
              <w:rPr>
                <w:sz w:val="20"/>
                <w:szCs w:val="20"/>
                <w:color w:val="auto"/>
              </w:rPr>
            </w:pPr>
            <w:r>
              <w:rPr>
                <w:rFonts w:ascii="Arial" w:cs="Arial" w:eastAsia="Arial" w:hAnsi="Arial"/>
                <w:sz w:val="11"/>
                <w:szCs w:val="11"/>
                <w:color w:val="auto"/>
              </w:rPr>
              <w:t>Yes</w:t>
            </w:r>
          </w:p>
        </w:tc>
        <w:tc>
          <w:tcPr>
            <w:tcW w:w="36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360" w:type="dxa"/>
            <w:vAlign w:val="bottom"/>
          </w:tcPr>
          <w:p>
            <w:pPr>
              <w:ind w:left="200"/>
              <w:spacing w:after="0"/>
              <w:rPr>
                <w:sz w:val="20"/>
                <w:szCs w:val="20"/>
                <w:color w:val="auto"/>
              </w:rPr>
            </w:pPr>
            <w:r>
              <w:rPr>
                <w:rFonts w:ascii="Arial" w:cs="Arial" w:eastAsia="Arial" w:hAnsi="Arial"/>
                <w:sz w:val="11"/>
                <w:szCs w:val="11"/>
                <w:color w:val="auto"/>
                <w:w w:val="99"/>
              </w:rPr>
              <w:t>No</w:t>
            </w:r>
          </w:p>
        </w:tc>
      </w:tr>
      <w:tr>
        <w:trPr>
          <w:trHeight w:val="191"/>
        </w:trPr>
        <w:tc>
          <w:tcPr>
            <w:tcW w:w="8680" w:type="dxa"/>
            <w:vAlign w:val="bottom"/>
          </w:tcPr>
          <w:p>
            <w:pPr>
              <w:spacing w:after="0"/>
              <w:rPr>
                <w:sz w:val="20"/>
                <w:szCs w:val="20"/>
                <w:color w:val="auto"/>
              </w:rPr>
            </w:pPr>
            <w:r>
              <w:rPr>
                <w:rFonts w:ascii="Arial" w:cs="Arial" w:eastAsia="Arial" w:hAnsi="Arial"/>
                <w:sz w:val="11"/>
                <w:szCs w:val="11"/>
                <w:color w:val="auto"/>
              </w:rPr>
              <w:t>As of October 19, 2018, there were 460,581,463 shares of American Airlines Group Inc. common stock outstanding.</w:t>
            </w:r>
          </w:p>
        </w:tc>
        <w:tc>
          <w:tcPr>
            <w:tcW w:w="1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1"/>
                <w:szCs w:val="11"/>
                <w:color w:val="auto"/>
              </w:rPr>
              <w:t>As of October 19, 2018, there were 1,000 shares of American Airlines, Inc. common stock outstanding, all of which were held by American Airlines Group Inc.</w:t>
            </w:r>
          </w:p>
        </w:tc>
        <w:tc>
          <w:tcPr>
            <w:tcW w:w="1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60"/>
        </w:trPr>
        <w:tc>
          <w:tcPr>
            <w:tcW w:w="8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20"/>
        </w:trPr>
        <w:tc>
          <w:tcPr>
            <w:tcW w:w="8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099"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Quarterly Period Ended September 30, 2018</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59"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6866255</wp:posOffset>
            </wp:positionH>
            <wp:positionV relativeFrom="paragraph">
              <wp:posOffset>26035</wp:posOffset>
            </wp:positionV>
            <wp:extent cx="360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 FINANCIAL INFORMATION</w:t>
      </w:r>
    </w:p>
    <w:p>
      <w:pPr>
        <w:sectPr>
          <w:pgSz w:w="11900" w:h="16838" w:orient="portrait"/>
          <w:cols w:equalWidth="0" w:num="1">
            <w:col w:w="11360"/>
          </w:cols>
          <w:pgMar w:left="280" w:top="576" w:right="259" w:bottom="1440" w:gutter="0" w:footer="0" w:header="0"/>
        </w:sectPr>
      </w:pPr>
    </w:p>
    <w:p>
      <w:pPr>
        <w:spacing w:after="0" w:line="72"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1A.</w:t>
      </w:r>
      <w:r>
        <w:rPr>
          <w:sz w:val="20"/>
          <w:szCs w:val="20"/>
          <w:color w:val="auto"/>
        </w:rPr>
        <w:tab/>
      </w:r>
      <w:hyperlink w:anchor="page5">
        <w:r>
          <w:rPr>
            <w:rFonts w:ascii="Arial" w:cs="Arial" w:eastAsia="Arial" w:hAnsi="Arial"/>
            <w:sz w:val="17"/>
            <w:szCs w:val="17"/>
            <w:u w:val="single" w:color="auto"/>
            <w:color w:val="0000EE"/>
          </w:rPr>
          <w:t>Condensed Consolidated Financial Statements of American Airlines Group Inc.</w:t>
        </w:r>
      </w:hyperlink>
    </w:p>
    <w:p>
      <w:pPr>
        <w:spacing w:after="0" w:line="50" w:lineRule="exact"/>
        <w:rPr>
          <w:sz w:val="20"/>
          <w:szCs w:val="20"/>
          <w:color w:val="auto"/>
        </w:rPr>
      </w:pPr>
    </w:p>
    <w:p>
      <w:pPr>
        <w:ind w:left="17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Income</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Balance Sheets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the Condensed Consolidated Financial Statements</w:t>
        </w:r>
      </w:hyperlink>
    </w:p>
    <w:p>
      <w:pPr>
        <w:spacing w:after="0" w:line="63"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1B.</w:t>
      </w:r>
      <w:r>
        <w:rPr>
          <w:sz w:val="20"/>
          <w:szCs w:val="20"/>
          <w:color w:val="auto"/>
        </w:rPr>
        <w:tab/>
      </w:r>
      <w:hyperlink w:anchor="page24">
        <w:r>
          <w:rPr>
            <w:rFonts w:ascii="Arial" w:cs="Arial" w:eastAsia="Arial" w:hAnsi="Arial"/>
            <w:sz w:val="17"/>
            <w:szCs w:val="17"/>
            <w:u w:val="single" w:color="auto"/>
            <w:color w:val="0000EE"/>
          </w:rPr>
          <w:t>Condensed Consolidated Financial Statements of American Airlines, Inc.</w:t>
        </w:r>
      </w:hyperlink>
    </w:p>
    <w:p>
      <w:pPr>
        <w:spacing w:after="0" w:line="50" w:lineRule="exact"/>
        <w:rPr>
          <w:sz w:val="20"/>
          <w:szCs w:val="20"/>
          <w:color w:val="auto"/>
        </w:rPr>
      </w:pPr>
    </w:p>
    <w:p>
      <w:pPr>
        <w:ind w:left="17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Condensed Consolidated Statements of Operations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Condensed Consolidated Statements of Comprehensive Income</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Condensed Consolidated Balance Sheets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Condensed Consolidated Statements of Cash Flows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Notes to the Condensed Consolidated Financial Statements</w:t>
        </w:r>
      </w:hyperlink>
    </w:p>
    <w:p>
      <w:pPr>
        <w:spacing w:after="0" w:line="63"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42">
        <w:r>
          <w:rPr>
            <w:rFonts w:ascii="Arial" w:cs="Arial" w:eastAsia="Arial" w:hAnsi="Arial"/>
            <w:sz w:val="17"/>
            <w:szCs w:val="17"/>
            <w:u w:val="single" w:color="auto"/>
            <w:color w:val="0000EE"/>
          </w:rPr>
          <w:t>Management’s Discussion and Analysis of Financial Condition and Results of Operations</w:t>
        </w:r>
      </w:hyperlink>
    </w:p>
    <w:p>
      <w:pPr>
        <w:spacing w:after="0" w:line="50"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3.</w:t>
      </w:r>
      <w:r>
        <w:rPr>
          <w:sz w:val="20"/>
          <w:szCs w:val="20"/>
          <w:color w:val="auto"/>
        </w:rPr>
        <w:tab/>
      </w:r>
      <w:hyperlink w:anchor="page71">
        <w:r>
          <w:rPr>
            <w:rFonts w:ascii="Arial" w:cs="Arial" w:eastAsia="Arial" w:hAnsi="Arial"/>
            <w:sz w:val="17"/>
            <w:szCs w:val="17"/>
            <w:u w:val="single" w:color="auto"/>
            <w:color w:val="0000EE"/>
          </w:rPr>
          <w:t>Quantitative and Qualitative Disclosures About Market Risk</w:t>
        </w:r>
      </w:hyperlink>
    </w:p>
    <w:p>
      <w:pPr>
        <w:spacing w:after="0" w:line="50"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4.</w:t>
      </w:r>
      <w:r>
        <w:rPr>
          <w:sz w:val="20"/>
          <w:szCs w:val="20"/>
          <w:color w:val="auto"/>
        </w:rPr>
        <w:tab/>
      </w:r>
      <w:hyperlink w:anchor="page72">
        <w:r>
          <w:rPr>
            <w:rFonts w:ascii="Arial" w:cs="Arial" w:eastAsia="Arial" w:hAnsi="Arial"/>
            <w:sz w:val="17"/>
            <w:szCs w:val="17"/>
            <w:u w:val="single" w:color="auto"/>
            <w:color w:val="0000EE"/>
          </w:rPr>
          <w:t>Controls and Procedures</w:t>
        </w:r>
      </w:hyperlink>
    </w:p>
    <w:p>
      <w:pPr>
        <w:spacing w:after="0" w:line="28"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0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4</w:t>
        </w:r>
      </w:hyperlink>
    </w:p>
    <w:p>
      <w:pPr>
        <w:spacing w:after="0" w:line="75" w:lineRule="exact"/>
        <w:rPr>
          <w:sz w:val="20"/>
          <w:szCs w:val="20"/>
          <w:color w:val="auto"/>
        </w:rPr>
      </w:pPr>
    </w:p>
    <w:p>
      <w:pPr>
        <w:ind w:left="10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4</w:t>
        </w:r>
      </w:hyperlink>
    </w:p>
    <w:p>
      <w:pPr>
        <w:spacing w:after="0" w:line="75" w:lineRule="exact"/>
        <w:rPr>
          <w:sz w:val="20"/>
          <w:szCs w:val="20"/>
          <w:color w:val="auto"/>
        </w:rPr>
      </w:pPr>
    </w:p>
    <w:p>
      <w:pPr>
        <w:ind w:left="100"/>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5</w:t>
        </w:r>
      </w:hyperlink>
    </w:p>
    <w:p>
      <w:pPr>
        <w:spacing w:after="0" w:line="75" w:lineRule="exact"/>
        <w:rPr>
          <w:sz w:val="20"/>
          <w:szCs w:val="20"/>
          <w:color w:val="auto"/>
        </w:rPr>
      </w:pPr>
    </w:p>
    <w:p>
      <w:pPr>
        <w:ind w:left="100"/>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6</w:t>
        </w:r>
      </w:hyperlink>
    </w:p>
    <w:p>
      <w:pPr>
        <w:spacing w:after="0" w:line="75" w:lineRule="exact"/>
        <w:rPr>
          <w:sz w:val="20"/>
          <w:szCs w:val="20"/>
          <w:color w:val="auto"/>
        </w:rPr>
      </w:pPr>
    </w:p>
    <w:p>
      <w:pPr>
        <w:ind w:left="100"/>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7</w:t>
        </w:r>
      </w:hyperlink>
    </w:p>
    <w:p>
      <w:pPr>
        <w:spacing w:after="0" w:line="75" w:lineRule="exact"/>
        <w:rPr>
          <w:sz w:val="20"/>
          <w:szCs w:val="20"/>
          <w:color w:val="auto"/>
        </w:rPr>
      </w:pPr>
    </w:p>
    <w:p>
      <w:pPr>
        <w:ind w:left="100"/>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8</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23</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23</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24</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25</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7">
        <w:r>
          <w:rPr>
            <w:rFonts w:ascii="Arial" w:cs="Arial" w:eastAsia="Arial" w:hAnsi="Arial"/>
            <w:sz w:val="17"/>
            <w:szCs w:val="17"/>
            <w:u w:val="single" w:color="auto"/>
            <w:color w:val="0000EE"/>
          </w:rPr>
          <w:t>26</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27</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41</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70</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71</w:t>
        </w:r>
      </w:hyperlink>
    </w:p>
    <w:p>
      <w:pPr>
        <w:spacing w:after="0" w:line="287" w:lineRule="exact"/>
        <w:rPr>
          <w:sz w:val="20"/>
          <w:szCs w:val="20"/>
          <w:color w:val="auto"/>
        </w:rPr>
      </w:pPr>
    </w:p>
    <w:p>
      <w:pPr>
        <w:sectPr>
          <w:pgSz w:w="11900" w:h="16838" w:orient="portrait"/>
          <w:cols w:equalWidth="0" w:num="2">
            <w:col w:w="10440" w:space="720"/>
            <w:col w:w="200"/>
          </w:cols>
          <w:pgMar w:left="280" w:top="576"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700" w:type="dxa"/>
            <w:vAlign w:val="bottom"/>
            <w:gridSpan w:val="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Legal Proceedings</w:t>
              </w:r>
            </w:hyperlink>
          </w:p>
        </w:tc>
        <w:tc>
          <w:tcPr>
            <w:tcW w:w="6940" w:type="dxa"/>
            <w:vAlign w:val="bottom"/>
            <w:gridSpan w:val="2"/>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17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2"/>
          </w:tcPr>
          <w:p>
            <w:pPr>
              <w:spacing w:after="0"/>
              <w:rPr>
                <w:rFonts w:ascii="Arial" w:cs="Arial" w:eastAsia="Arial" w:hAnsi="Arial"/>
                <w:sz w:val="18"/>
                <w:szCs w:val="18"/>
                <w:color w:val="0000EE"/>
                <w:w w:val="97"/>
              </w:rPr>
            </w:pPr>
            <w:hyperlink w:anchor="page74">
              <w:r>
                <w:rPr>
                  <w:rFonts w:ascii="Arial" w:cs="Arial" w:eastAsia="Arial" w:hAnsi="Arial"/>
                  <w:sz w:val="18"/>
                  <w:szCs w:val="18"/>
                  <w:color w:val="0000EE"/>
                  <w:w w:val="97"/>
                </w:rPr>
                <w:t>Risk Factors</w:t>
              </w:r>
            </w:hyperlink>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940" w:type="dxa"/>
            <w:vAlign w:val="bottom"/>
            <w:gridSpan w:val="2"/>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17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00" w:type="dxa"/>
            <w:vAlign w:val="bottom"/>
            <w:gridSpan w:val="2"/>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Exhibits</w:t>
              </w:r>
            </w:hyperlink>
          </w:p>
        </w:tc>
        <w:tc>
          <w:tcPr>
            <w:tcW w:w="1700" w:type="dxa"/>
            <w:vAlign w:val="bottom"/>
            <w:gridSpan w:val="2"/>
          </w:tcPr>
          <w:p>
            <w:pPr>
              <w:spacing w:after="0"/>
              <w:rPr>
                <w:sz w:val="20"/>
                <w:szCs w:val="20"/>
                <w:color w:val="auto"/>
              </w:rPr>
            </w:pPr>
          </w:p>
        </w:tc>
        <w:tc>
          <w:tcPr>
            <w:tcW w:w="6940" w:type="dxa"/>
            <w:vAlign w:val="bottom"/>
            <w:gridSpan w:val="2"/>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91</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1720" w:type="dxa"/>
            <w:vAlign w:val="bottom"/>
            <w:gridSpan w:val="2"/>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SIGNATURES</w:t>
              </w:r>
            </w:hyperlink>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940" w:type="dxa"/>
            <w:vAlign w:val="bottom"/>
            <w:gridSpan w:val="2"/>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92</w:t>
              </w:r>
            </w:hyperlink>
          </w:p>
        </w:tc>
      </w:tr>
      <w:tr>
        <w:trPr>
          <w:trHeight w:val="709"/>
        </w:trPr>
        <w:tc>
          <w:tcPr>
            <w:tcW w:w="11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740" w:type="dxa"/>
            <w:vAlign w:val="bottom"/>
          </w:tcPr>
          <w:p>
            <w:pPr>
              <w:jc w:val="right"/>
              <w:ind w:right="5350"/>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576" w:right="259" w:bottom="1440" w:gutter="0" w:footer="0" w:header="0"/>
          <w:type w:val="continuous"/>
        </w:sectPr>
      </w:pPr>
    </w:p>
    <w:bookmarkStart w:id="2" w:name="page3"/>
    <w:bookmarkEnd w:id="2"/>
    <w:p>
      <w:pPr>
        <w:jc w:val="both"/>
        <w:ind w:firstLine="216"/>
        <w:spacing w:after="0" w:line="252" w:lineRule="auto"/>
        <w:rPr>
          <w:sz w:val="20"/>
          <w:szCs w:val="20"/>
          <w:color w:val="auto"/>
        </w:rPr>
      </w:pPr>
      <w:r>
        <w:rPr>
          <w:rFonts w:ascii="Arial" w:cs="Arial" w:eastAsia="Arial" w:hAnsi="Arial"/>
          <w:sz w:val="18"/>
          <w:szCs w:val="18"/>
          <w:color w:val="auto"/>
        </w:rPr>
        <w:t>This report is filed by American Airlines Group Inc. (formerly named AMR Corporation) (AAG) and its wholly-owned subsidiary American Airlines, Inc. (American). References in this report to “we,” “us,” “our,” the “Company” and similar terms refer to AAG and its consolidated subsidiaries. “AMR” or “AMR Corporation” refers to the Company during the period of time prior to its emergence from Chapter 11 and its acquisition of US Airways Group, Inc. (US Airways Group) on December 9, 2013. References to “US Airways Group” and “US Airways,” a subsidiary of US Airways Group, represent the entities during the period of time prior to the dissolution of those entities in connection with AAG’s internal corporate restructuring on December 30, 2015. References in this report to “mainline” refer to the operations of American only and exclude regional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5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report or as of the dates indicated in the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8"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1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ITEM 1A. CONDENSED CONSOLIDATED FINANCIAL STATEMENTS OF AMERICAN AIRLINES GROUP INC.</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(In millions, except shares and per share amounts)(Unaudited)</w:t>
      </w:r>
    </w:p>
    <w:p>
      <w:pPr>
        <w:sectPr>
          <w:pgSz w:w="11900" w:h="16838" w:orient="portrait"/>
          <w:cols w:equalWidth="0" w:num="1">
            <w:col w:w="11420"/>
          </w:cols>
          <w:pgMar w:left="240" w:top="576" w:right="239" w:bottom="1440" w:gutter="0" w:footer="0" w:header="0"/>
        </w:sectPr>
      </w:pPr>
    </w:p>
    <w:p>
      <w:pPr>
        <w:spacing w:after="0" w:line="375"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26035</wp:posOffset>
            </wp:positionV>
            <wp:extent cx="1680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6500"/>
        <w:spacing w:after="0"/>
        <w:tabs>
          <w:tab w:leader="none" w:pos="78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26035</wp:posOffset>
            </wp:positionV>
            <wp:extent cx="16808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320"/>
        <w:spacing w:after="0"/>
        <w:tabs>
          <w:tab w:leader="none" w:pos="16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45" w:lineRule="exact"/>
        <w:rPr>
          <w:sz w:val="20"/>
          <w:szCs w:val="20"/>
          <w:color w:val="auto"/>
        </w:rPr>
      </w:pPr>
    </w:p>
    <w:p>
      <w:pPr>
        <w:sectPr>
          <w:pgSz w:w="11900" w:h="16838" w:orient="portrait"/>
          <w:cols w:equalWidth="0" w:num="2">
            <w:col w:w="8580" w:space="340"/>
            <w:col w:w="2500"/>
          </w:cols>
          <w:pgMar w:left="240" w:top="576"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Operating revenues: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2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10,561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10,096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30,714</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29,447</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r>
      <w:tr>
        <w:trPr>
          <w:trHeight w:val="264"/>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1,931</w:t>
            </w:r>
          </w:p>
        </w:tc>
      </w:tr>
      <w:tr>
        <w:trPr>
          <w:trHeight w:val="257"/>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revenues</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11,559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10,965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33,603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32,011</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4,481</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8,928</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4,848</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1,474</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892</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1,255</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Special items, net</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r>
      <w:tr>
        <w:trPr>
          <w:trHeight w:val="264"/>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3,652</w:t>
            </w:r>
          </w:p>
        </w:tc>
      </w:tr>
      <w:tr>
        <w:trPr>
          <w:trHeight w:val="257"/>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9,709</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31,495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28,419</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3,592</w:t>
            </w: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64"/>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r>
      <w:tr>
        <w:trPr>
          <w:trHeight w:val="257"/>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nonoperating expense, net</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2,987</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r>
      <w:tr>
        <w:trPr>
          <w:trHeight w:val="28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1,865</w:t>
            </w:r>
          </w:p>
        </w:tc>
      </w:tr>
      <w:tr>
        <w:trPr>
          <w:trHeight w:val="284"/>
        </w:trPr>
        <w:tc>
          <w:tcPr>
            <w:tcW w:w="6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3.76</w:t>
            </w: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460,526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484,772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465,452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493,164</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461,507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486,625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466,908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495,796</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Cash dividends declared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millions)(Unaudited)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1,865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net of tax:</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retiree medical and other postretirement benefits</w:t>
            </w:r>
          </w:p>
        </w:tc>
        <w:tc>
          <w:tcPr>
            <w:tcW w:w="8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4"/>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1,821</w:t>
            </w:r>
          </w:p>
        </w:tc>
      </w:tr>
      <w:tr>
        <w:trPr>
          <w:trHeight w:val="20"/>
        </w:trPr>
        <w:tc>
          <w:tcPr>
            <w:tcW w:w="6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ASSETS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Current assets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303</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380"/>
              <w:spacing w:after="0"/>
              <w:rPr>
                <w:sz w:val="20"/>
                <w:szCs w:val="20"/>
                <w:color w:val="auto"/>
              </w:rPr>
            </w:pPr>
            <w:r>
              <w:rPr>
                <w:rFonts w:ascii="Arial" w:cs="Arial" w:eastAsia="Arial" w:hAnsi="Arial"/>
                <w:sz w:val="15"/>
                <w:szCs w:val="15"/>
                <w:color w:val="auto"/>
              </w:rPr>
              <w:t>Short-term investments</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4,552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4,771</w:t>
            </w:r>
          </w:p>
        </w:tc>
        <w:tc>
          <w:tcPr>
            <w:tcW w:w="0" w:type="dxa"/>
            <w:vAlign w:val="bottom"/>
          </w:tcPr>
          <w:p>
            <w:pPr>
              <w:spacing w:after="0"/>
              <w:rPr>
                <w:sz w:val="1"/>
                <w:szCs w:val="1"/>
                <w:color w:val="auto"/>
              </w:rPr>
            </w:pPr>
          </w:p>
        </w:tc>
      </w:tr>
      <w:tr>
        <w:trPr>
          <w:trHeight w:val="58"/>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Restricted cash and short-term investments</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318</w:t>
            </w: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2,170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1,752</w:t>
            </w:r>
          </w:p>
        </w:tc>
        <w:tc>
          <w:tcPr>
            <w:tcW w:w="0" w:type="dxa"/>
            <w:vAlign w:val="bottom"/>
          </w:tcPr>
          <w:p>
            <w:pPr>
              <w:spacing w:after="0"/>
              <w:rPr>
                <w:sz w:val="1"/>
                <w:szCs w:val="1"/>
                <w:color w:val="auto"/>
              </w:rPr>
            </w:pPr>
          </w:p>
        </w:tc>
      </w:tr>
      <w:tr>
        <w:trPr>
          <w:trHeight w:val="58"/>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Aircraft fuel, spare parts and supplies, net</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1,359</w:t>
            </w: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380"/>
              <w:spacing w:after="0"/>
              <w:rPr>
                <w:sz w:val="20"/>
                <w:szCs w:val="20"/>
                <w:color w:val="auto"/>
              </w:rPr>
            </w:pPr>
            <w:r>
              <w:rPr>
                <w:rFonts w:ascii="Arial" w:cs="Arial" w:eastAsia="Arial" w:hAnsi="Arial"/>
                <w:sz w:val="15"/>
                <w:szCs w:val="15"/>
                <w:color w:val="auto"/>
              </w:rPr>
              <w:t>Prepaid expenses and other</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743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651</w:t>
            </w:r>
          </w:p>
        </w:tc>
        <w:tc>
          <w:tcPr>
            <w:tcW w:w="0" w:type="dxa"/>
            <w:vAlign w:val="bottom"/>
          </w:tcPr>
          <w:p>
            <w:pPr>
              <w:spacing w:after="0"/>
              <w:rPr>
                <w:sz w:val="1"/>
                <w:szCs w:val="1"/>
                <w:color w:val="auto"/>
              </w:rPr>
            </w:pPr>
          </w:p>
        </w:tc>
      </w:tr>
      <w:tr>
        <w:trPr>
          <w:trHeight w:val="58"/>
        </w:trPr>
        <w:tc>
          <w:tcPr>
            <w:tcW w:w="76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6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current assets</w:t>
            </w: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9,498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9,146</w:t>
            </w: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Operating property and equipment</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Flight equipment</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40,983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40,318</w:t>
            </w: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380"/>
              <w:spacing w:after="0"/>
              <w:rPr>
                <w:sz w:val="20"/>
                <w:szCs w:val="20"/>
                <w:color w:val="auto"/>
              </w:rPr>
            </w:pPr>
            <w:r>
              <w:rPr>
                <w:rFonts w:ascii="Arial" w:cs="Arial" w:eastAsia="Arial" w:hAnsi="Arial"/>
                <w:sz w:val="15"/>
                <w:szCs w:val="15"/>
                <w:color w:val="auto"/>
              </w:rPr>
              <w:t>Ground property and equipment</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9,187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8,267</w:t>
            </w:r>
          </w:p>
        </w:tc>
        <w:tc>
          <w:tcPr>
            <w:tcW w:w="0" w:type="dxa"/>
            <w:vAlign w:val="bottom"/>
          </w:tcPr>
          <w:p>
            <w:pPr>
              <w:spacing w:after="0"/>
              <w:rPr>
                <w:sz w:val="1"/>
                <w:szCs w:val="1"/>
                <w:color w:val="auto"/>
              </w:rPr>
            </w:pPr>
          </w:p>
        </w:tc>
      </w:tr>
      <w:tr>
        <w:trPr>
          <w:trHeight w:val="58"/>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Equipment purchase deposits</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1,330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1,217</w:t>
            </w: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660" w:type="dxa"/>
            <w:vAlign w:val="bottom"/>
          </w:tcPr>
          <w:p>
            <w:pPr>
              <w:ind w:left="720"/>
              <w:spacing w:after="0"/>
              <w:rPr>
                <w:sz w:val="20"/>
                <w:szCs w:val="20"/>
                <w:color w:val="auto"/>
              </w:rPr>
            </w:pPr>
            <w:r>
              <w:rPr>
                <w:rFonts w:ascii="Arial" w:cs="Arial" w:eastAsia="Arial" w:hAnsi="Arial"/>
                <w:sz w:val="15"/>
                <w:szCs w:val="15"/>
                <w:color w:val="auto"/>
              </w:rPr>
              <w:t>Total property and equipment, at cost</w:t>
            </w: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51,500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49,802</w:t>
            </w:r>
          </w:p>
        </w:tc>
        <w:tc>
          <w:tcPr>
            <w:tcW w:w="0" w:type="dxa"/>
            <w:vAlign w:val="bottom"/>
          </w:tcPr>
          <w:p>
            <w:pPr>
              <w:spacing w:after="0"/>
              <w:rPr>
                <w:sz w:val="1"/>
                <w:szCs w:val="1"/>
                <w:color w:val="auto"/>
              </w:rPr>
            </w:pPr>
          </w:p>
        </w:tc>
      </w:tr>
      <w:tr>
        <w:trPr>
          <w:trHeight w:val="58"/>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(17,277)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(15,646)</w:t>
            </w: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660" w:type="dxa"/>
            <w:vAlign w:val="bottom"/>
          </w:tcPr>
          <w:p>
            <w:pPr>
              <w:ind w:left="720"/>
              <w:spacing w:after="0"/>
              <w:rPr>
                <w:sz w:val="20"/>
                <w:szCs w:val="20"/>
                <w:color w:val="auto"/>
              </w:rPr>
            </w:pPr>
            <w:r>
              <w:rPr>
                <w:rFonts w:ascii="Arial" w:cs="Arial" w:eastAsia="Arial" w:hAnsi="Arial"/>
                <w:sz w:val="15"/>
                <w:szCs w:val="15"/>
                <w:color w:val="auto"/>
              </w:rPr>
              <w:t>Total property and equipment, net</w:t>
            </w: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34,223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34,156</w:t>
            </w:r>
          </w:p>
        </w:tc>
        <w:tc>
          <w:tcPr>
            <w:tcW w:w="0" w:type="dxa"/>
            <w:vAlign w:val="bottom"/>
          </w:tcPr>
          <w:p>
            <w:pPr>
              <w:spacing w:after="0"/>
              <w:rPr>
                <w:sz w:val="1"/>
                <w:szCs w:val="1"/>
                <w:color w:val="auto"/>
              </w:rPr>
            </w:pPr>
          </w:p>
        </w:tc>
      </w:tr>
      <w:tr>
        <w:trPr>
          <w:trHeight w:val="58"/>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Other assets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380"/>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4,091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58"/>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Intangibles, net of accumulated amortization of $653 and $622, respectively</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2,147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2,203</w:t>
            </w: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380"/>
              <w:spacing w:after="0"/>
              <w:rPr>
                <w:sz w:val="20"/>
                <w:szCs w:val="20"/>
                <w:color w:val="auto"/>
              </w:rPr>
            </w:pPr>
            <w:r>
              <w:rPr>
                <w:rFonts w:ascii="Arial" w:cs="Arial" w:eastAsia="Arial" w:hAnsi="Arial"/>
                <w:sz w:val="15"/>
                <w:szCs w:val="15"/>
                <w:color w:val="auto"/>
              </w:rPr>
              <w:t>Deferred tax asset</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1,293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1,816</w:t>
            </w:r>
          </w:p>
        </w:tc>
        <w:tc>
          <w:tcPr>
            <w:tcW w:w="0" w:type="dxa"/>
            <w:vAlign w:val="bottom"/>
          </w:tcPr>
          <w:p>
            <w:pPr>
              <w:spacing w:after="0"/>
              <w:rPr>
                <w:sz w:val="1"/>
                <w:szCs w:val="1"/>
                <w:color w:val="auto"/>
              </w:rPr>
            </w:pPr>
          </w:p>
        </w:tc>
      </w:tr>
      <w:tr>
        <w:trPr>
          <w:trHeight w:val="58"/>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assets</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1,383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1,373</w:t>
            </w: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660" w:type="dxa"/>
            <w:vAlign w:val="bottom"/>
          </w:tcPr>
          <w:p>
            <w:pPr>
              <w:ind w:left="720"/>
              <w:spacing w:after="0"/>
              <w:rPr>
                <w:sz w:val="20"/>
                <w:szCs w:val="20"/>
                <w:color w:val="auto"/>
              </w:rPr>
            </w:pPr>
            <w:r>
              <w:rPr>
                <w:rFonts w:ascii="Arial" w:cs="Arial" w:eastAsia="Arial" w:hAnsi="Arial"/>
                <w:sz w:val="15"/>
                <w:szCs w:val="15"/>
                <w:color w:val="auto"/>
              </w:rPr>
              <w:t>Total other assets</w:t>
            </w: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8,914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9,483</w:t>
            </w:r>
          </w:p>
        </w:tc>
        <w:tc>
          <w:tcPr>
            <w:tcW w:w="0" w:type="dxa"/>
            <w:vAlign w:val="bottom"/>
          </w:tcPr>
          <w:p>
            <w:pPr>
              <w:spacing w:after="0"/>
              <w:rPr>
                <w:sz w:val="1"/>
                <w:szCs w:val="1"/>
                <w:color w:val="auto"/>
              </w:rPr>
            </w:pPr>
          </w:p>
        </w:tc>
      </w:tr>
      <w:tr>
        <w:trPr>
          <w:trHeight w:val="58"/>
        </w:trPr>
        <w:tc>
          <w:tcPr>
            <w:tcW w:w="76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76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5"/>
                <w:szCs w:val="15"/>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52,635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52,785</w:t>
            </w:r>
          </w:p>
        </w:tc>
        <w:tc>
          <w:tcPr>
            <w:tcW w:w="0" w:type="dxa"/>
            <w:vAlign w:val="bottom"/>
          </w:tcPr>
          <w:p>
            <w:pPr>
              <w:spacing w:after="0"/>
              <w:rPr>
                <w:sz w:val="1"/>
                <w:szCs w:val="1"/>
                <w:color w:val="auto"/>
              </w:rPr>
            </w:pPr>
          </w:p>
        </w:tc>
      </w:tr>
      <w:tr>
        <w:trPr>
          <w:trHeight w:val="106"/>
        </w:trPr>
        <w:tc>
          <w:tcPr>
            <w:tcW w:w="7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LIABILITIES AND STOCKHOLDERS’ EQUITY (DEFICIT)</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380"/>
              <w:spacing w:after="0"/>
              <w:rPr>
                <w:sz w:val="20"/>
                <w:szCs w:val="20"/>
                <w:color w:val="auto"/>
              </w:rPr>
            </w:pPr>
            <w:r>
              <w:rPr>
                <w:rFonts w:ascii="Arial" w:cs="Arial" w:eastAsia="Arial" w:hAnsi="Arial"/>
                <w:sz w:val="15"/>
                <w:szCs w:val="15"/>
                <w:color w:val="auto"/>
              </w:rPr>
              <w:t>Current maturities of long-term debt and capital leases</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2,493</w:t>
            </w:r>
          </w:p>
        </w:tc>
        <w:tc>
          <w:tcPr>
            <w:tcW w:w="120" w:type="dxa"/>
            <w:vAlign w:val="bottom"/>
          </w:tcPr>
          <w:p>
            <w:pPr>
              <w:spacing w:after="0"/>
              <w:rPr>
                <w:sz w:val="18"/>
                <w:szCs w:val="18"/>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2,554</w:t>
            </w:r>
          </w:p>
        </w:tc>
        <w:tc>
          <w:tcPr>
            <w:tcW w:w="0" w:type="dxa"/>
            <w:vAlign w:val="bottom"/>
          </w:tcPr>
          <w:p>
            <w:pPr>
              <w:spacing w:after="0"/>
              <w:rPr>
                <w:sz w:val="1"/>
                <w:szCs w:val="1"/>
                <w:color w:val="auto"/>
              </w:rPr>
            </w:pPr>
          </w:p>
        </w:tc>
      </w:tr>
      <w:tr>
        <w:trPr>
          <w:trHeight w:val="58"/>
        </w:trPr>
        <w:tc>
          <w:tcPr>
            <w:tcW w:w="76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1,886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1,688</w:t>
            </w: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380"/>
              <w:spacing w:after="0"/>
              <w:rPr>
                <w:sz w:val="20"/>
                <w:szCs w:val="20"/>
                <w:color w:val="auto"/>
              </w:rPr>
            </w:pPr>
            <w:r>
              <w:rPr>
                <w:rFonts w:ascii="Arial" w:cs="Arial" w:eastAsia="Arial" w:hAnsi="Arial"/>
                <w:sz w:val="15"/>
                <w:szCs w:val="15"/>
                <w:color w:val="auto"/>
              </w:rPr>
              <w:t>Accrued salaries and wages</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1,386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1,672</w:t>
            </w:r>
          </w:p>
        </w:tc>
        <w:tc>
          <w:tcPr>
            <w:tcW w:w="0" w:type="dxa"/>
            <w:vAlign w:val="bottom"/>
          </w:tcPr>
          <w:p>
            <w:pPr>
              <w:spacing w:after="0"/>
              <w:rPr>
                <w:sz w:val="1"/>
                <w:szCs w:val="1"/>
                <w:color w:val="auto"/>
              </w:rPr>
            </w:pPr>
          </w:p>
        </w:tc>
      </w:tr>
      <w:tr>
        <w:trPr>
          <w:trHeight w:val="58"/>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Air traffic liability</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5,040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4,042</w:t>
            </w: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380"/>
              <w:spacing w:after="0"/>
              <w:rPr>
                <w:sz w:val="20"/>
                <w:szCs w:val="20"/>
                <w:color w:val="auto"/>
              </w:rPr>
            </w:pPr>
            <w:r>
              <w:rPr>
                <w:rFonts w:ascii="Arial" w:cs="Arial" w:eastAsia="Arial" w:hAnsi="Arial"/>
                <w:sz w:val="15"/>
                <w:szCs w:val="15"/>
                <w:color w:val="auto"/>
              </w:rPr>
              <w:t>Loyalty program liability</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3,242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3,121</w:t>
            </w:r>
          </w:p>
        </w:tc>
        <w:tc>
          <w:tcPr>
            <w:tcW w:w="0" w:type="dxa"/>
            <w:vAlign w:val="bottom"/>
          </w:tcPr>
          <w:p>
            <w:pPr>
              <w:spacing w:after="0"/>
              <w:rPr>
                <w:sz w:val="1"/>
                <w:szCs w:val="1"/>
                <w:color w:val="auto"/>
              </w:rPr>
            </w:pPr>
          </w:p>
        </w:tc>
      </w:tr>
      <w:tr>
        <w:trPr>
          <w:trHeight w:val="58"/>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accrued liabilities</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2,301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2,281</w:t>
            </w: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660" w:type="dxa"/>
            <w:vAlign w:val="bottom"/>
          </w:tcPr>
          <w:p>
            <w:pPr>
              <w:ind w:left="720"/>
              <w:spacing w:after="0"/>
              <w:rPr>
                <w:sz w:val="20"/>
                <w:szCs w:val="20"/>
                <w:color w:val="auto"/>
              </w:rPr>
            </w:pPr>
            <w:r>
              <w:rPr>
                <w:rFonts w:ascii="Arial" w:cs="Arial" w:eastAsia="Arial" w:hAnsi="Arial"/>
                <w:sz w:val="15"/>
                <w:szCs w:val="15"/>
                <w:color w:val="auto"/>
              </w:rPr>
              <w:t>Total current liabilities</w:t>
            </w: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16,348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15,358</w:t>
            </w:r>
          </w:p>
        </w:tc>
        <w:tc>
          <w:tcPr>
            <w:tcW w:w="0" w:type="dxa"/>
            <w:vAlign w:val="bottom"/>
          </w:tcPr>
          <w:p>
            <w:pPr>
              <w:spacing w:after="0"/>
              <w:rPr>
                <w:sz w:val="1"/>
                <w:szCs w:val="1"/>
                <w:color w:val="auto"/>
              </w:rPr>
            </w:pPr>
          </w:p>
        </w:tc>
      </w:tr>
      <w:tr>
        <w:trPr>
          <w:trHeight w:val="58"/>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Noncurrent liabilities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380"/>
              <w:spacing w:after="0"/>
              <w:rPr>
                <w:sz w:val="20"/>
                <w:szCs w:val="20"/>
                <w:color w:val="auto"/>
              </w:rPr>
            </w:pPr>
            <w:r>
              <w:rPr>
                <w:rFonts w:ascii="Arial" w:cs="Arial" w:eastAsia="Arial" w:hAnsi="Arial"/>
                <w:sz w:val="15"/>
                <w:szCs w:val="15"/>
                <w:color w:val="auto"/>
              </w:rPr>
              <w:t>Long-term debt and capital leases, net of current maturities</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22,274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22,511</w:t>
            </w:r>
          </w:p>
        </w:tc>
        <w:tc>
          <w:tcPr>
            <w:tcW w:w="0" w:type="dxa"/>
            <w:vAlign w:val="bottom"/>
          </w:tcPr>
          <w:p>
            <w:pPr>
              <w:spacing w:after="0"/>
              <w:rPr>
                <w:sz w:val="1"/>
                <w:szCs w:val="1"/>
                <w:color w:val="auto"/>
              </w:rPr>
            </w:pPr>
          </w:p>
        </w:tc>
      </w:tr>
      <w:tr>
        <w:trPr>
          <w:trHeight w:val="58"/>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Pension and postretirement benefits</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6,898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7,497</w:t>
            </w: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380"/>
              <w:spacing w:after="0"/>
              <w:rPr>
                <w:sz w:val="20"/>
                <w:szCs w:val="20"/>
                <w:color w:val="auto"/>
              </w:rPr>
            </w:pPr>
            <w:r>
              <w:rPr>
                <w:rFonts w:ascii="Arial" w:cs="Arial" w:eastAsia="Arial" w:hAnsi="Arial"/>
                <w:sz w:val="15"/>
                <w:szCs w:val="15"/>
                <w:color w:val="auto"/>
              </w:rPr>
              <w:t>Loyalty program liability</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5,317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5,701</w:t>
            </w:r>
          </w:p>
        </w:tc>
        <w:tc>
          <w:tcPr>
            <w:tcW w:w="0" w:type="dxa"/>
            <w:vAlign w:val="bottom"/>
          </w:tcPr>
          <w:p>
            <w:pPr>
              <w:spacing w:after="0"/>
              <w:rPr>
                <w:sz w:val="1"/>
                <w:szCs w:val="1"/>
                <w:color w:val="auto"/>
              </w:rPr>
            </w:pPr>
          </w:p>
        </w:tc>
      </w:tr>
      <w:tr>
        <w:trPr>
          <w:trHeight w:val="58"/>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liabilities</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2,366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2,498</w:t>
            </w: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660" w:type="dxa"/>
            <w:vAlign w:val="bottom"/>
          </w:tcPr>
          <w:p>
            <w:pPr>
              <w:ind w:left="720"/>
              <w:spacing w:after="0"/>
              <w:rPr>
                <w:sz w:val="20"/>
                <w:szCs w:val="20"/>
                <w:color w:val="auto"/>
              </w:rPr>
            </w:pPr>
            <w:r>
              <w:rPr>
                <w:rFonts w:ascii="Arial" w:cs="Arial" w:eastAsia="Arial" w:hAnsi="Arial"/>
                <w:sz w:val="15"/>
                <w:szCs w:val="15"/>
                <w:color w:val="auto"/>
              </w:rPr>
              <w:t>Total noncurrent liabilities</w:t>
            </w: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36,855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38,207</w:t>
            </w:r>
          </w:p>
        </w:tc>
        <w:tc>
          <w:tcPr>
            <w:tcW w:w="0" w:type="dxa"/>
            <w:vAlign w:val="bottom"/>
          </w:tcPr>
          <w:p>
            <w:pPr>
              <w:spacing w:after="0"/>
              <w:rPr>
                <w:sz w:val="1"/>
                <w:szCs w:val="1"/>
                <w:color w:val="auto"/>
              </w:rPr>
            </w:pPr>
          </w:p>
        </w:tc>
      </w:tr>
      <w:tr>
        <w:trPr>
          <w:trHeight w:val="58"/>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Stockholders’ equity (deficit)</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Common stock, $0.01 par value; 1,750,000,000 shares authorized, 460,559,470 shares issued and</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outstanding at September 30, 2018; 475,507,887 shares issued and outstanding at December 31, 2017</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8"/>
        </w:trPr>
        <w:tc>
          <w:tcPr>
            <w:tcW w:w="7660" w:type="dxa"/>
            <w:vAlign w:val="bottom"/>
          </w:tcPr>
          <w:p>
            <w:pPr>
              <w:ind w:left="380"/>
              <w:spacing w:after="0"/>
              <w:rPr>
                <w:sz w:val="20"/>
                <w:szCs w:val="20"/>
                <w:color w:val="auto"/>
              </w:rPr>
            </w:pPr>
            <w:r>
              <w:rPr>
                <w:rFonts w:ascii="Arial" w:cs="Arial" w:eastAsia="Arial" w:hAnsi="Arial"/>
                <w:sz w:val="15"/>
                <w:szCs w:val="15"/>
                <w:color w:val="auto"/>
              </w:rPr>
              <w:t>Additional paid-in capital</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4,946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5,714</w:t>
            </w:r>
          </w:p>
        </w:tc>
        <w:tc>
          <w:tcPr>
            <w:tcW w:w="0" w:type="dxa"/>
            <w:vAlign w:val="bottom"/>
          </w:tcPr>
          <w:p>
            <w:pPr>
              <w:spacing w:after="0"/>
              <w:rPr>
                <w:sz w:val="1"/>
                <w:szCs w:val="1"/>
                <w:color w:val="auto"/>
              </w:rPr>
            </w:pPr>
          </w:p>
        </w:tc>
      </w:tr>
      <w:tr>
        <w:trPr>
          <w:trHeight w:val="58"/>
        </w:trPr>
        <w:tc>
          <w:tcPr>
            <w:tcW w:w="7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Accumulated other comprehensive loss</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(5,154)</w:t>
            </w: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380"/>
              <w:spacing w:after="0"/>
              <w:rPr>
                <w:sz w:val="20"/>
                <w:szCs w:val="20"/>
                <w:color w:val="auto"/>
              </w:rPr>
            </w:pPr>
            <w:r>
              <w:rPr>
                <w:rFonts w:ascii="Arial" w:cs="Arial" w:eastAsia="Arial" w:hAnsi="Arial"/>
                <w:sz w:val="15"/>
                <w:szCs w:val="15"/>
                <w:color w:val="auto"/>
              </w:rPr>
              <w:t>Accumulated deficit</w:t>
            </w:r>
          </w:p>
        </w:tc>
        <w:tc>
          <w:tcPr>
            <w:tcW w:w="180" w:type="dxa"/>
            <w:vAlign w:val="bottom"/>
          </w:tcPr>
          <w:p>
            <w:pPr>
              <w:spacing w:after="0"/>
              <w:rPr>
                <w:sz w:val="18"/>
                <w:szCs w:val="18"/>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(316)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(1,345)</w:t>
            </w:r>
          </w:p>
        </w:tc>
        <w:tc>
          <w:tcPr>
            <w:tcW w:w="0" w:type="dxa"/>
            <w:vAlign w:val="bottom"/>
          </w:tcPr>
          <w:p>
            <w:pPr>
              <w:spacing w:after="0"/>
              <w:rPr>
                <w:sz w:val="1"/>
                <w:szCs w:val="1"/>
                <w:color w:val="auto"/>
              </w:rPr>
            </w:pPr>
          </w:p>
        </w:tc>
      </w:tr>
      <w:tr>
        <w:trPr>
          <w:trHeight w:val="58"/>
        </w:trPr>
        <w:tc>
          <w:tcPr>
            <w:tcW w:w="76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6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stockholders’ deficit</w:t>
            </w: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(780)</w:t>
            </w:r>
          </w:p>
        </w:tc>
        <w:tc>
          <w:tcPr>
            <w:tcW w:w="0" w:type="dxa"/>
            <w:vAlign w:val="bottom"/>
          </w:tcPr>
          <w:p>
            <w:pPr>
              <w:spacing w:after="0"/>
              <w:rPr>
                <w:sz w:val="1"/>
                <w:szCs w:val="1"/>
                <w:color w:val="auto"/>
              </w:rPr>
            </w:pPr>
          </w:p>
        </w:tc>
      </w:tr>
      <w:tr>
        <w:trPr>
          <w:trHeight w:val="62"/>
        </w:trPr>
        <w:tc>
          <w:tcPr>
            <w:tcW w:w="76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7660" w:type="dxa"/>
            <w:vAlign w:val="bottom"/>
          </w:tcPr>
          <w:p>
            <w:pPr>
              <w:ind w:left="104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52,635</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52,785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76" w:right="239" w:bottom="58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6" w:right="239" w:bottom="584"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3540" w:type="dxa"/>
            <w:vAlign w:val="bottom"/>
            <w:tcBorders>
              <w:bottom w:val="single" w:sz="8" w:color="auto"/>
            </w:tcBorders>
            <w:gridSpan w:val="5"/>
          </w:tcPr>
          <w:p>
            <w:pPr>
              <w:jc w:val="right"/>
              <w:ind w:right="49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2120" w:type="dxa"/>
            <w:vAlign w:val="bottom"/>
            <w:tcBorders>
              <w:bottom w:val="single" w:sz="8" w:color="CCEEFF"/>
            </w:tcBorders>
          </w:tcPr>
          <w:p>
            <w:pPr>
              <w:spacing w:after="0"/>
              <w:rPr>
                <w:sz w:val="22"/>
                <w:szCs w:val="22"/>
                <w:color w:val="auto"/>
              </w:rPr>
            </w:pPr>
          </w:p>
        </w:tc>
        <w:tc>
          <w:tcPr>
            <w:tcW w:w="57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r>
      <w:tr>
        <w:trPr>
          <w:trHeight w:val="25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4,307</w:t>
            </w: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21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Capital expenditures and aircraft purchase deposits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Proceeds from sale of property and equipment and sale-leaseback transactions</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831</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Purchases of short-term investments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Sales of short-term investments</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4,714</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Decrease in restricted short-term investments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Purchase of equity investment</w:t>
            </w:r>
          </w:p>
        </w:tc>
        <w:tc>
          <w:tcPr>
            <w:tcW w:w="10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10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gridSpan w:val="2"/>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(3,079)</w:t>
            </w:r>
          </w:p>
        </w:tc>
      </w:tr>
      <w:tr>
        <w:trPr>
          <w:trHeight w:val="257"/>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2,160</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Payments on long-term debt and capital leases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Deferred financing costs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Treasury stock repurchases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Dividend payments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Other financing activities</w:t>
            </w:r>
          </w:p>
        </w:tc>
        <w:tc>
          <w:tcPr>
            <w:tcW w:w="10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44"/>
        </w:trPr>
        <w:tc>
          <w:tcPr>
            <w:tcW w:w="788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r>
      <w:tr>
        <w:trPr>
          <w:trHeight w:val="257"/>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restricted cash</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64"/>
        </w:trPr>
        <w:tc>
          <w:tcPr>
            <w:tcW w:w="78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restricted cash at beginning of period</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436</w:t>
            </w:r>
          </w:p>
        </w:tc>
      </w:tr>
      <w:tr>
        <w:trPr>
          <w:trHeight w:val="257"/>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1"/>
                <w:szCs w:val="21"/>
                <w:color w:val="auto"/>
                <w:vertAlign w:val="superscript"/>
              </w:rPr>
              <w:t>(a)</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r>
      <w:tr>
        <w:trPr>
          <w:trHeight w:val="20"/>
        </w:trPr>
        <w:tc>
          <w:tcPr>
            <w:tcW w:w="21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212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Supplemental information: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Interest paid, net</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778</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57"/>
        </w:trPr>
        <w:tc>
          <w:tcPr>
            <w:tcW w:w="2120" w:type="dxa"/>
            <w:vAlign w:val="bottom"/>
            <w:tcBorders>
              <w:bottom w:val="single" w:sz="8" w:color="auto"/>
            </w:tcBorders>
          </w:tcPr>
          <w:p>
            <w:pPr>
              <w:spacing w:after="0"/>
              <w:rPr>
                <w:sz w:val="22"/>
                <w:szCs w:val="22"/>
                <w:color w:val="auto"/>
              </w:rPr>
            </w:pPr>
          </w:p>
        </w:tc>
        <w:tc>
          <w:tcPr>
            <w:tcW w:w="57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bl>
    <w:p>
      <w:pPr>
        <w:spacing w:after="0" w:line="296" w:lineRule="exact"/>
        <w:rPr>
          <w:sz w:val="20"/>
          <w:szCs w:val="20"/>
          <w:color w:val="auto"/>
        </w:rPr>
      </w:pPr>
    </w:p>
    <w:p>
      <w:pPr>
        <w:ind w:left="180" w:hanging="172"/>
        <w:spacing w:after="0" w:line="225" w:lineRule="auto"/>
        <w:tabs>
          <w:tab w:leader="none" w:pos="193" w:val="left"/>
        </w:tabs>
        <w:numPr>
          <w:ilvl w:val="0"/>
          <w:numId w:val="2"/>
        </w:numPr>
        <w:rPr>
          <w:rFonts w:ascii="Arial" w:cs="Arial" w:eastAsia="Arial" w:hAnsi="Arial"/>
          <w:sz w:val="22"/>
          <w:szCs w:val="22"/>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64"/>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r>
      <w:tr>
        <w:trPr>
          <w:trHeight w:val="257"/>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r>
      <w:tr>
        <w:trPr>
          <w:trHeight w:val="20"/>
        </w:trPr>
        <w:tc>
          <w:tcPr>
            <w:tcW w:w="7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4" w:right="239" w:bottom="1440" w:gutter="0" w:footer="0" w:header="0"/>
        </w:sectPr>
      </w:pPr>
    </w:p>
    <w:bookmarkStart w:id="8" w:name="page9"/>
    <w:bookmarkEnd w:id="8"/>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Recent Accounting Pronouncements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 Basis of Presentation</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2017.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On December 9, 2013, a subsidiary of AMR Corporation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On December 30, 2015, in order to simplify AAG’s internal corporate structure, US Airways Group merged with and into AAG, with AAG as the surviving corporation. Immediately thereafter, US Airways, Inc. (US Airways), a wholly-owned subsidiary of US Airways Group, merged with and into American, with American as the surviving corporation.</w:t>
      </w:r>
    </w:p>
    <w:p>
      <w:pPr>
        <w:spacing w:after="0" w:line="1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valuation allowance for deferred tax assets, as well as pension and retiree medical and other postretirement benefits.</w:t>
      </w:r>
    </w:p>
    <w:p>
      <w:pPr>
        <w:spacing w:after="0" w:line="212" w:lineRule="exact"/>
        <w:rPr>
          <w:sz w:val="20"/>
          <w:szCs w:val="20"/>
          <w:color w:val="auto"/>
        </w:rPr>
      </w:pPr>
    </w:p>
    <w:p>
      <w:pPr>
        <w:ind w:left="220" w:right="7440" w:firstLine="4"/>
        <w:spacing w:after="0" w:line="378" w:lineRule="auto"/>
        <w:tabs>
          <w:tab w:leader="none" w:pos="5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i w:val="1"/>
          <w:iCs w:val="1"/>
          <w:u w:val="single" w:color="auto"/>
          <w:color w:val="auto"/>
        </w:rPr>
        <w:t>Standards Effective for 2018 Reporting Periods</w:t>
      </w:r>
    </w:p>
    <w:p>
      <w:pPr>
        <w:ind w:left="220"/>
        <w:spacing w:after="0"/>
        <w:rPr>
          <w:rFonts w:ascii="Arial" w:cs="Arial" w:eastAsia="Arial" w:hAnsi="Arial"/>
          <w:sz w:val="17"/>
          <w:szCs w:val="17"/>
          <w:b w:val="1"/>
          <w:bCs w:val="1"/>
          <w:color w:val="auto"/>
        </w:rPr>
      </w:pPr>
      <w:r>
        <w:rPr>
          <w:rFonts w:ascii="Arial" w:cs="Arial" w:eastAsia="Arial" w:hAnsi="Arial"/>
          <w:sz w:val="18"/>
          <w:szCs w:val="18"/>
          <w:color w:val="auto"/>
        </w:rPr>
        <w:t>Effective January 1, 2018, we adopted the accounting pronouncements described below.</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2014-09: Revenue from Contracts with Customers (Topic 606) (the New Revenue Standard)</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New Revenue Standard applies to all companies that enter into contracts with customers to transfer goods or services. We adopted the New Revenue Standard using the full retrospective method, which resulted in the recast of prior reporting periods.</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adoption of the New Revenue Standard impacted our accounting for outstanding mileage credits earned through travel by AAdvantage loyalty program members. There was no change in accounting for sales of mileage credits to co-branded card or other partners. Prior to the adoption of the New Revenue Standard, we used the incremental cost method to account for the portion of our loyalty program liability related to mileage credits earned through travel, which were valued based on the estimated incremental cost of carrying one additional passenger. The New Revenue Standard required us to change our policy to the deferred revenue method and apply a relative selling price approach whereby a portion of each passenger ticket sale attributable to mileage credits earned is deferred and recognized in passenger revenue upon future mileage redemption. The value of the earned mileage credits is materially greater under the deferred revenue method than the value attributed to these mileage credits under the incremental cost method.</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New Revenue Standard also required certain reclassifications, principally the reclassification of certain ancillary revenues previously classified and reported as other revenue to passenger revenue and as applicable to cargo revenue. Additionally, the New Revenue Standard required a gross presentation on the face of our condensed consolidated statement of operations for certain revenues and expenses that had previously been presented on a net basis.</w:t>
      </w:r>
    </w:p>
    <w:p>
      <w:pPr>
        <w:spacing w:after="0" w:line="150" w:lineRule="exact"/>
        <w:rPr>
          <w:sz w:val="20"/>
          <w:szCs w:val="20"/>
          <w:color w:val="auto"/>
        </w:rPr>
      </w:pPr>
    </w:p>
    <w:p>
      <w:pPr>
        <w:jc w:val="both"/>
        <w:ind w:firstLine="230"/>
        <w:spacing w:after="0" w:line="262" w:lineRule="auto"/>
        <w:rPr>
          <w:sz w:val="20"/>
          <w:szCs w:val="20"/>
          <w:color w:val="auto"/>
        </w:rPr>
      </w:pPr>
      <w:r>
        <w:rPr>
          <w:rFonts w:ascii="Arial" w:cs="Arial" w:eastAsia="Arial" w:hAnsi="Arial"/>
          <w:sz w:val="18"/>
          <w:szCs w:val="18"/>
          <w:color w:val="auto"/>
        </w:rPr>
        <w:t>See recast condensed consolidated statement of operations data for the three and nine months ended September 30, 2017 and recast consolidated balance sheet data as of December 31, 2017 presented below for the effects of adoption.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6" w:right="239" w:bottom="1440" w:gutter="0" w:footer="0" w:header="0"/>
        </w:sectPr>
      </w:pPr>
    </w:p>
    <w:bookmarkStart w:id="9" w:name="page10"/>
    <w:bookmarkEnd w:id="9"/>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ASU 2017-07: Compensation - Retirement Benefits (Topic 715): Improving the Presentation of Net Periodic Pension Cost and Net Periodic Postretirement Benefit Cost (the New Retirement Standard)</w:t>
      </w:r>
    </w:p>
    <w:p>
      <w:pPr>
        <w:spacing w:after="0" w:line="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New Retirement Standard required all components of our net periodic benefit cost (income), with the exception of service cost, previously reported within operating expenses as salaries, wages and benefits, to be reclassified and reported within nonoperating income (expense). The New Retirement Standard was applied retrospectively, which resulted in the recast of each prior reporting period presented. The adoption of the New Retirement Standard had no impact on pre-tax income or net income reported.</w:t>
      </w:r>
    </w:p>
    <w:p>
      <w:pPr>
        <w:spacing w:after="0" w:line="150" w:lineRule="exact"/>
        <w:rPr>
          <w:sz w:val="20"/>
          <w:szCs w:val="20"/>
          <w:color w:val="auto"/>
        </w:rPr>
      </w:pPr>
    </w:p>
    <w:p>
      <w:pPr>
        <w:jc w:val="both"/>
        <w:ind w:firstLine="230"/>
        <w:spacing w:after="0" w:line="262" w:lineRule="auto"/>
        <w:rPr>
          <w:sz w:val="20"/>
          <w:szCs w:val="20"/>
          <w:color w:val="auto"/>
        </w:rPr>
      </w:pPr>
      <w:r>
        <w:rPr>
          <w:rFonts w:ascii="Arial" w:cs="Arial" w:eastAsia="Arial" w:hAnsi="Arial"/>
          <w:sz w:val="18"/>
          <w:szCs w:val="18"/>
          <w:color w:val="auto"/>
        </w:rPr>
        <w:t>See recast condensed consolidated statement of operations data for the three and nine months ended September 30, 2017 presented below for the effects of adoption.</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2016-01: Financial Instruments - Overall (Subtopic 825-10)</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This ASU made several modifications to Subtopic 825-10, including the elimination of the available-for-sale classification of equity investments, and it required equity investments with readily determinable fair values to be measured at fair value with changes in fair value recognized in net income. This standard was adopted prospectively as of January 1, 2018 and resulted in a $77 million cumulative effect adjustment credit to retained earnings related to our investment in China Southern Airlines Company Limited (China Southern Airlines), which was previously accounted for under the cost method.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ASU 2016-18: Statement of Cash Flows (Topic 230): Restricted Cash</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This ASU required that the change in total cash, cash at beginning of period and cash at end of period on the statement of cash flows include restricted cash and also requires companies who report cash and restricted cash separately on the balance sheet to reconcile those amounts to the statement of cash flows. This standard was applied retrospectively, which resulted in the recast of the prior reporting period in the statement of cash flows. For the nine months ended September 30, 2018 and 2017, $11 million and $104 million, respectively, of restricted cash is included in the total of cash and restricted cash balance at the end of period. A reconciliation of cash and restricted cash from our condensed consolidated statement of cash flows to the amounts reported within our condensed consolidated balance sheet is also included in a table below our condensed consolidated statement of cash flows.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Impacts to Prior Period Results</w:t>
      </w:r>
    </w:p>
    <w:p>
      <w:pPr>
        <w:spacing w:after="0" w:line="11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effects of adoption of the New Revenue Standard and New Retirement Standard to our condensed consolidated statement of operations for the three and nine months ended September 30, 2017 were as follows (in millions,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New Retirement</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New Revenue Standard</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Standard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4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52"/>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Ancillary Revenue</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Versus Net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 Method</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Presentation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As Recast</w:t>
            </w:r>
          </w:p>
        </w:tc>
        <w:tc>
          <w:tcPr>
            <w:tcW w:w="0" w:type="dxa"/>
            <w:vAlign w:val="bottom"/>
          </w:tcPr>
          <w:p>
            <w:pPr>
              <w:spacing w:after="0"/>
              <w:rPr>
                <w:sz w:val="1"/>
                <w:szCs w:val="1"/>
                <w:color w:val="auto"/>
              </w:rPr>
            </w:pPr>
          </w:p>
        </w:tc>
      </w:tr>
      <w:tr>
        <w:trPr>
          <w:trHeight w:val="256"/>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Passenger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9,377</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70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263"/>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10,878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10,965</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9,646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29"/>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Total nonoperating expense,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624</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7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 earnings per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840" w:type="dxa"/>
            <w:vAlign w:val="bottom"/>
            <w:gridSpan w:val="2"/>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2"/>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common share</w:t>
            </w:r>
          </w:p>
        </w:tc>
        <w:tc>
          <w:tcPr>
            <w:tcW w:w="1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gridSpan w:val="2"/>
            <w:vMerge w:val="restart"/>
          </w:tcPr>
          <w:p>
            <w:pPr>
              <w:jc w:val="right"/>
              <w:ind w:right="348"/>
              <w:spacing w:after="0"/>
              <w:rPr>
                <w:sz w:val="20"/>
                <w:szCs w:val="20"/>
                <w:color w:val="auto"/>
              </w:rPr>
            </w:pPr>
            <w:r>
              <w:rPr>
                <w:rFonts w:ascii="Arial" w:cs="Arial" w:eastAsia="Arial" w:hAnsi="Arial"/>
                <w:sz w:val="18"/>
                <w:szCs w:val="18"/>
                <w:color w:val="auto"/>
              </w:rPr>
              <w:t>9</w:t>
            </w: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10" w:name="page11"/>
    <w:bookmarkEnd w:id="10"/>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New Retirement</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New Revenue Standard</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Standard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4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52"/>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Ancillary Revenue</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Versus Net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 Method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Presentation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As Recast</w:t>
            </w:r>
          </w:p>
        </w:tc>
        <w:tc>
          <w:tcPr>
            <w:tcW w:w="0" w:type="dxa"/>
            <w:vAlign w:val="bottom"/>
          </w:tcPr>
          <w:p>
            <w:pPr>
              <w:spacing w:after="0"/>
              <w:rPr>
                <w:sz w:val="1"/>
                <w:szCs w:val="1"/>
                <w:color w:val="auto"/>
              </w:rPr>
            </w:pPr>
          </w:p>
        </w:tc>
      </w:tr>
      <w:tr>
        <w:trPr>
          <w:trHeight w:val="256"/>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Passenger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27,114</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29,447</w:t>
            </w:r>
          </w:p>
        </w:tc>
        <w:tc>
          <w:tcPr>
            <w:tcW w:w="0" w:type="dxa"/>
            <w:vAlign w:val="bottom"/>
          </w:tcPr>
          <w:p>
            <w:pPr>
              <w:spacing w:after="0"/>
              <w:rPr>
                <w:sz w:val="1"/>
                <w:szCs w:val="1"/>
                <w:color w:val="auto"/>
              </w:rPr>
            </w:pPr>
          </w:p>
        </w:tc>
      </w:tr>
      <w:tr>
        <w:trPr>
          <w:trHeight w:val="263"/>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3,924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31,606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32,011</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28,238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28,419</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29"/>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Total nonoperating expense,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1,661</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 earnings per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840" w:type="dxa"/>
            <w:vAlign w:val="bottom"/>
            <w:gridSpan w:val="2"/>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2"/>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common share</w:t>
            </w:r>
          </w:p>
        </w:tc>
        <w:tc>
          <w:tcPr>
            <w:tcW w:w="1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effects of adoption of the New Revenue Standard to our December 31, 2017 consolidated balance sheet are as follows (in millions):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Reported</w:t>
            </w:r>
          </w:p>
        </w:tc>
        <w:tc>
          <w:tcPr>
            <w:tcW w:w="1940" w:type="dxa"/>
            <w:vAlign w:val="bottom"/>
            <w:gridSpan w:val="3"/>
          </w:tcPr>
          <w:p>
            <w:pPr>
              <w:ind w:left="120"/>
              <w:spacing w:after="0"/>
              <w:rPr>
                <w:sz w:val="20"/>
                <w:szCs w:val="20"/>
                <w:color w:val="auto"/>
              </w:rPr>
            </w:pPr>
            <w:r>
              <w:rPr>
                <w:rFonts w:ascii="Arial" w:cs="Arial" w:eastAsia="Arial" w:hAnsi="Arial"/>
                <w:sz w:val="14"/>
                <w:szCs w:val="14"/>
                <w:b w:val="1"/>
                <w:bCs w:val="1"/>
                <w:color w:val="auto"/>
              </w:rPr>
              <w:t>New Revenue Standard</w:t>
            </w:r>
          </w:p>
        </w:tc>
        <w:tc>
          <w:tcPr>
            <w:tcW w:w="360" w:type="dxa"/>
            <w:vAlign w:val="bottom"/>
          </w:tcPr>
          <w:p>
            <w:pPr>
              <w:spacing w:after="0"/>
              <w:rPr>
                <w:sz w:val="17"/>
                <w:szCs w:val="17"/>
                <w:color w:val="auto"/>
              </w:rPr>
            </w:pPr>
          </w:p>
        </w:tc>
        <w:tc>
          <w:tcPr>
            <w:tcW w:w="1480" w:type="dxa"/>
            <w:vAlign w:val="bottom"/>
          </w:tcPr>
          <w:p>
            <w:pPr>
              <w:jc w:val="right"/>
              <w:ind w:right="493"/>
              <w:spacing w:after="0"/>
              <w:rPr>
                <w:sz w:val="20"/>
                <w:szCs w:val="20"/>
                <w:color w:val="auto"/>
              </w:rPr>
            </w:pPr>
            <w:r>
              <w:rPr>
                <w:rFonts w:ascii="Arial" w:cs="Arial" w:eastAsia="Arial" w:hAnsi="Arial"/>
                <w:sz w:val="14"/>
                <w:szCs w:val="14"/>
                <w:b w:val="1"/>
                <w:bCs w:val="1"/>
                <w:color w:val="auto"/>
              </w:rPr>
              <w:t>As Recast</w:t>
            </w:r>
          </w:p>
        </w:tc>
      </w:tr>
      <w:tr>
        <w:trPr>
          <w:trHeight w:val="256"/>
        </w:trPr>
        <w:tc>
          <w:tcPr>
            <w:tcW w:w="5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427</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1,389</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1,816</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Air traffic liability</w:t>
            </w:r>
          </w:p>
        </w:tc>
        <w:tc>
          <w:tcPr>
            <w:tcW w:w="300" w:type="dxa"/>
            <w:vAlign w:val="bottom"/>
          </w:tcPr>
          <w:p>
            <w:pPr>
              <w:spacing w:after="0"/>
              <w:rPr>
                <w:sz w:val="22"/>
                <w:szCs w:val="22"/>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4,042</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loyalty program liability</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3,121</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Noncurrent loyalty program liability</w:t>
            </w:r>
          </w:p>
        </w:tc>
        <w:tc>
          <w:tcPr>
            <w:tcW w:w="30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5,701</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 (deficit)</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3,926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bl>
    <w:p>
      <w:pPr>
        <w:spacing w:after="0" w:line="38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Standards Effective for 2019 Reporting Periods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2016-02: Leases (Topic 842) (the New Lease Standard)</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New Lease Standard requires lessees to recognize a lease liability and a right-of-use asset on the balance sheet and aligns many of the underlying principles of the new lessor model with those in the New Revenue Standard. The New Lease Standard is effective for fiscal years beginning after December 15, 2018, including interim periods within those fiscal years. Early adoption is permitted. In July 2018, the FASB issued ASU 2018-11, "Leases (Topic 842) - Targeted Improvements," which provides entities an optional transition method to apply the New Lease Standard prospectively at the date of adoption instead of recasting prior reporting periods. If this optional transition method is elected, an entity would recognize a cumulative-effect adjustment to the opening balance of retained earnings in the period of adoption.</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will adopt the New Lease Standard effective January 1, 2019. We are currently evaluating how the adoption of the New Lease Standard will impact our consolidated financial statements. Interpretations are on-going and could have a material impact on our implementation of the New Lease Standard. Currently, we expect that the adoption of the New Lease Standard will have a material impact on our consolidated balance sheet due to the recognition of right-of-use assets and lease liabilities principally for certain leases currently accounted for as operating leases.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3" w:right="239" w:bottom="1440" w:gutter="0" w:footer="0" w:header="0"/>
        </w:sectPr>
      </w:pPr>
    </w:p>
    <w:bookmarkStart w:id="11" w:name="page12"/>
    <w:bookmarkEnd w:id="11"/>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216"/>
        <w:spacing w:after="0" w:line="287" w:lineRule="auto"/>
        <w:rPr>
          <w:sz w:val="20"/>
          <w:szCs w:val="20"/>
          <w:color w:val="auto"/>
        </w:rPr>
      </w:pPr>
      <w:r>
        <w:rPr>
          <w:rFonts w:ascii="Arial" w:cs="Arial" w:eastAsia="Arial" w:hAnsi="Arial"/>
          <w:sz w:val="18"/>
          <w:szCs w:val="18"/>
          <w:b w:val="1"/>
          <w:bCs w:val="1"/>
          <w:i w:val="1"/>
          <w:iCs w:val="1"/>
          <w:color w:val="auto"/>
        </w:rPr>
        <w:t>ASU 2018-02: Income Statement - Reporting Comprehensive Income (Topic 220): Reclassification of Certain Tax Effects from Accumulated Other Comprehensive Income</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This ASU provides financial statement preparers with an option to reclassify stranded tax effects within accumulated other comprehensive income to retained earnings due to the U.S. federal corporate income tax rate change as a result of H.R. 1, the 2017 Tax Cuts and Jobs Act (the 2017 Tax Act). The amount of the reclassification is the difference between the amount initially charged or credited directly to other comprehensive income at the previously enacted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and early adoption is permitted. We expect we will adopt this standard effective January 1, 2019. The adoption of the standard may impact tax amounts stranded in accumulated other comprehensive income related to our pension and retiree medical and other postretirement benefit plans.</w:t>
      </w:r>
    </w:p>
    <w:p>
      <w:pPr>
        <w:spacing w:after="0" w:line="218"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Special items, net in the condensed consolidated statements of operations consisted of the following expenses (income)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318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292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56"/>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98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192</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98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9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(5)</w:t>
            </w:r>
          </w:p>
        </w:tc>
        <w:tc>
          <w:tcPr>
            <w:tcW w:w="9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Labor contract expenses</w:t>
            </w:r>
          </w:p>
        </w:tc>
        <w:tc>
          <w:tcPr>
            <w:tcW w:w="9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64"/>
        </w:trPr>
        <w:tc>
          <w:tcPr>
            <w:tcW w:w="5040" w:type="dxa"/>
            <w:vAlign w:val="bottom"/>
          </w:tcPr>
          <w:p>
            <w:pPr>
              <w:ind w:left="40"/>
              <w:spacing w:after="0"/>
              <w:rPr>
                <w:sz w:val="20"/>
                <w:szCs w:val="20"/>
                <w:color w:val="auto"/>
              </w:rPr>
            </w:pPr>
            <w:r>
              <w:rPr>
                <w:rFonts w:ascii="Arial" w:cs="Arial" w:eastAsia="Arial" w:hAnsi="Arial"/>
                <w:sz w:val="18"/>
                <w:szCs w:val="18"/>
                <w:color w:val="auto"/>
              </w:rPr>
              <w:t>Other operating charges, net</w:t>
            </w:r>
          </w:p>
        </w:tc>
        <w:tc>
          <w:tcPr>
            <w:tcW w:w="980" w:type="dxa"/>
            <w:vAlign w:val="bottom"/>
          </w:tcPr>
          <w:p>
            <w:pPr>
              <w:spacing w:after="0"/>
              <w:rPr>
                <w:sz w:val="22"/>
                <w:szCs w:val="22"/>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57"/>
        </w:trPr>
        <w:tc>
          <w:tcPr>
            <w:tcW w:w="50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Mainline operating special items, net</w:t>
            </w:r>
          </w:p>
        </w:tc>
        <w:tc>
          <w:tcPr>
            <w:tcW w:w="98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563</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r>
      <w:tr>
        <w:trPr>
          <w:trHeight w:val="284"/>
        </w:trPr>
        <w:tc>
          <w:tcPr>
            <w:tcW w:w="5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Regional operating special items, net</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1"/>
                <w:szCs w:val="21"/>
                <w:color w:val="auto"/>
                <w:vertAlign w:val="superscript"/>
              </w:rPr>
              <w:t>(6)</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5040" w:type="dxa"/>
            <w:vAlign w:val="bottom"/>
          </w:tcPr>
          <w:p>
            <w:pPr>
              <w:ind w:left="40"/>
              <w:spacing w:after="0"/>
              <w:rPr>
                <w:sz w:val="20"/>
                <w:szCs w:val="20"/>
                <w:color w:val="auto"/>
              </w:rPr>
            </w:pPr>
            <w:r>
              <w:rPr>
                <w:rFonts w:ascii="Arial" w:cs="Arial" w:eastAsia="Arial" w:hAnsi="Arial"/>
                <w:sz w:val="18"/>
                <w:szCs w:val="18"/>
                <w:color w:val="auto"/>
              </w:rPr>
              <w:t>Debt refinancing and extinguishment charges</w:t>
            </w:r>
          </w:p>
        </w:tc>
        <w:tc>
          <w:tcPr>
            <w:tcW w:w="9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57"/>
        </w:trPr>
        <w:tc>
          <w:tcPr>
            <w:tcW w:w="50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Nonoperating special items, net</w:t>
            </w:r>
          </w:p>
        </w:tc>
        <w:tc>
          <w:tcPr>
            <w:tcW w:w="98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324"/>
        </w:trPr>
        <w:tc>
          <w:tcPr>
            <w:tcW w:w="5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1"/>
                <w:szCs w:val="21"/>
                <w:color w:val="auto"/>
                <w:vertAlign w:val="superscript"/>
              </w:rPr>
              <w:t>(7)</w:t>
            </w:r>
          </w:p>
        </w:tc>
        <w:tc>
          <w:tcPr>
            <w:tcW w:w="9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337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00" w:hanging="330"/>
        <w:spacing w:after="0" w:line="225" w:lineRule="auto"/>
        <w:tabs>
          <w:tab w:leader="none" w:pos="50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remaining lease payments for aircraft and related equipment grounded or expected to be grounded earlier than planned.</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our integration projects, principally our flight attendant, human resources and payroll, and technical operations integrations.</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Severance expenses primarily included costs associated with reductions in headcount of management and support staff team members.</w:t>
      </w:r>
    </w:p>
    <w:p>
      <w:pPr>
        <w:spacing w:after="0" w:line="161"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will ultimately be settled in shares of our common stock. Accordingly, fluctuations in our stock price result in mark-to-market adjustments to these obligations.</w:t>
      </w:r>
    </w:p>
    <w:p>
      <w:pPr>
        <w:spacing w:after="0" w:line="163"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our Brazil route authority as a result of ratification of the U.S.-Brazil open skies agreement.</w:t>
      </w:r>
    </w:p>
    <w:p>
      <w:pPr>
        <w:sectPr>
          <w:pgSz w:w="11900" w:h="16838" w:orient="portrait"/>
          <w:cols w:equalWidth="0" w:num="1">
            <w:col w:w="11420"/>
          </w:cols>
          <w:pgMar w:left="240" w:top="333" w:right="239"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333" w:right="239" w:bottom="1440" w:gutter="0" w:footer="0" w:header="0"/>
          <w:type w:val="continuous"/>
        </w:sectPr>
      </w:pPr>
    </w:p>
    <w:bookmarkStart w:id="12" w:name="page13"/>
    <w:bookmarkEnd w:id="12"/>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80" w:lineRule="exact"/>
        <w:rPr>
          <w:sz w:val="20"/>
          <w:szCs w:val="20"/>
          <w:color w:val="auto"/>
        </w:rPr>
      </w:pPr>
    </w:p>
    <w:p>
      <w:pPr>
        <w:ind w:left="500" w:hanging="330"/>
        <w:spacing w:after="0" w:line="225" w:lineRule="auto"/>
        <w:tabs>
          <w:tab w:leader="none" w:pos="500" w:val="left"/>
        </w:tabs>
        <w:numPr>
          <w:ilvl w:val="1"/>
          <w:numId w:val="6"/>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investments relate to net unrealized losses resulting from the change in market value primarily associated with our equity investments in China Southern Airlines and Mesa Air Group, Inc.</w:t>
      </w:r>
    </w:p>
    <w:p>
      <w:pPr>
        <w:spacing w:after="0" w:line="163"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1"/>
          <w:numId w:val="6"/>
        </w:numPr>
        <w:rPr>
          <w:rFonts w:ascii="Arial" w:cs="Arial" w:eastAsia="Arial" w:hAnsi="Arial"/>
          <w:sz w:val="22"/>
          <w:szCs w:val="22"/>
          <w:color w:val="auto"/>
          <w:vertAlign w:val="superscript"/>
        </w:rPr>
      </w:pPr>
      <w:r>
        <w:rPr>
          <w:rFonts w:ascii="Arial" w:cs="Arial" w:eastAsia="Arial" w:hAnsi="Arial"/>
          <w:sz w:val="18"/>
          <w:szCs w:val="18"/>
          <w:color w:val="auto"/>
        </w:rPr>
        <w:t>Income tax special items for the nine months ended September 30, 2018 included a $22 million charge to income tax expense to establish a required valuation allowance related to our estimated refund for Alternative Minimum Tax (AMT) credits and an $18 million charge related to an international income tax matter.</w:t>
      </w:r>
    </w:p>
    <w:p>
      <w:pPr>
        <w:spacing w:after="0" w:line="221" w:lineRule="exact"/>
        <w:rPr>
          <w:rFonts w:ascii="Arial" w:cs="Arial" w:eastAsia="Arial" w:hAnsi="Arial"/>
          <w:sz w:val="22"/>
          <w:szCs w:val="22"/>
          <w:color w:val="auto"/>
          <w:vertAlign w:val="superscript"/>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 (EPS) (in millions, except share and 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amounts):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1,865</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(in thousands)</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460,526</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484,772</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465,452</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493,164</w:t>
            </w:r>
          </w:p>
        </w:tc>
      </w:tr>
      <w:tr>
        <w:trPr>
          <w:trHeight w:val="284"/>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EPS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3.78</w:t>
            </w:r>
          </w:p>
        </w:tc>
      </w:tr>
      <w:tr>
        <w:trPr>
          <w:trHeight w:val="271"/>
        </w:trPr>
        <w:tc>
          <w:tcPr>
            <w:tcW w:w="6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Diluted EPS: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for purposes of computing diluted EPS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Share computation for diluted EPS (in thousands):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shares outstanding</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460,526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484,772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465,452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493,164</w:t>
            </w:r>
          </w:p>
        </w:tc>
      </w:tr>
      <w:tr>
        <w:trPr>
          <w:trHeight w:val="264"/>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Dilutive effect of stock awards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1,853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2,632</w:t>
            </w:r>
          </w:p>
        </w:tc>
      </w:tr>
      <w:tr>
        <w:trPr>
          <w:trHeight w:val="257"/>
        </w:trPr>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461,507</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486,625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466,908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495,796</w:t>
            </w:r>
          </w:p>
        </w:tc>
      </w:tr>
      <w:tr>
        <w:trPr>
          <w:trHeight w:val="284"/>
        </w:trPr>
        <w:tc>
          <w:tcPr>
            <w:tcW w:w="602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Diluted EPS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3.76</w:t>
            </w:r>
          </w:p>
        </w:tc>
      </w:tr>
      <w:tr>
        <w:trPr>
          <w:trHeight w:val="271"/>
        </w:trPr>
        <w:tc>
          <w:tcPr>
            <w:tcW w:w="6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6020" w:type="dxa"/>
            <w:vAlign w:val="bottom"/>
          </w:tcPr>
          <w:p>
            <w:pPr>
              <w:ind w:left="40"/>
              <w:spacing w:after="0"/>
              <w:rPr>
                <w:sz w:val="20"/>
                <w:szCs w:val="20"/>
                <w:color w:val="auto"/>
              </w:rPr>
            </w:pPr>
            <w:r>
              <w:rPr>
                <w:rFonts w:ascii="Arial" w:cs="Arial" w:eastAsia="Arial" w:hAnsi="Arial"/>
                <w:sz w:val="18"/>
                <w:szCs w:val="18"/>
                <w:color w:val="auto"/>
              </w:rPr>
              <w:t>Restricted stock unit awards excluded from the calculation of diluted EPS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7"/>
        </w:trPr>
        <w:tc>
          <w:tcPr>
            <w:tcW w:w="6020" w:type="dxa"/>
            <w:vAlign w:val="bottom"/>
          </w:tcPr>
          <w:p>
            <w:pPr>
              <w:ind w:left="40"/>
              <w:spacing w:after="0"/>
              <w:rPr>
                <w:sz w:val="20"/>
                <w:szCs w:val="20"/>
                <w:color w:val="auto"/>
              </w:rPr>
            </w:pPr>
            <w:r>
              <w:rPr>
                <w:rFonts w:ascii="Arial" w:cs="Arial" w:eastAsia="Arial" w:hAnsi="Arial"/>
                <w:sz w:val="18"/>
                <w:szCs w:val="18"/>
                <w:color w:val="auto"/>
              </w:rPr>
              <w:t>because inclusion would be antidilutive (in thousands)</w:t>
            </w:r>
          </w:p>
        </w:tc>
        <w:tc>
          <w:tcPr>
            <w:tcW w:w="30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432</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 Repurchase Programs and Dividends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April 2018, we announced that our Board of Directors authorized a new $2.0 billion share repurchase program that expires on December 31, 2020. Since July 2014, our Board of Directors has approved seven share repurchase programs aggregating $13.0 billion of authority. As of September 30, 2018, there was $1.7 billion remaining authority to repurchase shares under our new $ 2.0 billion share repurchase program. Share repurchases under our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We are not obligated to repurchase any specific number of shares and our repurchase of common stock may be limited, suspended or discontinued at any time at our discretion.</w:t>
      </w:r>
    </w:p>
    <w:p>
      <w:pPr>
        <w:spacing w:after="0" w:line="1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During the nine months ended September 30, 2018, we repurchased 16.6 million shares of AAG common stock for $800 million at a weighted average cost per share of $48.15. Since the inception of our share repurchase programs in July 2014, we have repurchased 278.9 million shares of AAG common stock for $11.3 billion at a weighted average cost per share of $40.69.</w:t>
      </w:r>
    </w:p>
    <w:p>
      <w:pPr>
        <w:spacing w:after="0" w:line="148"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Board of Directors declared a cash dividend of $0.10 per share for stockholders of record as of August 7, 2018 and paid on August 21, 2018, totaling $46 million. For the first nine months of 2018, we paid total quarterly cash dividends of $140 million.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3" w:right="239" w:bottom="1440" w:gutter="0" w:footer="0" w:header="0"/>
        </w:sectPr>
      </w:pPr>
    </w:p>
    <w:bookmarkStart w:id="13" w:name="page14"/>
    <w:bookmarkEnd w:id="13"/>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Revenue</w:t>
      </w:r>
    </w:p>
    <w:p>
      <w:pPr>
        <w:spacing w:after="0" w:line="112"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Effective January 1, 2018, we adopted the New Revenue Standard using the full retrospective method, which resulted in the recast of prior reporting periods. See Recent Accounting Pronouncements in Note 1(b) above for effects of adoption on our condensed consolidated statement of operations for the three and nine months ended September 30, 2017 and on our consolidated balance sheet as of December 31, 2017. Under the New Revenue Standard, revenue is recognized upon transfer of control of promised products or services to our customers in an amount that reflects the consideration we expect to receive in exchange for those products or services.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the significant categories comprising our reported operating revenues (in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2120" w:type="dxa"/>
            <w:vAlign w:val="bottom"/>
            <w:tcBorders>
              <w:bottom w:val="single" w:sz="8" w:color="CCEEFF"/>
            </w:tcBorders>
          </w:tcPr>
          <w:p>
            <w:pPr>
              <w:spacing w:after="0"/>
              <w:rPr>
                <w:sz w:val="22"/>
                <w:szCs w:val="22"/>
                <w:color w:val="auto"/>
              </w:rPr>
            </w:pPr>
          </w:p>
        </w:tc>
        <w:tc>
          <w:tcPr>
            <w:tcW w:w="30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Passenger travel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9,790</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9,400</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28,278</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27,179</w:t>
            </w:r>
          </w:p>
        </w:tc>
      </w:tr>
      <w:tr>
        <w:trPr>
          <w:trHeight w:val="277"/>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2,268</w:t>
            </w:r>
          </w:p>
        </w:tc>
      </w:tr>
      <w:tr>
        <w:trPr>
          <w:trHeight w:val="243"/>
        </w:trPr>
        <w:tc>
          <w:tcPr>
            <w:tcW w:w="5160" w:type="dxa"/>
            <w:vAlign w:val="bottom"/>
            <w:gridSpan w:val="2"/>
          </w:tcPr>
          <w:p>
            <w:pPr>
              <w:ind w:left="500"/>
              <w:spacing w:after="0"/>
              <w:rPr>
                <w:sz w:val="20"/>
                <w:szCs w:val="20"/>
                <w:color w:val="auto"/>
              </w:rPr>
            </w:pPr>
            <w:r>
              <w:rPr>
                <w:rFonts w:ascii="Arial" w:cs="Arial" w:eastAsia="Arial" w:hAnsi="Arial"/>
                <w:sz w:val="18"/>
                <w:szCs w:val="18"/>
                <w:color w:val="auto"/>
              </w:rPr>
              <w:t>Total passenger revenue</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10,561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10,096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30,714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29,447</w:t>
            </w:r>
          </w:p>
        </w:tc>
      </w:tr>
      <w:tr>
        <w:trPr>
          <w:trHeight w:val="27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633</w:t>
            </w:r>
          </w:p>
        </w:tc>
      </w:tr>
      <w:tr>
        <w:trPr>
          <w:trHeight w:val="26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Loyalty revenue - marketing services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1,574</w:t>
            </w:r>
          </w:p>
        </w:tc>
      </w:tr>
      <w:tr>
        <w:trPr>
          <w:trHeight w:val="264"/>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357</w:t>
            </w:r>
          </w:p>
        </w:tc>
      </w:tr>
      <w:tr>
        <w:trPr>
          <w:trHeight w:val="250"/>
        </w:trPr>
        <w:tc>
          <w:tcPr>
            <w:tcW w:w="5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other revenue</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2,141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1,931</w:t>
            </w:r>
          </w:p>
        </w:tc>
      </w:tr>
      <w:tr>
        <w:trPr>
          <w:trHeight w:val="257"/>
        </w:trPr>
        <w:tc>
          <w:tcPr>
            <w:tcW w:w="5160" w:type="dxa"/>
            <w:vAlign w:val="bottom"/>
            <w:gridSpan w:val="2"/>
          </w:tcPr>
          <w:p>
            <w:pPr>
              <w:ind w:left="72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11,559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10,965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33,603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32,011</w:t>
            </w:r>
          </w:p>
        </w:tc>
      </w:tr>
      <w:tr>
        <w:trPr>
          <w:trHeight w:val="20"/>
        </w:trPr>
        <w:tc>
          <w:tcPr>
            <w:tcW w:w="2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Loyalty revenue included in passenger revenue is principally comprised of mileage credit redemptions for air travel awards from mileage credits earned through travel and mileage credits sold to co-branded card and other partners. See discussion of Loyalty Revenue below.</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4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7,424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22,071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21,522</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3,939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3,622</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Atlantic</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3,471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3,170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Pacific</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1,133</w:t>
            </w: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passenger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10,561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29,447</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Passenger Revenue</w:t>
      </w:r>
    </w:p>
    <w:p>
      <w:pPr>
        <w:spacing w:after="0" w:line="108"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We recognize all revenues generated from transportation on American and our regional flights operated under the brand name American Eagle, including associated baggage fees, ticketing change fees and other inflight services, as passenger revenue when transportation is provided. Ticket and other related sales for transportation that has not yet been provided are initially deferred and recorded as air traffic liability on the condensed consolidated balance sheets. The air traffic liability principally represents tickets sold for future travel dates and estimated future refunds and exchanges of tickets sold for past travel dates.</w:t>
      </w:r>
    </w:p>
    <w:p>
      <w:pPr>
        <w:sectPr>
          <w:pgSz w:w="11900" w:h="16838" w:orient="portrait"/>
          <w:cols w:equalWidth="0" w:num="1">
            <w:col w:w="11420"/>
          </w:cols>
          <w:pgMar w:left="240" w:top="333" w:right="2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333" w:right="239" w:bottom="1440" w:gutter="0" w:footer="0" w:header="0"/>
          <w:type w:val="continuous"/>
        </w:sectPr>
      </w:pPr>
    </w:p>
    <w:bookmarkStart w:id="14" w:name="page15"/>
    <w:bookmarkEnd w:id="14"/>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8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passenger revenue using estimates regarding both the timing of the revenue recognition and the amount of revenue to be recognized. These estimates are generally based on the analysis of our historical data. We have consistently applied this accounting method to estimate revenue from forfeited tickets at the date of travel. Estimated future refunds and exchanges included in the air traffic liability are routinely evaluated based on subsequent activity to validate the accuracy of our estimates. Any adjustments resulting from periodic evaluations of the estimated air traffic liability are included in passenger revenue during the period in which the evaluations are completed.</w:t>
      </w:r>
    </w:p>
    <w:p>
      <w:pPr>
        <w:spacing w:after="0" w:line="1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Various taxes and fees assessed on the sale of tickets to end customers are collected by us as an agent and remitted to taxing authorities. These taxes and fees have been presented on a net basis in the accompanying condensed consolidated statements of operations and recorded as a liability until remitted to the appropriate taxing authority.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Loyalty Revenue</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We currently operate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the Citi and Barclays US co-branded</w:t>
      </w:r>
      <w:r>
        <w:rPr>
          <w:rFonts w:ascii="Arial" w:cs="Arial" w:eastAsia="Arial" w:hAnsi="Arial"/>
          <w:sz w:val="18"/>
          <w:szCs w:val="18"/>
          <w:b w:val="1"/>
          <w:bCs w:val="1"/>
          <w:color w:val="auto"/>
        </w:rPr>
        <w:t xml:space="preserve"> </w:t>
      </w:r>
      <w:r>
        <w:rPr>
          <w:rFonts w:ascii="Arial" w:cs="Arial" w:eastAsia="Arial" w:hAnsi="Arial"/>
          <w:sz w:val="18"/>
          <w:szCs w:val="18"/>
          <w:color w:val="auto"/>
        </w:rPr>
        <w:t>cards, hotels and car rental companies. Mileage credits can be redeemed for travel on American and other participating partner airlines as well as other non-air travel awards such as hotels and rental cars. For mileage credits earned by AAdvantage loyalty program members, we apply the deferred revenue method in accordance with the New Revenue Standard.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Mileage credits earned through travel</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mileage credits earned through travel, we apply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fares as those used to settle award redemptions. The estimated selling price of miles is adjusted for an estimate of miles that will not be redeemed based on historical redemption patterns.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Mileage credits sold to co-branded cards and other partners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sell mileage credits to participating airline partners and non-airline business partners including our co-branded card partners, under contracts with terms extending generally for one to nine years. Consideration received from the sale of mileage credits is variable and payment terms typically are within 30 days subsequent to the month of mileage sale. Sales of mileage credits to non-airline business partners are comprised of two components, transportation and marketing. We allocate the consideration received from these sales of mileage credits based on the relative selling price of each product or service delivered.</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most significant partner agreements are our co-branded card program agreements with Citi and Barclays US that we entered into in 2016. We identified the following revenue elements in these co-branded card agreements: the transportation component; and the use of intellectual property including the American brand and access to loyalty program member lists, which is the predominant element in the agreements, as well as advertising (collectively, the marketing component). Accordingly, we recognize the marketing component in other revenue in the period of the mileage sale following the sales-based royalty method.</w:t>
      </w:r>
    </w:p>
    <w:p>
      <w:pPr>
        <w:spacing w:after="0" w:line="15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For the portion of our outstanding mileage credits that we estimate will not be redeemed, we recognize the associated value proportionally as the remaining mileage credits are redeemed. Our estimates are based on analysis of historical redemptions.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Cargo Revenue</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is recognized when we provide the transportation.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3" w:right="239" w:bottom="1440" w:gutter="0" w:footer="0" w:header="0"/>
        </w:sectPr>
      </w:pPr>
    </w:p>
    <w:bookmarkStart w:id="15" w:name="page16"/>
    <w:bookmarkEnd w:id="15"/>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Other revenue includes revenue associated with our loyalty program, which is comprised principally of the marketing component of mileage sales to co-branded card and other partners and other marketing related payments. For the three and nine months ended September 30, 2018, loyalty revenue included in other revenue was $613 million and $1.8 billion, respectively. For the three and nine months ended September 30, 2017, loyalty revenue included in other revenue was $527 million and $1.6 billion, respectively. The accounting and recognition for the loyalty program marketing services are discussed above in Loyalty Revenue. The remaining amounts included within other revenue relate to airport clubs, advertising and vacation-related services.</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Contract Balances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non-air travel awards, reported as loyalty program liability on our condensed consolidated balance sheet and (2) ticket sales for transportation that has not yet been provided, reported as air traffic liability on our condensed consolidated balance sheet.</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0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Loyalty program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8,559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8,822</w:t>
            </w: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Air traffic liability</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5,040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4,042</w:t>
            </w:r>
          </w:p>
        </w:tc>
      </w:tr>
      <w:tr>
        <w:trPr>
          <w:trHeight w:val="257"/>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13,599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12,864</w:t>
            </w: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-711200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card and other partners (deferral of revenue) and mileage credits redeemed (recognition of revenue). Changes in loyalty program liability are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8,822</w:t>
            </w:r>
          </w:p>
        </w:tc>
      </w:tr>
      <w:tr>
        <w:trPr>
          <w:trHeight w:val="250"/>
        </w:trPr>
        <w:tc>
          <w:tcPr>
            <w:tcW w:w="9700" w:type="dxa"/>
            <w:vAlign w:val="bottom"/>
          </w:tcPr>
          <w:p>
            <w:pPr>
              <w:ind w:left="280"/>
              <w:spacing w:after="0"/>
              <w:rPr>
                <w:sz w:val="20"/>
                <w:szCs w:val="20"/>
                <w:color w:val="auto"/>
              </w:rPr>
            </w:pPr>
            <w:r>
              <w:rPr>
                <w:rFonts w:ascii="Arial" w:cs="Arial" w:eastAsia="Arial" w:hAnsi="Arial"/>
                <w:sz w:val="18"/>
                <w:szCs w:val="18"/>
                <w:color w:val="auto"/>
              </w:rPr>
              <w:t>Deferral of revenue</w:t>
            </w:r>
          </w:p>
        </w:tc>
        <w:tc>
          <w:tcPr>
            <w:tcW w:w="6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2,302</w:t>
            </w:r>
          </w:p>
        </w:tc>
      </w:tr>
      <w:tr>
        <w:trPr>
          <w:trHeight w:val="263"/>
        </w:trPr>
        <w:tc>
          <w:tcPr>
            <w:tcW w:w="9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1"/>
                <w:szCs w:val="21"/>
                <w:color w:val="auto"/>
                <w:vertAlign w:val="superscript"/>
              </w:rPr>
              <w:t>(1)</w:t>
            </w:r>
          </w:p>
        </w:tc>
        <w:tc>
          <w:tcPr>
            <w:tcW w:w="6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50"/>
        </w:trPr>
        <w:tc>
          <w:tcPr>
            <w:tcW w:w="9700" w:type="dxa"/>
            <w:vAlign w:val="bottom"/>
          </w:tcPr>
          <w:p>
            <w:pPr>
              <w:ind w:left="40"/>
              <w:spacing w:after="0"/>
              <w:rPr>
                <w:sz w:val="20"/>
                <w:szCs w:val="20"/>
                <w:color w:val="auto"/>
              </w:rPr>
            </w:pPr>
            <w:r>
              <w:rPr>
                <w:rFonts w:ascii="Arial" w:cs="Arial" w:eastAsia="Arial" w:hAnsi="Arial"/>
                <w:sz w:val="18"/>
                <w:szCs w:val="18"/>
                <w:color w:val="auto"/>
              </w:rPr>
              <w:t xml:space="preserve">Balance at September 30, 2018 </w:t>
            </w:r>
            <w:r>
              <w:rPr>
                <w:rFonts w:ascii="Arial" w:cs="Arial" w:eastAsia="Arial" w:hAnsi="Arial"/>
                <w:sz w:val="21"/>
                <w:szCs w:val="21"/>
                <w:color w:val="auto"/>
                <w:vertAlign w:val="superscript"/>
              </w:rPr>
              <w:t>(2)</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8,559</w:t>
            </w:r>
          </w:p>
        </w:tc>
      </w:tr>
      <w:tr>
        <w:trPr>
          <w:trHeight w:val="20"/>
        </w:trPr>
        <w:tc>
          <w:tcPr>
            <w:tcW w:w="9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163195</wp:posOffset>
            </wp:positionV>
            <wp:extent cx="1311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330" w:lineRule="exact"/>
        <w:rPr>
          <w:sz w:val="20"/>
          <w:szCs w:val="20"/>
          <w:color w:val="auto"/>
        </w:rPr>
      </w:pPr>
    </w:p>
    <w:p>
      <w:pPr>
        <w:jc w:val="both"/>
        <w:ind w:left="500" w:hanging="330"/>
        <w:spacing w:after="0" w:line="233" w:lineRule="auto"/>
        <w:tabs>
          <w:tab w:leader="none" w:pos="50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2" w:lineRule="exact"/>
        <w:rPr>
          <w:rFonts w:ascii="Arial" w:cs="Arial" w:eastAsia="Arial" w:hAnsi="Arial"/>
          <w:sz w:val="22"/>
          <w:szCs w:val="22"/>
          <w:color w:val="auto"/>
          <w:vertAlign w:val="superscript"/>
        </w:rPr>
      </w:pPr>
    </w:p>
    <w:p>
      <w:pPr>
        <w:jc w:val="both"/>
        <w:ind w:left="500" w:hanging="330"/>
        <w:spacing w:after="0" w:line="237" w:lineRule="auto"/>
        <w:tabs>
          <w:tab w:leader="none" w:pos="50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Mileage credits can be redeemed at any time and do not expire as long as that AAdvantage member has any type of qualifying activity at least every 18 months. As of September 30, 2018, our current loyalty program liability was $3.2 billion and represents our current estimate of revenue expected to be recognized in the next twelve months based on historical trends, with the balance reflected in long-term loyalty program liability expected to be recognized as revenue in periods thereafter.</w:t>
      </w:r>
    </w:p>
    <w:p>
      <w:pPr>
        <w:spacing w:after="0" w:line="16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air traffic liability principally represents tickets sold for future travel dates and estimated future refunds and exchanges of tickets sold for past travel dates. The balance in our air traffic liability also fluctuates with seasonal travel patterns. The contract duration of passenger tickets is one year. Accordingly, any revenue associated with tickets sold for future travel dates will be recognized within twelve months. For the nine months ended September 30, 2018, $3.1 billion of revenue was recognized in passenger revenue that was included in our air traffic liability at December 31, 2017.</w:t>
      </w:r>
    </w:p>
    <w:p>
      <w:pPr>
        <w:spacing w:after="0" w:line="1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With respect to contract receivables, reflected as accounts receivable, net on the accompanying condensed consolidated balance sheet, these primarily include receivables for tickets sold to individual passengers through the use of major credit cards. These receivables are short-term, mostly settled within seven days after sale. Bad debt losses, which have been minimal in the past, have been considered in establishing allowances for doubtful accounts.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3" w:right="239" w:bottom="1440" w:gutter="0" w:footer="0" w:header="0"/>
        </w:sectPr>
      </w:pPr>
    </w:p>
    <w:bookmarkStart w:id="16" w:name="page17"/>
    <w:bookmarkEnd w:id="16"/>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7"/>
                <w:szCs w:val="17"/>
                <w:color w:val="auto"/>
              </w:rPr>
            </w:pPr>
          </w:p>
        </w:tc>
        <w:tc>
          <w:tcPr>
            <w:tcW w:w="154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Secured</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2013 Credit Facilities, variable interest rate of 3.98%, installments through 2025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1,825</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2014 Credit Facilities, variable interest rate of 4.13%, installments through 2021</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April 2016 Credit Facilities, variable interest rate of 4.24%, installments through 2023</w:t>
            </w:r>
          </w:p>
        </w:tc>
        <w:tc>
          <w:tcPr>
            <w:tcW w:w="160" w:type="dxa"/>
            <w:vAlign w:val="bottom"/>
          </w:tcPr>
          <w:p>
            <w:pPr>
              <w:spacing w:after="0"/>
              <w:rPr>
                <w:sz w:val="22"/>
                <w:szCs w:val="22"/>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990</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2016 Credit Facilities, variable interest rate of 4.16%, installments through 2023</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1,238</w:t>
            </w:r>
          </w:p>
        </w:tc>
      </w:tr>
      <w:tr>
        <w:trPr>
          <w:trHeight w:val="229"/>
        </w:trPr>
        <w:tc>
          <w:tcPr>
            <w:tcW w:w="7880" w:type="dxa"/>
            <w:vAlign w:val="bottom"/>
          </w:tcPr>
          <w:p>
            <w:pPr>
              <w:ind w:left="180"/>
              <w:spacing w:after="0"/>
              <w:rPr>
                <w:sz w:val="20"/>
                <w:szCs w:val="20"/>
                <w:color w:val="auto"/>
              </w:rPr>
            </w:pPr>
            <w:r>
              <w:rPr>
                <w:rFonts w:ascii="Arial" w:cs="Arial" w:eastAsia="Arial" w:hAnsi="Arial"/>
                <w:sz w:val="18"/>
                <w:szCs w:val="18"/>
                <w:color w:val="auto"/>
              </w:rPr>
              <w:t>Aircraft enhanced equipment trust certificates (EETCs), fixed interest rates ranging from 3.00%</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880" w:type="dxa"/>
            <w:vAlign w:val="bottom"/>
          </w:tcPr>
          <w:p>
            <w:pPr>
              <w:ind w:left="340"/>
              <w:spacing w:after="0"/>
              <w:rPr>
                <w:sz w:val="20"/>
                <w:szCs w:val="20"/>
                <w:color w:val="auto"/>
              </w:rPr>
            </w:pPr>
            <w:r>
              <w:rPr>
                <w:rFonts w:ascii="Arial" w:cs="Arial" w:eastAsia="Arial" w:hAnsi="Arial"/>
                <w:sz w:val="18"/>
                <w:szCs w:val="18"/>
                <w:color w:val="auto"/>
              </w:rPr>
              <w:t>to 9.75%, averaging 4.24%, maturing from 2018 to 2029</w:t>
            </w:r>
          </w:p>
        </w:tc>
        <w:tc>
          <w:tcPr>
            <w:tcW w:w="16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11,884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11,881</w:t>
            </w:r>
          </w:p>
        </w:tc>
      </w:tr>
      <w:tr>
        <w:trPr>
          <w:trHeight w:val="235"/>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loans and other notes payable, fixed and variable interest rates ranging from 2.18%</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 8.48%, averaging 4.00%, maturing from 2018 to 2029</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5,259</w:t>
            </w:r>
          </w:p>
        </w:tc>
      </w:tr>
      <w:tr>
        <w:trPr>
          <w:trHeight w:val="229"/>
        </w:trPr>
        <w:tc>
          <w:tcPr>
            <w:tcW w:w="7880" w:type="dxa"/>
            <w:vAlign w:val="bottom"/>
          </w:tcPr>
          <w:p>
            <w:pPr>
              <w:ind w:left="180"/>
              <w:spacing w:after="0"/>
              <w:rPr>
                <w:sz w:val="20"/>
                <w:szCs w:val="20"/>
                <w:color w:val="auto"/>
              </w:rPr>
            </w:pPr>
            <w:r>
              <w:rPr>
                <w:rFonts w:ascii="Arial" w:cs="Arial" w:eastAsia="Arial" w:hAnsi="Arial"/>
                <w:sz w:val="18"/>
                <w:szCs w:val="18"/>
                <w:color w:val="auto"/>
              </w:rPr>
              <w:t>Special facility revenue bonds, fixed interest rates ranging from 5.00% to 8.00%, maturing from</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880" w:type="dxa"/>
            <w:vAlign w:val="bottom"/>
          </w:tcPr>
          <w:p>
            <w:pPr>
              <w:ind w:left="340"/>
              <w:spacing w:after="0"/>
              <w:rPr>
                <w:sz w:val="20"/>
                <w:szCs w:val="20"/>
                <w:color w:val="auto"/>
              </w:rPr>
            </w:pPr>
            <w:r>
              <w:rPr>
                <w:rFonts w:ascii="Arial" w:cs="Arial" w:eastAsia="Arial" w:hAnsi="Arial"/>
                <w:sz w:val="18"/>
                <w:szCs w:val="18"/>
                <w:color w:val="auto"/>
              </w:rPr>
              <w:t>2019 to 2035</w:t>
            </w:r>
          </w:p>
        </w:tc>
        <w:tc>
          <w:tcPr>
            <w:tcW w:w="16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857</w:t>
            </w:r>
          </w:p>
        </w:tc>
      </w:tr>
      <w:tr>
        <w:trPr>
          <w:trHeight w:val="235"/>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secured obligations, fixed interest rates ranging from 3.81% to 12.24%, maturing from</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4"/>
        </w:trPr>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2021 to 2028</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r>
      <w:tr>
        <w:trPr>
          <w:trHeight w:val="250"/>
        </w:trPr>
        <w:tc>
          <w:tcPr>
            <w:tcW w:w="78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23,759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23,551</w:t>
            </w: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Unsecured</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5.50% senior notes, interest only payments until due in 2019</w:t>
            </w:r>
          </w:p>
        </w:tc>
        <w:tc>
          <w:tcPr>
            <w:tcW w:w="160" w:type="dxa"/>
            <w:vAlign w:val="bottom"/>
          </w:tcPr>
          <w:p>
            <w:pPr>
              <w:spacing w:after="0"/>
              <w:rPr>
                <w:sz w:val="22"/>
                <w:szCs w:val="22"/>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4.625% senior notes, interest only payments until due in 2020</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64"/>
        </w:trPr>
        <w:tc>
          <w:tcPr>
            <w:tcW w:w="7880" w:type="dxa"/>
            <w:vAlign w:val="bottom"/>
          </w:tcPr>
          <w:p>
            <w:pPr>
              <w:ind w:left="180"/>
              <w:spacing w:after="0"/>
              <w:rPr>
                <w:sz w:val="20"/>
                <w:szCs w:val="20"/>
                <w:color w:val="auto"/>
              </w:rPr>
            </w:pPr>
            <w:r>
              <w:rPr>
                <w:rFonts w:ascii="Arial" w:cs="Arial" w:eastAsia="Arial" w:hAnsi="Arial"/>
                <w:sz w:val="18"/>
                <w:szCs w:val="18"/>
                <w:color w:val="auto"/>
              </w:rPr>
              <w:t>6.125% senior notes, interest only payments until due in 2018</w:t>
            </w:r>
          </w:p>
        </w:tc>
        <w:tc>
          <w:tcPr>
            <w:tcW w:w="160" w:type="dxa"/>
            <w:vAlign w:val="bottom"/>
          </w:tcPr>
          <w:p>
            <w:pPr>
              <w:spacing w:after="0"/>
              <w:rPr>
                <w:sz w:val="22"/>
                <w:szCs w:val="22"/>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57"/>
        </w:trPr>
        <w:tc>
          <w:tcPr>
            <w:tcW w:w="78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5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1,250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Total long-term debt and capital lease obligations</w:t>
            </w:r>
          </w:p>
        </w:tc>
        <w:tc>
          <w:tcPr>
            <w:tcW w:w="1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25,009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25,301</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Total unamortized debt discount, premium and issuance costs</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r>
      <w:tr>
        <w:trPr>
          <w:trHeight w:val="264"/>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2,554</w:t>
            </w: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22,511</w:t>
            </w:r>
          </w:p>
        </w:tc>
      </w:tr>
      <w:tr>
        <w:trPr>
          <w:trHeight w:val="20"/>
        </w:trPr>
        <w:tc>
          <w:tcPr>
            <w:tcW w:w="7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September 30, 2018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r>
      <w:tr>
        <w:trPr>
          <w:trHeight w:val="250"/>
        </w:trPr>
        <w:tc>
          <w:tcPr>
            <w:tcW w:w="970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63"/>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4"/>
        </w:trPr>
        <w:tc>
          <w:tcPr>
            <w:tcW w:w="9700" w:type="dxa"/>
            <w:vAlign w:val="bottom"/>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w:t>
            </w:r>
          </w:p>
        </w:tc>
      </w:tr>
      <w:tr>
        <w:trPr>
          <w:trHeight w:val="20"/>
        </w:trPr>
        <w:tc>
          <w:tcPr>
            <w:tcW w:w="9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December 2016 Credit Facilities provide for a revolving credit facility that may be established in the future.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3" w:right="239" w:bottom="1440" w:gutter="0" w:footer="0" w:header="0"/>
        </w:sectPr>
      </w:pPr>
    </w:p>
    <w:bookmarkStart w:id="17" w:name="page18"/>
    <w:bookmarkEnd w:id="17"/>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2018 Aircraft Financing Activities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2017-2 EETCs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August and October 2017, American created three pass-through trusts which issued approximately $1.0 billion aggregate face amount of Series 2017-2 Class AA, Class A and Class B EETCs (the 2017-2 EETCs). Of the approximately $1.0 billion 2017-2 EETCs, approximately $735 million of such proceeds were used in 2017 to purchase equipment notes issued by American in connection with the financing of 24 aircraft. The remaining approximately $283 million was used in the first six months of 2018 to purchase equipment notes issued by American in connection with financing the remaining 6 of 30 aircraft financed under the 2017-2 EETCs. Interest and principal payments on equipment notes issued in connection with the 2017-2 EETCs are payable semi-annually in April and October of each year, which interest payments began in April 2018 and principal payments will begin in October 2018. These equipment notes are secured by liens on the aircraft financed with the proceeds of the 2017-2 EETCs.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information regarding the 2017-2 EETC equipment notes as of September 30, 2018 is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297815</wp:posOffset>
            </wp:positionV>
            <wp:extent cx="31813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2017-2 EETCs</w:t>
            </w:r>
          </w:p>
        </w:tc>
        <w:tc>
          <w:tcPr>
            <w:tcW w:w="16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Series 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$545 million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$252 million</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$221 million</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Fixed interest rate per annum</w:t>
            </w: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3.35%</w:t>
            </w: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3.70%</w:t>
            </w:r>
          </w:p>
        </w:tc>
      </w:tr>
      <w:tr>
        <w:trPr>
          <w:trHeight w:val="27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October 2029</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2029</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October 2025</w:t>
            </w:r>
          </w:p>
        </w:tc>
      </w:tr>
    </w:tbl>
    <w:p>
      <w:pPr>
        <w:spacing w:after="0" w:line="3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2012-2C(R) EETCs</w:t>
      </w:r>
    </w:p>
    <w:p>
      <w:pPr>
        <w:spacing w:after="0" w:line="108" w:lineRule="exact"/>
        <w:rPr>
          <w:sz w:val="20"/>
          <w:szCs w:val="20"/>
          <w:color w:val="auto"/>
        </w:rPr>
      </w:pPr>
    </w:p>
    <w:p>
      <w:pPr>
        <w:jc w:val="both"/>
        <w:ind w:firstLine="230"/>
        <w:spacing w:after="0" w:line="256" w:lineRule="auto"/>
        <w:rPr>
          <w:sz w:val="20"/>
          <w:szCs w:val="20"/>
          <w:color w:val="auto"/>
        </w:rPr>
      </w:pPr>
      <w:r>
        <w:rPr>
          <w:rFonts w:ascii="Arial" w:cs="Arial" w:eastAsia="Arial" w:hAnsi="Arial"/>
          <w:sz w:val="18"/>
          <w:szCs w:val="18"/>
          <w:color w:val="auto"/>
        </w:rPr>
        <w:t>On May 15, 2018, American created a pass-through trust which issued $100 million aggregate face amount of the Series 2012-2 Class C(R) EETCs (the 2012-2C(R) EETCs). Interest and principal payments on equipment notes issued in connection with the 2012-2C(R) EETCs are payable semiannually in June and December of each year, beginning in December 2018.</w:t>
      </w:r>
    </w:p>
    <w:p>
      <w:pPr>
        <w:spacing w:after="0" w:line="148"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American had previously issued $100 million aggregate face amount of Series 2012-2 Class C Certificates on June 6, 2013 (the 2012-2C Certificates) in connection with the financing of 11 aircraft previously delivered to American between May 2013 and October 2013. On June 1, 2018, American redeemed the Series C Equipment Notes relating to such 2012-2C Certificates (the 2012-2C Equipment Notes), which were scheduled to mature on June 3, 2018. The proceeds received from the 2012-2C(R) EETCs were used for the redemption of the 2012-2 Series C Equipment Notes and the repayment of the 2012-2C Certificates.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information regarding the 2012-2 Class C(R) EETC equipment notes as of September 30, 2018 is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297815</wp:posOffset>
            </wp:positionV>
            <wp:extent cx="13379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196"/>
        </w:trPr>
        <w:tc>
          <w:tcPr>
            <w:tcW w:w="9000" w:type="dxa"/>
            <w:vAlign w:val="bottom"/>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2012-2C(R) EETCs</w:t>
            </w:r>
          </w:p>
        </w:tc>
      </w:tr>
      <w:tr>
        <w:trPr>
          <w:trHeight w:val="210"/>
        </w:trPr>
        <w:tc>
          <w:tcPr>
            <w:tcW w:w="900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C(R)</w:t>
            </w:r>
          </w:p>
        </w:tc>
      </w:tr>
      <w:tr>
        <w:trPr>
          <w:trHeight w:val="256"/>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principal issued</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 million</w:t>
            </w:r>
          </w:p>
        </w:tc>
      </w:tr>
      <w:tr>
        <w:trPr>
          <w:trHeight w:val="250"/>
        </w:trPr>
        <w:tc>
          <w:tcPr>
            <w:tcW w:w="9000" w:type="dxa"/>
            <w:vAlign w:val="bottom"/>
          </w:tcPr>
          <w:p>
            <w:pPr>
              <w:ind w:left="20"/>
              <w:spacing w:after="0"/>
              <w:rPr>
                <w:sz w:val="20"/>
                <w:szCs w:val="20"/>
                <w:color w:val="auto"/>
              </w:rPr>
            </w:pPr>
            <w:r>
              <w:rPr>
                <w:rFonts w:ascii="Arial" w:cs="Arial" w:eastAsia="Arial" w:hAnsi="Arial"/>
                <w:sz w:val="18"/>
                <w:szCs w:val="18"/>
                <w:color w:val="auto"/>
              </w:rPr>
              <w:t>Fixed interest rate per annum</w:t>
            </w:r>
          </w:p>
        </w:tc>
        <w:tc>
          <w:tcPr>
            <w:tcW w:w="2120" w:type="dxa"/>
            <w:vAlign w:val="bottom"/>
          </w:tcPr>
          <w:p>
            <w:pPr>
              <w:jc w:val="center"/>
              <w:spacing w:after="0"/>
              <w:rPr>
                <w:sz w:val="20"/>
                <w:szCs w:val="20"/>
                <w:color w:val="auto"/>
              </w:rPr>
            </w:pPr>
            <w:r>
              <w:rPr>
                <w:rFonts w:ascii="Arial" w:cs="Arial" w:eastAsia="Arial" w:hAnsi="Arial"/>
                <w:sz w:val="18"/>
                <w:szCs w:val="18"/>
                <w:color w:val="auto"/>
              </w:rPr>
              <w:t>4.70%</w:t>
            </w:r>
          </w:p>
        </w:tc>
      </w:tr>
      <w:tr>
        <w:trPr>
          <w:trHeight w:val="26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Maturity date</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June 2021</w:t>
            </w:r>
          </w:p>
        </w:tc>
      </w:tr>
    </w:tbl>
    <w:p>
      <w:pPr>
        <w:spacing w:after="0" w:line="3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Equipment Notes Issued in 2018</w:t>
      </w:r>
    </w:p>
    <w:p>
      <w:pPr>
        <w:spacing w:after="0" w:line="108" w:lineRule="exact"/>
        <w:rPr>
          <w:sz w:val="20"/>
          <w:szCs w:val="20"/>
          <w:color w:val="auto"/>
        </w:rPr>
      </w:pPr>
    </w:p>
    <w:p>
      <w:pPr>
        <w:jc w:val="both"/>
        <w:ind w:firstLine="230"/>
        <w:spacing w:after="0" w:line="256" w:lineRule="auto"/>
        <w:rPr>
          <w:sz w:val="20"/>
          <w:szCs w:val="20"/>
          <w:color w:val="auto"/>
        </w:rPr>
      </w:pPr>
      <w:r>
        <w:rPr>
          <w:rFonts w:ascii="Arial" w:cs="Arial" w:eastAsia="Arial" w:hAnsi="Arial"/>
          <w:sz w:val="18"/>
          <w:szCs w:val="18"/>
          <w:color w:val="auto"/>
        </w:rPr>
        <w:t>In the first nine months of 2018, American entered into agreements under which it borrowed $1.3 billion in connection with the financing of certain aircraft and pre-delivery purchase deposits. Debt incurred under these agreements matures in 2021 through 2029 and bears interest at fixed and variable rates of LIBOR plus an applicable margin averaging 4.09% at September 30, 2018.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3" w:right="239" w:bottom="1440" w:gutter="0" w:footer="0" w:header="0"/>
        </w:sectPr>
      </w:pPr>
    </w:p>
    <w:bookmarkStart w:id="18" w:name="page19"/>
    <w:bookmarkEnd w:id="18"/>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2018 Other Financing Activities</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2013 Credit Facilities</w:t>
      </w:r>
    </w:p>
    <w:p>
      <w:pPr>
        <w:spacing w:after="0" w:line="108" w:lineRule="exact"/>
        <w:rPr>
          <w:sz w:val="20"/>
          <w:szCs w:val="20"/>
          <w:color w:val="auto"/>
        </w:rPr>
      </w:pPr>
    </w:p>
    <w:p>
      <w:pPr>
        <w:jc w:val="both"/>
        <w:ind w:firstLine="230"/>
        <w:spacing w:after="0" w:line="252" w:lineRule="auto"/>
        <w:rPr>
          <w:sz w:val="20"/>
          <w:szCs w:val="20"/>
          <w:color w:val="auto"/>
        </w:rPr>
      </w:pPr>
      <w:r>
        <w:rPr>
          <w:rFonts w:ascii="Arial" w:cs="Arial" w:eastAsia="Arial" w:hAnsi="Arial"/>
          <w:sz w:val="18"/>
          <w:szCs w:val="18"/>
          <w:color w:val="auto"/>
        </w:rPr>
        <w:t>In May 2018, American and AAG entered into a Fourth Amendment (the Fourth Amendment) to the Amended and Restated Credit and Guaranty Agreement, amending the Amended and Restated Credit and Guaranty Agreement dated as of May 21, 2015, which amended and restated the Credit and Guaranty Agreement dated as of June 27, 2013 (as previously amended, the Credit Agreement, and the term loan and revolving credit facilities established thereunder, the 2013 Credit Facilities), pursuant to which American refinanced $1.8 billion of the existing term loans outstanding under the 2013 Credit Facilities with proceeds of term loans incurred under the Fourth Amendment (the Replacement Term Loans). The interest rate margin on the Replacement Term Loans was reduced from 2.00% to 1.75% for those loans with interest rates based on LIBOR and from 1.00% to 0.75% for those loans with interest rates based on an index. Additionally, the Fourth Amendment extended the maturity date of the Replacement Term Loans to June 2025.</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2014 Credit Facilities</w:t>
      </w:r>
    </w:p>
    <w:p>
      <w:pPr>
        <w:spacing w:after="0" w:line="108" w:lineRule="exact"/>
        <w:rPr>
          <w:sz w:val="20"/>
          <w:szCs w:val="20"/>
          <w:color w:val="auto"/>
        </w:rPr>
      </w:pPr>
    </w:p>
    <w:p>
      <w:pPr>
        <w:jc w:val="both"/>
        <w:ind w:firstLine="230"/>
        <w:spacing w:after="0" w:line="252" w:lineRule="auto"/>
        <w:rPr>
          <w:sz w:val="20"/>
          <w:szCs w:val="20"/>
          <w:color w:val="auto"/>
        </w:rPr>
      </w:pPr>
      <w:r>
        <w:rPr>
          <w:rFonts w:ascii="Arial" w:cs="Arial" w:eastAsia="Arial" w:hAnsi="Arial"/>
          <w:sz w:val="18"/>
          <w:szCs w:val="18"/>
          <w:color w:val="auto"/>
        </w:rPr>
        <w:t>In September 2018, American and AAG entered into a Fifth Amendment (the Fifth Amendment) to the Amended and Restated Credit and Guaranty Agreement, amending the Amended and Restated Credit and Guaranty Agreement dated as of April 20, 2015 (as previously amended, the 2014 Credit Agreement, and the term loan and revolving credit facilities established thereunder, as amended by the Fifth Amendment, the 2014 Credit Facilities). The Fifth Amendment provides for incremental term loans in the amount of $ 500 million. The terms are substantially similar to the terms of the existing term loans under the 2014 Credit Agreement including in relation to maturity and interest rate. As of September 30, 2018, approximately $1.2 billion was outstanding under the term loan portion of the 2014 Credit Facilities and there were no other borrowings or letters of credit outstanding thereunder.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At December 31, 2017, we had approximately $10.0 billion of federal net operating losses (NOLs) carried over from prior taxable years (NOL Carryforwards) to reduce future federal taxable income, substantially all of which we expect to be available for use in 2018. The federal NOL Carryforwards will expire beginning in 2022 if unused. We also had approximately $3.4 billion of NOL Carryforwards to reduce future state taxable income at December 31, 2017, which will expire in years 2018 through 2037 if unused.</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At December 31, 2017, we had an AMT credit carryforward of approximately $ 339 million available for federal income tax purposes, which is expected to be substantially refunded no later than 2021 as a result of the repeal of corporate AMT.</w:t>
      </w:r>
    </w:p>
    <w:p>
      <w:pPr>
        <w:spacing w:after="0" w:line="14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During the three and nine months ended September 30, 2018, we recorded an income tax provision of $115 million and $404 million, respectively, which was substantially non-cash as we utilized our NOLs described above. For the nine months ended September 30, 2018, our income tax provision included a $22 million special income tax charge to establish a required valuation allowance related to our estimated refund for AMT credits, which is now subject to a sequestration reduction rate of approximately 6% and an $18 million special income tax charge related to an international income tax matter. Substantially all of our income before income taxes is attributable to the United States.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2017 Tax Act was enacted on December 22, 2017. The 2017 Tax Act is the most comprehensive tax change in more than 30 years. As of September 30, 2018, we have not completed our evaluation of the 2017 Tax Act; however, to the extent possible, we have made a reasonable estimate of its effects, including the impact of lower corporate income tax rates (21% vs. 35%) on our deferred tax assets and liabilities and the one-time transition tax on earnings of certain foreign subsidiaries that were previously tax deferred.</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2017 Tax Act is unclear in many respects and could be subject to potential amendments and technical corrections, as well as interpretations and implementation guidance by the U.S. Department of Treasury and the Internal Revenue Service. In addition, it is unclear how these U.S. federal income tax changes will affect state and local taxation, which often uses federal taxable income as a starting point for computing state and local tax liabilities. Accordingly, we have not yet been able to make a reasonable estimate of the impact of certain items and continue to account for those items based on the tax laws in effect prior to the 2017 Tax Act.</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further interpretations, clarifications and amendments to the 2017 Tax Act are made, our future financial statements could be materially impacted.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3" w:right="239" w:bottom="1440" w:gutter="0" w:footer="0" w:header="0"/>
        </w:sectPr>
      </w:pPr>
    </w:p>
    <w:bookmarkStart w:id="19" w:name="page20"/>
    <w:bookmarkEnd w:id="19"/>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0"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utilize the market approach to measure fair value for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nine months ended September 30, 2018.</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as of September 30, 2018</w:t>
            </w:r>
          </w:p>
        </w:tc>
        <w:tc>
          <w:tcPr>
            <w:tcW w:w="102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7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5660" w:type="dxa"/>
            <w:vAlign w:val="bottom"/>
            <w:gridSpan w:val="3"/>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77"/>
        </w:trPr>
        <w:tc>
          <w:tcPr>
            <w:tcW w:w="40" w:type="dxa"/>
            <w:vAlign w:val="bottom"/>
            <w:shd w:val="clear" w:color="auto" w:fill="CCEEFF"/>
          </w:tcPr>
          <w:p>
            <w:pPr>
              <w:spacing w:after="0"/>
              <w:rPr>
                <w:sz w:val="24"/>
                <w:szCs w:val="24"/>
                <w:color w:val="auto"/>
              </w:rPr>
            </w:pPr>
          </w:p>
        </w:tc>
        <w:tc>
          <w:tcPr>
            <w:tcW w:w="5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63"/>
        </w:trPr>
        <w:tc>
          <w:tcPr>
            <w:tcW w:w="40" w:type="dxa"/>
            <w:vAlign w:val="bottom"/>
          </w:tcPr>
          <w:p>
            <w:pPr>
              <w:spacing w:after="0"/>
              <w:rPr>
                <w:sz w:val="22"/>
                <w:szCs w:val="22"/>
                <w:color w:val="auto"/>
              </w:rPr>
            </w:pPr>
          </w:p>
        </w:tc>
        <w:tc>
          <w:tcPr>
            <w:tcW w:w="5660" w:type="dxa"/>
            <w:vAlign w:val="bottom"/>
            <w:gridSpan w:val="3"/>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5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4,552</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77"/>
        </w:trPr>
        <w:tc>
          <w:tcPr>
            <w:tcW w:w="5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70"/>
        </w:trPr>
        <w:tc>
          <w:tcPr>
            <w:tcW w:w="5700" w:type="dxa"/>
            <w:vAlign w:val="bottom"/>
            <w:gridSpan w:val="4"/>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55"/>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Total</w:t>
            </w:r>
          </w:p>
        </w:tc>
        <w:tc>
          <w:tcPr>
            <w:tcW w:w="528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60" w:lineRule="exact"/>
        <w:rPr>
          <w:sz w:val="20"/>
          <w:szCs w:val="20"/>
          <w:color w:val="auto"/>
        </w:rPr>
      </w:pPr>
    </w:p>
    <w:p>
      <w:pPr>
        <w:ind w:left="500" w:hanging="330"/>
        <w:spacing w:after="0"/>
        <w:tabs>
          <w:tab w:leader="none" w:pos="50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Unrealized gains or losses on short-term investments are recorded in accumulated other comprehensive loss at each measurement date.</w:t>
      </w:r>
    </w:p>
    <w:p>
      <w:pPr>
        <w:spacing w:after="0" w:line="161"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Our short-term investments mature in one year or less except for $942 million of bank notes/certificates of deposit/time deposits and $150 million of corporate obligations.</w:t>
      </w:r>
    </w:p>
    <w:p>
      <w:pPr>
        <w:spacing w:after="0" w:line="163"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Long-term investments primarily include our equity investment in China Southern Airlines and are classified in other assets on our condensed consolidated balance sheets.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in the fair value hierarchy.</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December 31, 2017</w:t>
            </w:r>
          </w:p>
        </w:tc>
      </w:tr>
      <w:tr>
        <w:trPr>
          <w:trHeight w:val="175"/>
        </w:trPr>
        <w:tc>
          <w:tcPr>
            <w:tcW w:w="5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5"/>
                <w:szCs w:val="15"/>
                <w:color w:val="auto"/>
              </w:rPr>
            </w:pPr>
          </w:p>
        </w:tc>
        <w:tc>
          <w:tcPr>
            <w:tcW w:w="1060" w:type="dxa"/>
            <w:vAlign w:val="bottom"/>
          </w:tcPr>
          <w:p>
            <w:pPr>
              <w:jc w:val="center"/>
              <w:ind w:right="242"/>
              <w:spacing w:after="0"/>
              <w:rPr>
                <w:sz w:val="20"/>
                <w:szCs w:val="20"/>
                <w:color w:val="auto"/>
              </w:rPr>
            </w:pPr>
            <w:r>
              <w:rPr>
                <w:rFonts w:ascii="Arial" w:cs="Arial" w:eastAsia="Arial" w:hAnsi="Arial"/>
                <w:sz w:val="14"/>
                <w:szCs w:val="14"/>
                <w:b w:val="1"/>
                <w:bCs w:val="1"/>
                <w:color w:val="auto"/>
              </w:rPr>
              <w:t>Fair</w:t>
            </w:r>
          </w:p>
        </w:tc>
      </w:tr>
      <w:tr>
        <w:trPr>
          <w:trHeight w:val="196"/>
        </w:trPr>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7"/>
                <w:szCs w:val="17"/>
                <w:color w:val="auto"/>
              </w:rPr>
            </w:pPr>
          </w:p>
        </w:tc>
        <w:tc>
          <w:tcPr>
            <w:tcW w:w="106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50"/>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24,767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24,932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25,065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25,848</w:t>
            </w: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3" w:right="239" w:bottom="1440" w:gutter="0" w:footer="0" w:header="0"/>
        </w:sectPr>
      </w:pPr>
    </w:p>
    <w:bookmarkStart w:id="20" w:name="page21"/>
    <w:bookmarkEnd w:id="20"/>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1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5"/>
          </w:tcPr>
          <w:p>
            <w:pPr>
              <w:ind w:left="520"/>
              <w:spacing w:after="0"/>
              <w:rPr>
                <w:sz w:val="20"/>
                <w:szCs w:val="20"/>
                <w:color w:val="auto"/>
              </w:rPr>
            </w:pPr>
            <w:r>
              <w:rPr>
                <w:rFonts w:ascii="Arial" w:cs="Arial" w:eastAsia="Arial" w:hAnsi="Arial"/>
                <w:sz w:val="14"/>
                <w:szCs w:val="14"/>
                <w:b w:val="1"/>
                <w:bCs w:val="1"/>
                <w:color w:val="auto"/>
              </w:rPr>
              <w:t>Pension Benefits</w:t>
            </w:r>
          </w:p>
        </w:tc>
        <w:tc>
          <w:tcPr>
            <w:tcW w:w="320" w:type="dxa"/>
            <w:vAlign w:val="bottom"/>
          </w:tcPr>
          <w:p>
            <w:pPr>
              <w:spacing w:after="0"/>
              <w:rPr>
                <w:sz w:val="17"/>
                <w:szCs w:val="17"/>
                <w:color w:val="auto"/>
              </w:rPr>
            </w:pPr>
          </w:p>
        </w:tc>
        <w:tc>
          <w:tcPr>
            <w:tcW w:w="25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Postretirement Benefits</w:t>
            </w:r>
          </w:p>
        </w:tc>
      </w:tr>
      <w:tr>
        <w:trPr>
          <w:trHeight w:val="264"/>
        </w:trPr>
        <w:tc>
          <w:tcPr>
            <w:tcW w:w="5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56"/>
        </w:trPr>
        <w:tc>
          <w:tcPr>
            <w:tcW w:w="55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6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7"/>
        </w:trPr>
        <w:tc>
          <w:tcPr>
            <w:tcW w:w="55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64"/>
        </w:trPr>
        <w:tc>
          <w:tcPr>
            <w:tcW w:w="40" w:type="dxa"/>
            <w:vAlign w:val="bottom"/>
            <w:tcBorders>
              <w:bottom w:val="single" w:sz="8" w:color="CCEEFF"/>
            </w:tcBorders>
          </w:tcPr>
          <w:p>
            <w:pPr>
              <w:spacing w:after="0"/>
              <w:rPr>
                <w:sz w:val="22"/>
                <w:szCs w:val="22"/>
                <w:color w:val="auto"/>
              </w:rPr>
            </w:pPr>
          </w:p>
        </w:tc>
        <w:tc>
          <w:tcPr>
            <w:tcW w:w="55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Unrecognized net loss (gain)</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5"/>
          </w:tcPr>
          <w:p>
            <w:pPr>
              <w:ind w:left="520"/>
              <w:spacing w:after="0"/>
              <w:rPr>
                <w:sz w:val="20"/>
                <w:szCs w:val="20"/>
                <w:color w:val="auto"/>
              </w:rPr>
            </w:pPr>
            <w:r>
              <w:rPr>
                <w:rFonts w:ascii="Arial" w:cs="Arial" w:eastAsia="Arial" w:hAnsi="Arial"/>
                <w:sz w:val="14"/>
                <w:szCs w:val="14"/>
                <w:b w:val="1"/>
                <w:bCs w:val="1"/>
                <w:color w:val="auto"/>
              </w:rPr>
              <w:t>Pension Benefits</w:t>
            </w:r>
          </w:p>
        </w:tc>
        <w:tc>
          <w:tcPr>
            <w:tcW w:w="320" w:type="dxa"/>
            <w:vAlign w:val="bottom"/>
          </w:tcPr>
          <w:p>
            <w:pPr>
              <w:spacing w:after="0"/>
              <w:rPr>
                <w:sz w:val="17"/>
                <w:szCs w:val="17"/>
                <w:color w:val="auto"/>
              </w:rPr>
            </w:pPr>
          </w:p>
        </w:tc>
        <w:tc>
          <w:tcPr>
            <w:tcW w:w="25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Postretirement Benefits</w:t>
            </w:r>
          </w:p>
        </w:tc>
      </w:tr>
      <w:tr>
        <w:trPr>
          <w:trHeight w:val="264"/>
        </w:trPr>
        <w:tc>
          <w:tcPr>
            <w:tcW w:w="5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56"/>
        </w:trPr>
        <w:tc>
          <w:tcPr>
            <w:tcW w:w="55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6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277"/>
        </w:trPr>
        <w:tc>
          <w:tcPr>
            <w:tcW w:w="55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Prior service cost (benefit)</w:t>
            </w:r>
          </w:p>
        </w:tc>
        <w:tc>
          <w:tcPr>
            <w:tcW w:w="286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64"/>
        </w:trPr>
        <w:tc>
          <w:tcPr>
            <w:tcW w:w="40" w:type="dxa"/>
            <w:vAlign w:val="bottom"/>
            <w:tcBorders>
              <w:bottom w:val="single" w:sz="8" w:color="CCEEFF"/>
            </w:tcBorders>
          </w:tcPr>
          <w:p>
            <w:pPr>
              <w:spacing w:after="0"/>
              <w:rPr>
                <w:sz w:val="22"/>
                <w:szCs w:val="22"/>
                <w:color w:val="auto"/>
              </w:rPr>
            </w:pPr>
          </w:p>
        </w:tc>
        <w:tc>
          <w:tcPr>
            <w:tcW w:w="55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Unrecognized net loss (gain)</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62"/>
        </w:trPr>
        <w:tc>
          <w:tcPr>
            <w:tcW w:w="4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Net periodic benefit cost (income)</w:t>
            </w:r>
          </w:p>
        </w:tc>
        <w:tc>
          <w:tcPr>
            <w:tcW w:w="2860" w:type="dxa"/>
            <w:vAlign w:val="bottom"/>
            <w:tcBorders>
              <w:bottom w:val="single" w:sz="8" w:color="CCEEFF"/>
            </w:tcBorders>
            <w:gridSpan w:val="2"/>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components of net periodic benefit income other than the service cost component are included in nonoperating other income, net in the condensed consolidated statements of operations.</w:t>
      </w:r>
    </w:p>
    <w:p>
      <w:pPr>
        <w:spacing w:after="0" w:line="14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During the first nine months of 2018, we contributed $467 million to our defined benefit pension plans, including supplemental contributions of $425 million in addition to a $42 million minimum required contribution.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 Retiree</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Unrealized Loss on</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2"/>
        </w:trPr>
        <w:tc>
          <w:tcPr>
            <w:tcW w:w="21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7"/>
                <w:szCs w:val="17"/>
                <w:b w:val="1"/>
                <w:bCs w:val="1"/>
                <w:color w:val="auto"/>
                <w:w w:val="98"/>
                <w:vertAlign w:val="superscript"/>
              </w:rPr>
              <w:t>(1)</w:t>
            </w:r>
          </w:p>
        </w:tc>
        <w:tc>
          <w:tcPr>
            <w:tcW w:w="3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r>
      <w:tr>
        <w:trPr>
          <w:trHeight w:val="264"/>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15</w:t>
            </w:r>
          </w:p>
        </w:tc>
        <w:tc>
          <w:tcPr>
            <w:tcW w:w="340" w:type="dxa"/>
            <w:vAlign w:val="bottom"/>
          </w:tcPr>
          <w:p>
            <w:pPr>
              <w:jc w:val="right"/>
              <w:ind w:right="102"/>
              <w:spacing w:after="0"/>
              <w:rPr>
                <w:sz w:val="20"/>
                <w:szCs w:val="20"/>
                <w:color w:val="auto"/>
              </w:rPr>
            </w:pPr>
            <w:r>
              <w:rPr>
                <w:rFonts w:ascii="Arial" w:cs="Arial" w:eastAsia="Arial" w:hAnsi="Arial"/>
                <w:sz w:val="11"/>
                <w:szCs w:val="11"/>
                <w:color w:val="auto"/>
              </w:rPr>
              <w:t>(2)</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5"/>
        </w:trPr>
        <w:tc>
          <w:tcPr>
            <w:tcW w:w="4920" w:type="dxa"/>
            <w:vAlign w:val="bottom"/>
            <w:tcBorders>
              <w:top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current-period other comprehensive income</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4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4"/>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Balance at September 30, 2018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(4,587)</w:t>
            </w:r>
          </w:p>
        </w:tc>
        <w:tc>
          <w:tcPr>
            <w:tcW w:w="12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(615)</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(5,203)</w:t>
            </w:r>
          </w:p>
        </w:tc>
      </w:tr>
      <w:tr>
        <w:trPr>
          <w:trHeight w:val="20"/>
        </w:trPr>
        <w:tc>
          <w:tcPr>
            <w:tcW w:w="2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2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296" w:lineRule="exact"/>
        <w:rPr>
          <w:sz w:val="20"/>
          <w:szCs w:val="20"/>
          <w:color w:val="auto"/>
        </w:rPr>
      </w:pPr>
    </w:p>
    <w:p>
      <w:pPr>
        <w:ind w:left="540" w:hanging="316"/>
        <w:spacing w:after="0" w:line="225" w:lineRule="auto"/>
        <w:tabs>
          <w:tab w:leader="none" w:pos="54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63" w:lineRule="exact"/>
        <w:rPr>
          <w:rFonts w:ascii="Arial" w:cs="Arial" w:eastAsia="Arial" w:hAnsi="Arial"/>
          <w:sz w:val="22"/>
          <w:szCs w:val="22"/>
          <w:color w:val="auto"/>
          <w:vertAlign w:val="superscript"/>
        </w:rPr>
      </w:pPr>
    </w:p>
    <w:p>
      <w:pPr>
        <w:ind w:left="540" w:hanging="316"/>
        <w:spacing w:after="0" w:line="225" w:lineRule="auto"/>
        <w:tabs>
          <w:tab w:leader="none" w:pos="54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 of operations.</w:t>
      </w:r>
    </w:p>
    <w:p>
      <w:pPr>
        <w:sectPr>
          <w:pgSz w:w="11900" w:h="16838" w:orient="portrait"/>
          <w:cols w:equalWidth="0" w:num="1">
            <w:col w:w="11420"/>
          </w:cols>
          <w:pgMar w:left="240" w:top="333" w:right="239"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333" w:right="239" w:bottom="1440" w:gutter="0" w:footer="0" w:header="0"/>
          <w:type w:val="continuous"/>
        </w:sectPr>
      </w:pPr>
    </w:p>
    <w:bookmarkStart w:id="21" w:name="page22"/>
    <w:bookmarkEnd w:id="21"/>
    <w:p>
      <w:pPr>
        <w:jc w:val="center"/>
        <w:ind w:left="1120" w:right="11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pacing w:after="0" w:line="200" w:lineRule="exact"/>
        <w:rPr>
          <w:sz w:val="20"/>
          <w:szCs w:val="20"/>
          <w:color w:val="auto"/>
        </w:rPr>
      </w:pP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Amounts reclassified from AOCI</w:t>
            </w:r>
          </w:p>
        </w:tc>
        <w:tc>
          <w:tcPr>
            <w:tcW w:w="740" w:type="dxa"/>
            <w:vAlign w:val="bottom"/>
            <w:tcBorders>
              <w:bottom w:val="single" w:sz="8" w:color="auto"/>
            </w:tcBorders>
          </w:tcPr>
          <w:p>
            <w:pPr>
              <w:spacing w:after="0"/>
              <w:rPr>
                <w:sz w:val="17"/>
                <w:szCs w:val="17"/>
                <w:color w:val="auto"/>
              </w:rPr>
            </w:pPr>
          </w:p>
        </w:tc>
      </w:tr>
      <w:tr>
        <w:trPr>
          <w:trHeight w:val="175"/>
        </w:trPr>
        <w:tc>
          <w:tcPr>
            <w:tcW w:w="4420" w:type="dxa"/>
            <w:vAlign w:val="bottom"/>
          </w:tcPr>
          <w:p>
            <w:pPr>
              <w:spacing w:after="0"/>
              <w:rPr>
                <w:sz w:val="15"/>
                <w:szCs w:val="15"/>
                <w:color w:val="auto"/>
              </w:rPr>
            </w:pP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2"/>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420" w:type="dxa"/>
            <w:vAlign w:val="bottom"/>
          </w:tcPr>
          <w:p>
            <w:pPr>
              <w:spacing w:after="0"/>
              <w:rPr>
                <w:sz w:val="17"/>
                <w:szCs w:val="17"/>
                <w:color w:val="auto"/>
              </w:rPr>
            </w:pP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1940" w:type="dxa"/>
            <w:vAlign w:val="bottom"/>
            <w:gridSpan w:val="2"/>
          </w:tcPr>
          <w:p>
            <w:pPr>
              <w:ind w:left="500"/>
              <w:spacing w:after="0"/>
              <w:rPr>
                <w:sz w:val="20"/>
                <w:szCs w:val="20"/>
                <w:color w:val="auto"/>
              </w:rPr>
            </w:pPr>
            <w:r>
              <w:rPr>
                <w:rFonts w:ascii="Arial" w:cs="Arial" w:eastAsia="Arial" w:hAnsi="Arial"/>
                <w:sz w:val="14"/>
                <w:szCs w:val="14"/>
                <w:b w:val="1"/>
                <w:bCs w:val="1"/>
                <w:color w:val="auto"/>
              </w:rPr>
              <w:t>September 30,</w:t>
            </w:r>
          </w:p>
        </w:tc>
      </w:tr>
      <w:tr>
        <w:trPr>
          <w:trHeight w:val="258"/>
        </w:trPr>
        <w:tc>
          <w:tcPr>
            <w:tcW w:w="442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7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1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20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540" w:hanging="19"/>
        <w:spacing w:after="0" w:line="263"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32" w:lineRule="exact"/>
        <w:rPr>
          <w:sz w:val="20"/>
          <w:szCs w:val="20"/>
          <w:color w:val="auto"/>
        </w:rPr>
      </w:pPr>
    </w:p>
    <w:p>
      <w:pPr>
        <w:sectPr>
          <w:pgSz w:w="11900" w:h="16838" w:orient="portrait"/>
          <w:cols w:equalWidth="0" w:num="2">
            <w:col w:w="8460" w:space="680"/>
            <w:col w:w="2280"/>
          </w:cols>
          <w:pgMar w:left="240" w:top="333"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Amortization of pension, retiree medical and other</w:t>
      </w:r>
    </w:p>
    <w:p>
      <w:pPr>
        <w:ind w:left="40"/>
        <w:spacing w:after="0"/>
        <w:rPr>
          <w:sz w:val="20"/>
          <w:szCs w:val="20"/>
          <w:color w:val="auto"/>
        </w:rPr>
      </w:pPr>
      <w:r>
        <w:rPr>
          <w:rFonts w:ascii="Arial" w:cs="Arial" w:eastAsia="Arial" w:hAnsi="Arial"/>
          <w:sz w:val="18"/>
          <w:szCs w:val="18"/>
          <w:color w:val="auto"/>
        </w:rPr>
        <w:t>postretirement benefits: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60" w:type="dxa"/>
            <w:vAlign w:val="bottom"/>
          </w:tcPr>
          <w:p>
            <w:pPr>
              <w:ind w:left="380"/>
              <w:spacing w:after="0"/>
              <w:rPr>
                <w:sz w:val="20"/>
                <w:szCs w:val="20"/>
                <w:color w:val="auto"/>
              </w:rPr>
            </w:pPr>
            <w:r>
              <w:rPr>
                <w:rFonts w:ascii="Arial" w:cs="Arial" w:eastAsia="Arial" w:hAnsi="Arial"/>
                <w:sz w:val="18"/>
                <w:szCs w:val="18"/>
                <w:color w:val="auto"/>
              </w:rPr>
              <w:t>Prior service benefit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2960" w:type="dxa"/>
            <w:vAlign w:val="bottom"/>
          </w:tcPr>
          <w:p>
            <w:pPr>
              <w:jc w:val="right"/>
              <w:ind w:right="210"/>
              <w:spacing w:after="0"/>
              <w:rPr>
                <w:sz w:val="20"/>
                <w:szCs w:val="20"/>
                <w:color w:val="auto"/>
              </w:rPr>
            </w:pPr>
            <w:r>
              <w:rPr>
                <w:rFonts w:ascii="Arial" w:cs="Arial" w:eastAsia="Arial" w:hAnsi="Arial"/>
                <w:sz w:val="18"/>
                <w:szCs w:val="18"/>
                <w:color w:val="auto"/>
              </w:rPr>
              <w:t>Nonoperating other income, net</w:t>
            </w:r>
          </w:p>
        </w:tc>
      </w:tr>
      <w:tr>
        <w:trPr>
          <w:trHeight w:val="277"/>
        </w:trPr>
        <w:tc>
          <w:tcPr>
            <w:tcW w:w="4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Actuarial loss</w:t>
            </w: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57   Nonoperating other income, net</w:t>
            </w:r>
          </w:p>
        </w:tc>
      </w:tr>
      <w:tr>
        <w:trPr>
          <w:trHeight w:val="244"/>
        </w:trPr>
        <w:tc>
          <w:tcPr>
            <w:tcW w:w="4460" w:type="dxa"/>
            <w:vAlign w:val="bottom"/>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960" w:type="dxa"/>
            <w:vAlign w:val="bottom"/>
          </w:tcPr>
          <w:p>
            <w:pPr>
              <w:spacing w:after="0"/>
              <w:rPr>
                <w:sz w:val="21"/>
                <w:szCs w:val="21"/>
                <w:color w:val="auto"/>
              </w:rPr>
            </w:pPr>
          </w:p>
        </w:tc>
      </w:tr>
      <w:tr>
        <w:trPr>
          <w:trHeight w:val="20"/>
        </w:trPr>
        <w:tc>
          <w:tcPr>
            <w:tcW w:w="4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Regional Expenses</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Expenses associated with American Eagle operations are classified as regional expenses on the condensed consolidated statements of operations. Regional expenses consist of the following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34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74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2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999</w:t>
            </w: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1,074</w:t>
            </w: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Capacity purchases from third-party regional carriers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1,210</w:t>
            </w: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209</w:t>
            </w: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235</w:t>
            </w: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361</w:t>
            </w: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4,848</w:t>
            </w:r>
          </w:p>
        </w:tc>
      </w:tr>
      <w:tr>
        <w:trPr>
          <w:trHeight w:val="20"/>
        </w:trPr>
        <w:tc>
          <w:tcPr>
            <w:tcW w:w="5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9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As of September 30, 2018, there were approximately 24.5 million shares of AAG common stock remaining in the Disputed Claims Reserve. As disputed claims are resolved, the claimants will receive distributions of shares from the Disputed Claims Reserve.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3" w:right="239" w:bottom="1440" w:gutter="0" w:footer="0" w:header="0"/>
          <w:type w:val="continuous"/>
        </w:sectPr>
      </w:pPr>
    </w:p>
    <w:bookmarkStart w:id="22" w:name="page23"/>
    <w:bookmarkEnd w:id="22"/>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62"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i w:val="1"/>
          <w:iCs w:val="1"/>
          <w:color w:val="auto"/>
        </w:rPr>
        <w:t>DOJ Antitrust Civil Investigative Demand</w:t>
      </w:r>
      <w:r>
        <w:rPr>
          <w:rFonts w:ascii="Arial" w:cs="Arial" w:eastAsia="Arial" w:hAnsi="Arial"/>
          <w:sz w:val="18"/>
          <w:szCs w:val="18"/>
          <w:color w:val="auto"/>
        </w:rPr>
        <w:t>. In June 2015, we received a Civil Investigative Demand (CID) from the United States Department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Justice (DOJ) as 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w:t>
      </w:r>
    </w:p>
    <w:p>
      <w:pPr>
        <w:spacing w:after="0" w:line="126"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 xml:space="preserve">Private Party Antitrust Action. </w:t>
      </w:r>
      <w:r>
        <w:rPr>
          <w:rFonts w:ascii="Arial" w:cs="Arial" w:eastAsia="Arial" w:hAnsi="Arial"/>
          <w:sz w:val="18"/>
          <w:szCs w:val="18"/>
          <w:color w:val="auto"/>
        </w:rPr>
        <w:t>Subsequent to announcement of the delivery of CIDs by the DOJ, we, along with Delta Air Lines, Inc.,</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Airlines Co., United 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On June 15, 2018, we reached a preliminary settlement agreement with the plaintiffs in the amount of $45 million that, once approved, will resolve all claims in the U.S. lawsuits. That settlement received preliminary approval from the Court on June 18, 2018. We expect the Court to issue final approval of the settlement later this year.</w:t>
      </w:r>
    </w:p>
    <w:p>
      <w:pPr>
        <w:spacing w:after="0" w:line="12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United States Bankruptcy Court for the Southern District of New York. The complaint named as defendants US Airways Group,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Court denied in part defendants' motion for summary judgment, and fully denied plaintiffs' cross-motion for summary judgment. A bench trial is expected to be scheduled in the next few months. We believe this lawsuit is without merit and intend to vigorously defend against the allegations.</w:t>
      </w:r>
    </w:p>
    <w:p>
      <w:pPr>
        <w:spacing w:after="0" w:line="135"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us of an inquiry regarding American’s 2009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2011 contracts with 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13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 the normal course of business or</w:t>
      </w:r>
      <w:r>
        <w:rPr>
          <w:rFonts w:ascii="Arial" w:cs="Arial" w:eastAsia="Arial" w:hAnsi="Arial"/>
          <w:sz w:val="18"/>
          <w:szCs w:val="18"/>
          <w:color w:val="auto"/>
        </w:rPr>
        <w:t xml:space="preserve"> </w:t>
      </w:r>
      <w:r>
        <w:rPr>
          <w:rFonts w:ascii="Arial" w:cs="Arial" w:eastAsia="Arial" w:hAnsi="Arial"/>
          <w:sz w:val="18"/>
          <w:szCs w:val="18"/>
          <w:i w:val="1"/>
          <w:iCs w:val="1"/>
          <w:color w:val="auto"/>
        </w:rPr>
        <w:t>otherwise, which could affect our financial position and liquidity</w:t>
      </w:r>
      <w:r>
        <w:rPr>
          <w:rFonts w:ascii="Arial" w:cs="Arial" w:eastAsia="Arial" w:hAnsi="Arial"/>
          <w:sz w:val="18"/>
          <w:szCs w:val="18"/>
          <w:color w:val="auto"/>
        </w:rPr>
        <w:t>” for additional discussion.</w:t>
      </w:r>
    </w:p>
    <w:p>
      <w:pPr>
        <w:spacing w:after="0" w:line="206" w:lineRule="exact"/>
        <w:rPr>
          <w:sz w:val="20"/>
          <w:szCs w:val="20"/>
          <w:color w:val="auto"/>
        </w:rPr>
      </w:pPr>
    </w:p>
    <w:p>
      <w:pPr>
        <w:ind w:left="220" w:right="9440" w:hanging="212"/>
        <w:spacing w:after="0" w:line="357" w:lineRule="auto"/>
        <w:tabs>
          <w:tab w:leader="none" w:pos="30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u w:val="single" w:color="auto"/>
          <w:color w:val="auto"/>
        </w:rPr>
        <w:t>Dividend Declaration</w:t>
      </w:r>
    </w:p>
    <w:p>
      <w:pPr>
        <w:jc w:val="both"/>
        <w:ind w:firstLine="216"/>
        <w:spacing w:after="0" w:line="254" w:lineRule="auto"/>
        <w:rPr>
          <w:sz w:val="20"/>
          <w:szCs w:val="20"/>
          <w:color w:val="auto"/>
        </w:rPr>
      </w:pPr>
      <w:r>
        <w:rPr>
          <w:rFonts w:ascii="Arial" w:cs="Arial" w:eastAsia="Arial" w:hAnsi="Arial"/>
          <w:sz w:val="18"/>
          <w:szCs w:val="18"/>
          <w:color w:val="auto"/>
        </w:rPr>
        <w:t>In October 2018, we announced that our Board of Directors declared a $ 0.10 per share dividend for stockholders of record as of November 6, 2018, and payable on November 20, 2018.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at any time at our discretion.</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Equipment Notes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October 2018, American issued equipment notes in the principal amount of $74 million in connection with the financing of certain aircraft.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equipment notes are secured by liens on the aircraft financed and mature in October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ectPr>
          <w:pgSz w:w="11900" w:h="16838" w:orient="portrait"/>
          <w:cols w:equalWidth="0" w:num="1">
            <w:col w:w="11420"/>
          </w:cols>
          <w:pgMar w:left="240" w:top="576" w:right="239" w:bottom="1440" w:gutter="0" w:footer="0" w:header="0"/>
        </w:sectPr>
      </w:pPr>
    </w:p>
    <w:p>
      <w:pPr>
        <w:spacing w:after="0" w:line="375"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26035</wp:posOffset>
            </wp:positionV>
            <wp:extent cx="16808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6500"/>
        <w:spacing w:after="0"/>
        <w:tabs>
          <w:tab w:leader="none" w:pos="78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26035</wp:posOffset>
            </wp:positionV>
            <wp:extent cx="16808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320"/>
        <w:spacing w:after="0"/>
        <w:tabs>
          <w:tab w:leader="none" w:pos="16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45" w:lineRule="exact"/>
        <w:rPr>
          <w:sz w:val="20"/>
          <w:szCs w:val="20"/>
          <w:color w:val="auto"/>
        </w:rPr>
      </w:pPr>
    </w:p>
    <w:p>
      <w:pPr>
        <w:sectPr>
          <w:pgSz w:w="11900" w:h="16838" w:orient="portrait"/>
          <w:cols w:equalWidth="0" w:num="2">
            <w:col w:w="8580" w:space="340"/>
            <w:col w:w="2500"/>
          </w:cols>
          <w:pgMar w:left="240" w:top="576"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Operating revenues: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2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10,561</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10,096</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30,714</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29,447</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r>
      <w:tr>
        <w:trPr>
          <w:trHeight w:val="264"/>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1,923</w:t>
            </w:r>
          </w:p>
        </w:tc>
      </w:tr>
      <w:tr>
        <w:trPr>
          <w:trHeight w:val="257"/>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revenues</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11,556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10,962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33,594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32,003</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4,481</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3,127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9,231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8,920</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expenses</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4,860</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1,474</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rent and landing fees</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Aircraft rent</w:t>
            </w: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892</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expenses</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1,255</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Special items, net</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r>
      <w:tr>
        <w:trPr>
          <w:trHeight w:val="264"/>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3,652</w:t>
            </w:r>
          </w:p>
        </w:tc>
      </w:tr>
      <w:tr>
        <w:trPr>
          <w:trHeight w:val="257"/>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10,887</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9,713</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31,440</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28,423</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3,580</w:t>
            </w: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64"/>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r>
      <w:tr>
        <w:trPr>
          <w:trHeight w:val="257"/>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nonoperating expense, net</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3,112</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r>
      <w:tr>
        <w:trPr>
          <w:trHeight w:val="244"/>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1,942</w:t>
            </w:r>
          </w:p>
        </w:tc>
      </w:tr>
      <w:tr>
        <w:trPr>
          <w:trHeight w:val="20"/>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76" w:right="2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1,942</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net of tax:</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retiree medical and other postretirement benefits</w:t>
            </w:r>
          </w:p>
        </w:tc>
        <w:tc>
          <w:tcPr>
            <w:tcW w:w="8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4"/>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1,898</w:t>
            </w:r>
          </w:p>
        </w:tc>
      </w:tr>
      <w:tr>
        <w:trPr>
          <w:trHeight w:val="20"/>
        </w:trPr>
        <w:tc>
          <w:tcPr>
            <w:tcW w:w="6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76"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380"/>
              <w:spacing w:after="0"/>
              <w:rPr>
                <w:sz w:val="20"/>
                <w:szCs w:val="20"/>
                <w:color w:val="auto"/>
              </w:rPr>
            </w:pPr>
            <w:r>
              <w:rPr>
                <w:rFonts w:ascii="Arial" w:cs="Arial" w:eastAsia="Arial" w:hAnsi="Arial"/>
                <w:sz w:val="14"/>
                <w:szCs w:val="14"/>
                <w:color w:val="auto"/>
              </w:rPr>
              <w:t>Short-term investments</w:t>
            </w:r>
          </w:p>
        </w:tc>
        <w:tc>
          <w:tcPr>
            <w:tcW w:w="140" w:type="dxa"/>
            <w:vAlign w:val="bottom"/>
          </w:tcPr>
          <w:p>
            <w:pPr>
              <w:spacing w:after="0"/>
              <w:rPr>
                <w:sz w:val="17"/>
                <w:szCs w:val="17"/>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4,542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4,768</w:t>
            </w:r>
          </w:p>
        </w:tc>
        <w:tc>
          <w:tcPr>
            <w:tcW w:w="0" w:type="dxa"/>
            <w:vAlign w:val="bottom"/>
          </w:tcPr>
          <w:p>
            <w:pPr>
              <w:spacing w:after="0"/>
              <w:rPr>
                <w:sz w:val="1"/>
                <w:szCs w:val="1"/>
                <w:color w:val="auto"/>
              </w:rPr>
            </w:pPr>
          </w:p>
        </w:tc>
      </w:tr>
      <w:tr>
        <w:trPr>
          <w:trHeight w:val="60"/>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Restricted cash and short-term investments</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38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7"/>
                <w:szCs w:val="17"/>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2,222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1,755</w:t>
            </w:r>
          </w:p>
        </w:tc>
        <w:tc>
          <w:tcPr>
            <w:tcW w:w="0" w:type="dxa"/>
            <w:vAlign w:val="bottom"/>
          </w:tcPr>
          <w:p>
            <w:pPr>
              <w:spacing w:after="0"/>
              <w:rPr>
                <w:sz w:val="1"/>
                <w:szCs w:val="1"/>
                <w:color w:val="auto"/>
              </w:rPr>
            </w:pPr>
          </w:p>
        </w:tc>
      </w:tr>
      <w:tr>
        <w:trPr>
          <w:trHeight w:val="60"/>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Receivables from related parties, net</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10,525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8,822</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380"/>
              <w:spacing w:after="0"/>
              <w:rPr>
                <w:sz w:val="20"/>
                <w:szCs w:val="20"/>
                <w:color w:val="auto"/>
              </w:rPr>
            </w:pPr>
            <w:r>
              <w:rPr>
                <w:rFonts w:ascii="Arial" w:cs="Arial" w:eastAsia="Arial" w:hAnsi="Arial"/>
                <w:sz w:val="14"/>
                <w:szCs w:val="14"/>
                <w:color w:val="auto"/>
              </w:rPr>
              <w:t>Aircraft fuel, spare parts and supplies, net</w:t>
            </w:r>
          </w:p>
        </w:tc>
        <w:tc>
          <w:tcPr>
            <w:tcW w:w="140" w:type="dxa"/>
            <w:vAlign w:val="bottom"/>
          </w:tcPr>
          <w:p>
            <w:pPr>
              <w:spacing w:after="0"/>
              <w:rPr>
                <w:sz w:val="17"/>
                <w:szCs w:val="17"/>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1,506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60"/>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7900" w:type="dxa"/>
            <w:vAlign w:val="bottom"/>
          </w:tcPr>
          <w:p>
            <w:pPr>
              <w:ind w:left="72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6"/>
                <w:szCs w:val="16"/>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19,982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17,891</w:t>
            </w:r>
          </w:p>
        </w:tc>
        <w:tc>
          <w:tcPr>
            <w:tcW w:w="0" w:type="dxa"/>
            <w:vAlign w:val="bottom"/>
          </w:tcPr>
          <w:p>
            <w:pPr>
              <w:spacing w:after="0"/>
              <w:rPr>
                <w:sz w:val="1"/>
                <w:szCs w:val="1"/>
                <w:color w:val="auto"/>
              </w:rPr>
            </w:pPr>
          </w:p>
        </w:tc>
      </w:tr>
      <w:tr>
        <w:trPr>
          <w:trHeight w:val="60"/>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property and equipment</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380"/>
              <w:spacing w:after="0"/>
              <w:rPr>
                <w:sz w:val="20"/>
                <w:szCs w:val="20"/>
                <w:color w:val="auto"/>
              </w:rPr>
            </w:pPr>
            <w:r>
              <w:rPr>
                <w:rFonts w:ascii="Arial" w:cs="Arial" w:eastAsia="Arial" w:hAnsi="Arial"/>
                <w:sz w:val="14"/>
                <w:szCs w:val="14"/>
                <w:color w:val="auto"/>
              </w:rPr>
              <w:t>Flight equipment</w:t>
            </w:r>
          </w:p>
        </w:tc>
        <w:tc>
          <w:tcPr>
            <w:tcW w:w="140" w:type="dxa"/>
            <w:vAlign w:val="bottom"/>
          </w:tcPr>
          <w:p>
            <w:pPr>
              <w:spacing w:after="0"/>
              <w:rPr>
                <w:sz w:val="17"/>
                <w:szCs w:val="17"/>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40,669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39,993</w:t>
            </w:r>
          </w:p>
        </w:tc>
        <w:tc>
          <w:tcPr>
            <w:tcW w:w="0" w:type="dxa"/>
            <w:vAlign w:val="bottom"/>
          </w:tcPr>
          <w:p>
            <w:pPr>
              <w:spacing w:after="0"/>
              <w:rPr>
                <w:sz w:val="1"/>
                <w:szCs w:val="1"/>
                <w:color w:val="auto"/>
              </w:rPr>
            </w:pPr>
          </w:p>
        </w:tc>
      </w:tr>
      <w:tr>
        <w:trPr>
          <w:trHeight w:val="60"/>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Ground property and equipment</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8,006</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380"/>
              <w:spacing w:after="0"/>
              <w:rPr>
                <w:sz w:val="20"/>
                <w:szCs w:val="20"/>
                <w:color w:val="auto"/>
              </w:rPr>
            </w:pPr>
            <w:r>
              <w:rPr>
                <w:rFonts w:ascii="Arial" w:cs="Arial" w:eastAsia="Arial" w:hAnsi="Arial"/>
                <w:sz w:val="14"/>
                <w:szCs w:val="14"/>
                <w:color w:val="auto"/>
              </w:rPr>
              <w:t>Equipment purchase deposits</w:t>
            </w:r>
          </w:p>
        </w:tc>
        <w:tc>
          <w:tcPr>
            <w:tcW w:w="140" w:type="dxa"/>
            <w:vAlign w:val="bottom"/>
          </w:tcPr>
          <w:p>
            <w:pPr>
              <w:spacing w:after="0"/>
              <w:rPr>
                <w:sz w:val="17"/>
                <w:szCs w:val="17"/>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1,330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60"/>
        </w:trPr>
        <w:tc>
          <w:tcPr>
            <w:tcW w:w="79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property and equipment, at cost</w:t>
            </w:r>
          </w:p>
        </w:tc>
        <w:tc>
          <w:tcPr>
            <w:tcW w:w="14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50,905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49,216</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380"/>
              <w:spacing w:after="0"/>
              <w:rPr>
                <w:sz w:val="20"/>
                <w:szCs w:val="20"/>
                <w:color w:val="auto"/>
              </w:rPr>
            </w:pPr>
            <w:r>
              <w:rPr>
                <w:rFonts w:ascii="Arial" w:cs="Arial" w:eastAsia="Arial" w:hAnsi="Arial"/>
                <w:sz w:val="14"/>
                <w:szCs w:val="14"/>
                <w:color w:val="auto"/>
              </w:rPr>
              <w:t>Less accumulated depreciation and amortization</w:t>
            </w:r>
          </w:p>
        </w:tc>
        <w:tc>
          <w:tcPr>
            <w:tcW w:w="14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color w:val="auto"/>
              </w:rPr>
              <w:t>(16,964)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(15,354)</w:t>
            </w:r>
          </w:p>
        </w:tc>
        <w:tc>
          <w:tcPr>
            <w:tcW w:w="0" w:type="dxa"/>
            <w:vAlign w:val="bottom"/>
          </w:tcPr>
          <w:p>
            <w:pPr>
              <w:spacing w:after="0"/>
              <w:rPr>
                <w:sz w:val="1"/>
                <w:szCs w:val="1"/>
                <w:color w:val="auto"/>
              </w:rPr>
            </w:pPr>
          </w:p>
        </w:tc>
      </w:tr>
      <w:tr>
        <w:trPr>
          <w:trHeight w:val="60"/>
        </w:trPr>
        <w:tc>
          <w:tcPr>
            <w:tcW w:w="79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property and equipment, net</w:t>
            </w:r>
          </w:p>
        </w:tc>
        <w:tc>
          <w:tcPr>
            <w:tcW w:w="14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33,941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33,862</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Other assets</w:t>
            </w: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7"/>
                <w:szCs w:val="17"/>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380"/>
              <w:spacing w:after="0"/>
              <w:rPr>
                <w:sz w:val="20"/>
                <w:szCs w:val="20"/>
                <w:color w:val="auto"/>
              </w:rPr>
            </w:pPr>
            <w:r>
              <w:rPr>
                <w:rFonts w:ascii="Arial" w:cs="Arial" w:eastAsia="Arial" w:hAnsi="Arial"/>
                <w:sz w:val="14"/>
                <w:szCs w:val="14"/>
                <w:color w:val="auto"/>
              </w:rPr>
              <w:t>Intangibles, net of accumulated amortization of $653 and $622, respectively</w:t>
            </w:r>
          </w:p>
        </w:tc>
        <w:tc>
          <w:tcPr>
            <w:tcW w:w="140" w:type="dxa"/>
            <w:vAlign w:val="bottom"/>
          </w:tcPr>
          <w:p>
            <w:pPr>
              <w:spacing w:after="0"/>
              <w:rPr>
                <w:sz w:val="17"/>
                <w:szCs w:val="17"/>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2,147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60"/>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tax asset</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2,071</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38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7"/>
                <w:szCs w:val="17"/>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1,280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60"/>
        </w:trPr>
        <w:tc>
          <w:tcPr>
            <w:tcW w:w="79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other assets</w:t>
            </w:r>
          </w:p>
        </w:tc>
        <w:tc>
          <w:tcPr>
            <w:tcW w:w="14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8,947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9,648</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900" w:type="dxa"/>
            <w:vAlign w:val="bottom"/>
          </w:tcPr>
          <w:p>
            <w:pPr>
              <w:ind w:left="104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62,870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61,401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maturities of long-term debt and capital leases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2,497</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2,058</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7"/>
                <w:szCs w:val="17"/>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1,822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1,625</w:t>
            </w:r>
          </w:p>
        </w:tc>
        <w:tc>
          <w:tcPr>
            <w:tcW w:w="0" w:type="dxa"/>
            <w:vAlign w:val="bottom"/>
          </w:tcPr>
          <w:p>
            <w:pPr>
              <w:spacing w:after="0"/>
              <w:rPr>
                <w:sz w:val="1"/>
                <w:szCs w:val="1"/>
                <w:color w:val="auto"/>
              </w:rPr>
            </w:pPr>
          </w:p>
        </w:tc>
      </w:tr>
      <w:tr>
        <w:trPr>
          <w:trHeight w:val="60"/>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salaries and wages</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1,613</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380"/>
              <w:spacing w:after="0"/>
              <w:rPr>
                <w:sz w:val="20"/>
                <w:szCs w:val="20"/>
                <w:color w:val="auto"/>
              </w:rPr>
            </w:pPr>
            <w:r>
              <w:rPr>
                <w:rFonts w:ascii="Arial" w:cs="Arial" w:eastAsia="Arial" w:hAnsi="Arial"/>
                <w:sz w:val="14"/>
                <w:szCs w:val="14"/>
                <w:color w:val="auto"/>
              </w:rPr>
              <w:t>Air traffic liability</w:t>
            </w:r>
          </w:p>
        </w:tc>
        <w:tc>
          <w:tcPr>
            <w:tcW w:w="140" w:type="dxa"/>
            <w:vAlign w:val="bottom"/>
          </w:tcPr>
          <w:p>
            <w:pPr>
              <w:spacing w:after="0"/>
              <w:rPr>
                <w:sz w:val="17"/>
                <w:szCs w:val="17"/>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5,040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4,042</w:t>
            </w:r>
          </w:p>
        </w:tc>
        <w:tc>
          <w:tcPr>
            <w:tcW w:w="0" w:type="dxa"/>
            <w:vAlign w:val="bottom"/>
          </w:tcPr>
          <w:p>
            <w:pPr>
              <w:spacing w:after="0"/>
              <w:rPr>
                <w:sz w:val="1"/>
                <w:szCs w:val="1"/>
                <w:color w:val="auto"/>
              </w:rPr>
            </w:pPr>
          </w:p>
        </w:tc>
      </w:tr>
      <w:tr>
        <w:trPr>
          <w:trHeight w:val="60"/>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Loyalty program liability</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3,121</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380"/>
              <w:spacing w:after="0"/>
              <w:rPr>
                <w:sz w:val="20"/>
                <w:szCs w:val="20"/>
                <w:color w:val="auto"/>
              </w:rPr>
            </w:pPr>
            <w:r>
              <w:rPr>
                <w:rFonts w:ascii="Arial" w:cs="Arial" w:eastAsia="Arial" w:hAnsi="Arial"/>
                <w:sz w:val="14"/>
                <w:szCs w:val="14"/>
                <w:color w:val="auto"/>
              </w:rPr>
              <w:t>Other accrued liabilities</w:t>
            </w:r>
          </w:p>
        </w:tc>
        <w:tc>
          <w:tcPr>
            <w:tcW w:w="140" w:type="dxa"/>
            <w:vAlign w:val="bottom"/>
          </w:tcPr>
          <w:p>
            <w:pPr>
              <w:spacing w:after="0"/>
              <w:rPr>
                <w:sz w:val="17"/>
                <w:szCs w:val="17"/>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2,213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2,209</w:t>
            </w:r>
          </w:p>
        </w:tc>
        <w:tc>
          <w:tcPr>
            <w:tcW w:w="0" w:type="dxa"/>
            <w:vAlign w:val="bottom"/>
          </w:tcPr>
          <w:p>
            <w:pPr>
              <w:spacing w:after="0"/>
              <w:rPr>
                <w:sz w:val="1"/>
                <w:szCs w:val="1"/>
                <w:color w:val="auto"/>
              </w:rPr>
            </w:pPr>
          </w:p>
        </w:tc>
      </w:tr>
      <w:tr>
        <w:trPr>
          <w:trHeight w:val="60"/>
        </w:trPr>
        <w:tc>
          <w:tcPr>
            <w:tcW w:w="79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16,146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14,668</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Noncurrent liabilities</w:t>
            </w: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debt and capital leases, net of current maturities</w:t>
            </w:r>
          </w:p>
        </w:tc>
        <w:tc>
          <w:tcPr>
            <w:tcW w:w="140" w:type="dxa"/>
            <w:vAlign w:val="bottom"/>
            <w:shd w:val="clear" w:color="auto" w:fill="CCEEFF"/>
          </w:tcPr>
          <w:p>
            <w:pPr>
              <w:spacing w:after="0"/>
              <w:rPr>
                <w:sz w:val="17"/>
                <w:szCs w:val="17"/>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20,995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21,236</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380"/>
              <w:spacing w:after="0"/>
              <w:rPr>
                <w:sz w:val="20"/>
                <w:szCs w:val="20"/>
                <w:color w:val="auto"/>
              </w:rPr>
            </w:pPr>
            <w:r>
              <w:rPr>
                <w:rFonts w:ascii="Arial" w:cs="Arial" w:eastAsia="Arial" w:hAnsi="Arial"/>
                <w:sz w:val="14"/>
                <w:szCs w:val="14"/>
                <w:color w:val="auto"/>
              </w:rPr>
              <w:t>Pension and postretirement benefits</w:t>
            </w:r>
          </w:p>
        </w:tc>
        <w:tc>
          <w:tcPr>
            <w:tcW w:w="140" w:type="dxa"/>
            <w:vAlign w:val="bottom"/>
          </w:tcPr>
          <w:p>
            <w:pPr>
              <w:spacing w:after="0"/>
              <w:rPr>
                <w:sz w:val="17"/>
                <w:szCs w:val="17"/>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6,855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7,452</w:t>
            </w:r>
          </w:p>
        </w:tc>
        <w:tc>
          <w:tcPr>
            <w:tcW w:w="0" w:type="dxa"/>
            <w:vAlign w:val="bottom"/>
          </w:tcPr>
          <w:p>
            <w:pPr>
              <w:spacing w:after="0"/>
              <w:rPr>
                <w:sz w:val="1"/>
                <w:szCs w:val="1"/>
                <w:color w:val="auto"/>
              </w:rPr>
            </w:pPr>
          </w:p>
        </w:tc>
      </w:tr>
      <w:tr>
        <w:trPr>
          <w:trHeight w:val="60"/>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Loyalty program liability</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5,701</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380"/>
              <w:spacing w:after="0"/>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7"/>
                <w:szCs w:val="17"/>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2,317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60"/>
        </w:trPr>
        <w:tc>
          <w:tcPr>
            <w:tcW w:w="79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noncurrent liabilities</w:t>
            </w:r>
          </w:p>
        </w:tc>
        <w:tc>
          <w:tcPr>
            <w:tcW w:w="14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35,484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36,845</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Commitments and contingencies</w:t>
            </w: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380"/>
              <w:spacing w:after="0"/>
              <w:rPr>
                <w:sz w:val="20"/>
                <w:szCs w:val="20"/>
                <w:color w:val="auto"/>
              </w:rPr>
            </w:pPr>
            <w:r>
              <w:rPr>
                <w:rFonts w:ascii="Arial" w:cs="Arial" w:eastAsia="Arial" w:hAnsi="Arial"/>
                <w:sz w:val="14"/>
                <w:szCs w:val="14"/>
                <w:color w:val="auto"/>
              </w:rPr>
              <w:t>Common stock, $1.00 par value; 1,000 shares authorized, issued and outstanding</w:t>
            </w:r>
          </w:p>
        </w:tc>
        <w:tc>
          <w:tcPr>
            <w:tcW w:w="140" w:type="dxa"/>
            <w:vAlign w:val="bottom"/>
          </w:tcPr>
          <w:p>
            <w:pPr>
              <w:spacing w:after="0"/>
              <w:rPr>
                <w:sz w:val="17"/>
                <w:szCs w:val="17"/>
                <w:color w:val="auto"/>
              </w:rPr>
            </w:pPr>
          </w:p>
        </w:tc>
        <w:tc>
          <w:tcPr>
            <w:tcW w:w="1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16,783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16,716</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38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color w:val="auto"/>
              </w:rPr>
              <w:t>(5,301)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(5,251)</w:t>
            </w:r>
          </w:p>
        </w:tc>
        <w:tc>
          <w:tcPr>
            <w:tcW w:w="0" w:type="dxa"/>
            <w:vAlign w:val="bottom"/>
          </w:tcPr>
          <w:p>
            <w:pPr>
              <w:spacing w:after="0"/>
              <w:rPr>
                <w:sz w:val="1"/>
                <w:szCs w:val="1"/>
                <w:color w:val="auto"/>
              </w:rPr>
            </w:pPr>
          </w:p>
        </w:tc>
      </w:tr>
      <w:tr>
        <w:trPr>
          <w:trHeight w:val="60"/>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Accumulated deficit</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(1,577)</w:t>
            </w:r>
          </w:p>
        </w:tc>
        <w:tc>
          <w:tcPr>
            <w:tcW w:w="0" w:type="dxa"/>
            <w:vAlign w:val="bottom"/>
          </w:tcPr>
          <w:p>
            <w:pPr>
              <w:spacing w:after="0"/>
              <w:rPr>
                <w:sz w:val="1"/>
                <w:szCs w:val="1"/>
                <w:color w:val="auto"/>
              </w:rPr>
            </w:pPr>
          </w:p>
        </w:tc>
      </w:tr>
      <w:tr>
        <w:trPr>
          <w:trHeight w:val="66"/>
        </w:trPr>
        <w:tc>
          <w:tcPr>
            <w:tcW w:w="79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7900" w:type="dxa"/>
            <w:vAlign w:val="bottom"/>
          </w:tcPr>
          <w:p>
            <w:pPr>
              <w:ind w:left="720"/>
              <w:spacing w:after="0"/>
              <w:rPr>
                <w:sz w:val="20"/>
                <w:szCs w:val="20"/>
                <w:color w:val="auto"/>
              </w:rPr>
            </w:pPr>
            <w:r>
              <w:rPr>
                <w:rFonts w:ascii="Arial" w:cs="Arial" w:eastAsia="Arial" w:hAnsi="Arial"/>
                <w:sz w:val="14"/>
                <w:szCs w:val="14"/>
                <w:color w:val="auto"/>
              </w:rPr>
              <w:t>Total stockholder’s equity</w:t>
            </w:r>
          </w:p>
        </w:tc>
        <w:tc>
          <w:tcPr>
            <w:tcW w:w="140" w:type="dxa"/>
            <w:vAlign w:val="bottom"/>
          </w:tcPr>
          <w:p>
            <w:pPr>
              <w:spacing w:after="0"/>
              <w:rPr>
                <w:sz w:val="16"/>
                <w:szCs w:val="16"/>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11,240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9,888</w:t>
            </w:r>
          </w:p>
        </w:tc>
        <w:tc>
          <w:tcPr>
            <w:tcW w:w="0" w:type="dxa"/>
            <w:vAlign w:val="bottom"/>
          </w:tcPr>
          <w:p>
            <w:pPr>
              <w:spacing w:after="0"/>
              <w:rPr>
                <w:sz w:val="1"/>
                <w:szCs w:val="1"/>
                <w:color w:val="auto"/>
              </w:rPr>
            </w:pPr>
          </w:p>
        </w:tc>
      </w:tr>
      <w:tr>
        <w:trPr>
          <w:trHeight w:val="60"/>
        </w:trPr>
        <w:tc>
          <w:tcPr>
            <w:tcW w:w="79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4"/>
                <w:szCs w:val="14"/>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62,870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61,401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76" w:right="239" w:bottom="408"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576" w:right="239" w:bottom="408"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3540" w:type="dxa"/>
            <w:vAlign w:val="bottom"/>
            <w:tcBorders>
              <w:bottom w:val="single" w:sz="8" w:color="auto"/>
            </w:tcBorders>
            <w:gridSpan w:val="5"/>
          </w:tcPr>
          <w:p>
            <w:pPr>
              <w:jc w:val="right"/>
              <w:ind w:right="49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2120" w:type="dxa"/>
            <w:vAlign w:val="bottom"/>
            <w:tcBorders>
              <w:bottom w:val="single" w:sz="8" w:color="CCEEFF"/>
            </w:tcBorders>
          </w:tcPr>
          <w:p>
            <w:pPr>
              <w:spacing w:after="0"/>
              <w:rPr>
                <w:sz w:val="22"/>
                <w:szCs w:val="22"/>
                <w:color w:val="auto"/>
              </w:rPr>
            </w:pPr>
          </w:p>
        </w:tc>
        <w:tc>
          <w:tcPr>
            <w:tcW w:w="57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r>
      <w:tr>
        <w:trPr>
          <w:trHeight w:val="25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2,738</w:t>
            </w: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21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Capital expenditures and aircraft purchase deposits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Proceeds from sale of property and equipment and sale-leaseback transactions</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816</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Purchases of short-term investments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Sales of short-term investments</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4,714</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Decrease in restricted short-term investments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Purchase of equity investment</w:t>
            </w:r>
          </w:p>
        </w:tc>
        <w:tc>
          <w:tcPr>
            <w:tcW w:w="10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10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gridSpan w:val="2"/>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(3,032)</w:t>
            </w:r>
          </w:p>
        </w:tc>
      </w:tr>
      <w:tr>
        <w:trPr>
          <w:trHeight w:val="257"/>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2,160</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Payments on long-term debt and capital leases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Deferred financing costs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Other financing activities</w:t>
            </w:r>
          </w:p>
        </w:tc>
        <w:tc>
          <w:tcPr>
            <w:tcW w:w="10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44"/>
        </w:trPr>
        <w:tc>
          <w:tcPr>
            <w:tcW w:w="788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302</w:t>
            </w:r>
          </w:p>
        </w:tc>
      </w:tr>
      <w:tr>
        <w:trPr>
          <w:trHeight w:val="257"/>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restricted cash</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64"/>
        </w:trPr>
        <w:tc>
          <w:tcPr>
            <w:tcW w:w="78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restricted cash at beginning of period</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424</w:t>
            </w:r>
          </w:p>
        </w:tc>
      </w:tr>
      <w:tr>
        <w:trPr>
          <w:trHeight w:val="257"/>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1"/>
                <w:szCs w:val="21"/>
                <w:color w:val="auto"/>
                <w:vertAlign w:val="superscript"/>
              </w:rPr>
              <w:t>(a)</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r>
      <w:tr>
        <w:trPr>
          <w:trHeight w:val="20"/>
        </w:trPr>
        <w:tc>
          <w:tcPr>
            <w:tcW w:w="21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78"/>
        </w:trPr>
        <w:tc>
          <w:tcPr>
            <w:tcW w:w="21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Supplemental information: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Interest paid, net</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718</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57"/>
        </w:trPr>
        <w:tc>
          <w:tcPr>
            <w:tcW w:w="2120" w:type="dxa"/>
            <w:vAlign w:val="bottom"/>
            <w:tcBorders>
              <w:bottom w:val="single" w:sz="8" w:color="auto"/>
            </w:tcBorders>
          </w:tcPr>
          <w:p>
            <w:pPr>
              <w:spacing w:after="0"/>
              <w:rPr>
                <w:sz w:val="22"/>
                <w:szCs w:val="22"/>
                <w:color w:val="auto"/>
              </w:rPr>
            </w:pPr>
          </w:p>
        </w:tc>
        <w:tc>
          <w:tcPr>
            <w:tcW w:w="57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bl>
    <w:p>
      <w:pPr>
        <w:spacing w:after="0" w:line="296" w:lineRule="exact"/>
        <w:rPr>
          <w:sz w:val="20"/>
          <w:szCs w:val="20"/>
          <w:color w:val="auto"/>
        </w:rPr>
      </w:pPr>
    </w:p>
    <w:p>
      <w:pPr>
        <w:ind w:left="180" w:hanging="172"/>
        <w:spacing w:after="0" w:line="225" w:lineRule="auto"/>
        <w:tabs>
          <w:tab w:leader="none" w:pos="193"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r>
      <w:tr>
        <w:trPr>
          <w:trHeight w:val="264"/>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r>
      <w:tr>
        <w:trPr>
          <w:trHeight w:val="257"/>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r>
      <w:tr>
        <w:trPr>
          <w:trHeight w:val="20"/>
        </w:trPr>
        <w:tc>
          <w:tcPr>
            <w:tcW w:w="7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76"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Recent Accounting Pronouncements</w:t>
      </w:r>
    </w:p>
    <w:p>
      <w:pPr>
        <w:spacing w:after="0" w:line="90" w:lineRule="exact"/>
        <w:rPr>
          <w:rFonts w:ascii="Arial" w:cs="Arial" w:eastAsia="Arial" w:hAnsi="Arial"/>
          <w:sz w:val="18"/>
          <w:szCs w:val="18"/>
          <w:b w:val="1"/>
          <w:bCs w:val="1"/>
          <w:color w:val="auto"/>
        </w:rPr>
      </w:pPr>
    </w:p>
    <w:p>
      <w:pPr>
        <w:ind w:left="520" w:hanging="269"/>
        <w:spacing w:after="0"/>
        <w:tabs>
          <w:tab w:leader="none" w:pos="52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2017. American is the principal wholly-owned subsidiary of American Airlines Group Inc. (AAG). All significant intercompany transactions have been eliminated.</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On December 9, 2013, a subsidiary of AMR Corporation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On December 30, 2015, in order to simplify AAG’s internal corporate structure, US Airways Group merged with and into AAG, with AAG as the surviving corporation. Immediately thereafter, US Airways, Inc. (US Airways), a wholly-owned subsidiary of US Airways Group, merged with and into American, with American as the surviving corporation.</w:t>
      </w:r>
    </w:p>
    <w:p>
      <w:pPr>
        <w:spacing w:after="0" w:line="1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valuation allowance for deferred tax assets, as well as pension and retiree medical and other postretirement benefits.</w:t>
      </w:r>
    </w:p>
    <w:p>
      <w:pPr>
        <w:spacing w:after="0" w:line="212" w:lineRule="exact"/>
        <w:rPr>
          <w:sz w:val="20"/>
          <w:szCs w:val="20"/>
          <w:color w:val="auto"/>
        </w:rPr>
      </w:pPr>
    </w:p>
    <w:p>
      <w:pPr>
        <w:ind w:left="220" w:right="7440" w:firstLine="4"/>
        <w:spacing w:after="0" w:line="378" w:lineRule="auto"/>
        <w:tabs>
          <w:tab w:leader="none" w:pos="50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i w:val="1"/>
          <w:iCs w:val="1"/>
          <w:u w:val="single" w:color="auto"/>
          <w:color w:val="auto"/>
        </w:rPr>
        <w:t>Standards Effective for 2018 Reporting Periods</w:t>
      </w:r>
    </w:p>
    <w:p>
      <w:pPr>
        <w:ind w:left="220"/>
        <w:spacing w:after="0"/>
        <w:rPr>
          <w:rFonts w:ascii="Arial" w:cs="Arial" w:eastAsia="Arial" w:hAnsi="Arial"/>
          <w:sz w:val="17"/>
          <w:szCs w:val="17"/>
          <w:b w:val="1"/>
          <w:bCs w:val="1"/>
          <w:color w:val="auto"/>
        </w:rPr>
      </w:pPr>
      <w:r>
        <w:rPr>
          <w:rFonts w:ascii="Arial" w:cs="Arial" w:eastAsia="Arial" w:hAnsi="Arial"/>
          <w:sz w:val="18"/>
          <w:szCs w:val="18"/>
          <w:color w:val="auto"/>
        </w:rPr>
        <w:t>Effective January 1, 2018, American adopted the accounting pronouncements described below.</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2014-09: Revenue from Contracts with Customers (Topic 606) (the New Revenue Standard)</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New Revenue Standard applies to all companies that enter into contracts with customers to transfer goods or services. American adopted the New Revenue Standard using the full retrospective method, which resulted in the recast of prior reporting periods.</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adoption of the New Revenue Standard impacted American’s accounting for outstanding mileage credits earned through travel by AAdvantage loyalty program members. There was no change in accounting for sales of mileage credits to co-branded card or other partners. Prior to the adoption of the New Revenue Standard, American used the incremental cost method to account for the portion of its loyalty program liability related to mileage credits earned through travel, which were valued based on the estimated incremental cost of carrying one additional passenger. The New Revenue Standard required American to change its policy to the deferred revenue method and apply a relative selling price approach whereby a portion of each passenger ticket sale attributable to mileage credits earned is deferred and recognized in passenger revenue upon future mileage redemption. The value of the earned mileage credits is materially greater under the deferred revenue method than the value attributed to these mileage credits under the incremental cost method.</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New Revenue Standard also required certain reclassifications, principally the reclassification of certain ancillary revenues previously classified and reported as other revenue to passenger revenue and as applicable to cargo revenue. Additionally, the New Revenue Standard required a gross presentation on the face of American’s condensed consolidated statement of operations for certain revenues and expenses that had previously been presented on a net basis.</w:t>
      </w:r>
    </w:p>
    <w:p>
      <w:pPr>
        <w:spacing w:after="0" w:line="15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See recast condensed consolidated statement of operations data for the three and nine months ended September 30, 2017 and recast consolidated balance sheet data as of December 31, 2017 presented below for the effects of adoption.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76"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ASU 2017-07: Compensation - Retirement Benefits (Topic 715): Improving the Presentation of Net Periodic Pension Cost and Net Periodic Postretirement Benefit Cost (the New Retirement Standard)</w:t>
      </w:r>
    </w:p>
    <w:p>
      <w:pPr>
        <w:spacing w:after="0" w:line="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New Retirement Standard required all components of American’s net periodic benefit cost (income), with the exception of service cost, previously reported within operating expenses as salaries, wages and benefits, to be reclassified and reported within nonoperating income (expense). The New Retirement Standard was applied retrospectively, which resulted in the recast of each prior reporting period presented. The adoption of the New Retirement Standard had no impact on pre-tax income or net income reported.</w:t>
      </w:r>
    </w:p>
    <w:p>
      <w:pPr>
        <w:spacing w:after="0" w:line="15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See recast condensed consolidated statement of operations data for the three and nine months ended September 30, 2017 presented below for the effects of adoption.</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2016-01: Financial Instruments - Overall (Subtopic 825-10)</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This ASU made several modifications to Subtopic 825-10, including the elimination of the available-for-sale classification of equity investments, and it required equity investments with readily determinable fair values to be measured at fair value with changes in fair value recognized in net income. This standard was adopted prospectively as of January 1, 2018 and resulted in a $77 million cumulative effect adjustment credit to retained earnings related to American's investment in China Southern Airlines Company Limited (China Southern Airlines), which was previously accounted for under the cost method.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2016-18: Statement of Cash Flows (Topic 230): Restricted Cash</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This ASU required that the change in total cash, cash at beginning of period and cash at end of period on the statement of cash flows include restricted cash and also requires companies who report cash and restricted cash separately on the balance sheet to reconcile those amounts to the statement of cash flows. This standard was applied retrospectively, which resulted in the recast of the prior reporting period in the statement of cash flows. For the nine months ended September 30, 2018 and 2017, $11 million and $104 million, respectively, of restricted cash is included in the total of cash and restricted cash balance at the end of period. A reconciliation of cash and restricted cash from American's condensed consolidated statement of cash flows to the amounts reported within its condensed consolidated balance sheet is also included in a table below its condensed consolidated statement of cash flows.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Impacts to Prior Period Results</w:t>
      </w:r>
    </w:p>
    <w:p>
      <w:pPr>
        <w:spacing w:after="0" w:line="11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effects of adoption of the New Revenue Standard and New Retirement Standard to American’s condensed consolidated statement of operations for the three and nine months ended September 30, 2017 were as follows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New Retirement</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6"/>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New Revenue Standard</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Standard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75"/>
        </w:trPr>
        <w:tc>
          <w:tcPr>
            <w:tcW w:w="284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52"/>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Ancillary Revenue</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Versus Net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 Method</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Presentation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As Recast</w:t>
            </w:r>
          </w:p>
        </w:tc>
      </w:tr>
      <w:tr>
        <w:trPr>
          <w:trHeight w:val="256"/>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Passenger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9,377</w:t>
            </w:r>
          </w:p>
        </w:tc>
        <w:tc>
          <w:tcPr>
            <w:tcW w:w="100" w:type="dxa"/>
            <w:vAlign w:val="bottom"/>
          </w:tcPr>
          <w:p>
            <w:pPr>
              <w:spacing w:after="0"/>
              <w:rPr>
                <w:sz w:val="21"/>
                <w:szCs w:val="21"/>
                <w:color w:val="auto"/>
              </w:rPr>
            </w:pPr>
          </w:p>
        </w:tc>
        <w:tc>
          <w:tcPr>
            <w:tcW w:w="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10,096</w:t>
            </w:r>
          </w:p>
        </w:tc>
      </w:tr>
      <w:tr>
        <w:trPr>
          <w:trHeight w:val="263"/>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r>
      <w:tr>
        <w:trPr>
          <w:trHeight w:val="250"/>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643</w:t>
            </w:r>
          </w:p>
        </w:tc>
      </w:tr>
      <w:tr>
        <w:trPr>
          <w:trHeight w:val="257"/>
        </w:trPr>
        <w:tc>
          <w:tcPr>
            <w:tcW w:w="2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10,962</w:t>
            </w:r>
          </w:p>
        </w:tc>
      </w:tr>
      <w:tr>
        <w:trPr>
          <w:trHeight w:val="250"/>
        </w:trPr>
        <w:tc>
          <w:tcPr>
            <w:tcW w:w="2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9,650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9,713</w:t>
            </w:r>
          </w:p>
        </w:tc>
      </w:tr>
      <w:tr>
        <w:trPr>
          <w:trHeight w:val="25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1,249</w:t>
            </w:r>
          </w:p>
        </w:tc>
      </w:tr>
      <w:tr>
        <w:trPr>
          <w:trHeight w:val="229"/>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Total nonoperating expense,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57"/>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1,103</w:t>
            </w:r>
          </w:p>
        </w:tc>
      </w:tr>
      <w:tr>
        <w:trPr>
          <w:trHeight w:val="250"/>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417</w:t>
            </w:r>
          </w:p>
        </w:tc>
      </w:tr>
      <w:tr>
        <w:trPr>
          <w:trHeight w:val="250"/>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686</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28</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New Retirement</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6"/>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New Revenue Standard</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Standard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75"/>
        </w:trPr>
        <w:tc>
          <w:tcPr>
            <w:tcW w:w="284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52"/>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Ancillary Revenue</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Versus Net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 Method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Presentation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As Recast</w:t>
            </w:r>
          </w:p>
        </w:tc>
      </w:tr>
      <w:tr>
        <w:trPr>
          <w:trHeight w:val="250"/>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63"/>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Passenger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27,114</w:t>
            </w:r>
          </w:p>
        </w:tc>
        <w:tc>
          <w:tcPr>
            <w:tcW w:w="100" w:type="dxa"/>
            <w:vAlign w:val="bottom"/>
          </w:tcPr>
          <w:p>
            <w:pPr>
              <w:spacing w:after="0"/>
              <w:rPr>
                <w:sz w:val="22"/>
                <w:szCs w:val="22"/>
                <w:color w:val="auto"/>
              </w:rPr>
            </w:pPr>
          </w:p>
        </w:tc>
        <w:tc>
          <w:tcPr>
            <w:tcW w:w="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29,447</w:t>
            </w:r>
          </w:p>
        </w:tc>
      </w:tr>
      <w:tr>
        <w:trPr>
          <w:trHeight w:val="27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633</w:t>
            </w:r>
          </w:p>
        </w:tc>
      </w:tr>
      <w:tr>
        <w:trPr>
          <w:trHeight w:val="26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1,923</w:t>
            </w:r>
          </w:p>
        </w:tc>
      </w:tr>
      <w:tr>
        <w:trPr>
          <w:trHeight w:val="257"/>
        </w:trPr>
        <w:tc>
          <w:tcPr>
            <w:tcW w:w="2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31,598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32,003</w:t>
            </w:r>
          </w:p>
        </w:tc>
      </w:tr>
      <w:tr>
        <w:trPr>
          <w:trHeight w:val="264"/>
        </w:trPr>
        <w:tc>
          <w:tcPr>
            <w:tcW w:w="2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28,242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28,423</w:t>
            </w:r>
          </w:p>
        </w:tc>
      </w:tr>
      <w:tr>
        <w:trPr>
          <w:trHeight w:val="25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3,356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3,580</w:t>
            </w:r>
          </w:p>
        </w:tc>
      </w:tr>
      <w:tr>
        <w:trPr>
          <w:trHeight w:val="229"/>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Total nonoperating expense,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r>
      <w:tr>
        <w:trPr>
          <w:trHeight w:val="257"/>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2,784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3,112</w:t>
            </w:r>
          </w:p>
        </w:tc>
      </w:tr>
      <w:tr>
        <w:trPr>
          <w:trHeight w:val="264"/>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1,170</w:t>
            </w:r>
          </w:p>
        </w:tc>
      </w:tr>
      <w:tr>
        <w:trPr>
          <w:trHeight w:val="250"/>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1,942</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effects of adoption of the New Revenue Standard to American’s December 31, 2017 consolidated balance sheet are as follows (in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Reported</w:t>
            </w:r>
          </w:p>
        </w:tc>
        <w:tc>
          <w:tcPr>
            <w:tcW w:w="1940" w:type="dxa"/>
            <w:vAlign w:val="bottom"/>
            <w:gridSpan w:val="3"/>
          </w:tcPr>
          <w:p>
            <w:pPr>
              <w:ind w:left="120"/>
              <w:spacing w:after="0"/>
              <w:rPr>
                <w:sz w:val="20"/>
                <w:szCs w:val="20"/>
                <w:color w:val="auto"/>
              </w:rPr>
            </w:pPr>
            <w:r>
              <w:rPr>
                <w:rFonts w:ascii="Arial" w:cs="Arial" w:eastAsia="Arial" w:hAnsi="Arial"/>
                <w:sz w:val="14"/>
                <w:szCs w:val="14"/>
                <w:b w:val="1"/>
                <w:bCs w:val="1"/>
                <w:color w:val="auto"/>
              </w:rPr>
              <w:t>New Revenue Standard</w:t>
            </w:r>
          </w:p>
        </w:tc>
        <w:tc>
          <w:tcPr>
            <w:tcW w:w="360" w:type="dxa"/>
            <w:vAlign w:val="bottom"/>
          </w:tcPr>
          <w:p>
            <w:pPr>
              <w:spacing w:after="0"/>
              <w:rPr>
                <w:sz w:val="17"/>
                <w:szCs w:val="17"/>
                <w:color w:val="auto"/>
              </w:rPr>
            </w:pPr>
          </w:p>
        </w:tc>
        <w:tc>
          <w:tcPr>
            <w:tcW w:w="1480" w:type="dxa"/>
            <w:vAlign w:val="bottom"/>
          </w:tcPr>
          <w:p>
            <w:pPr>
              <w:jc w:val="right"/>
              <w:ind w:right="493"/>
              <w:spacing w:after="0"/>
              <w:rPr>
                <w:sz w:val="20"/>
                <w:szCs w:val="20"/>
                <w:color w:val="auto"/>
              </w:rPr>
            </w:pPr>
            <w:r>
              <w:rPr>
                <w:rFonts w:ascii="Arial" w:cs="Arial" w:eastAsia="Arial" w:hAnsi="Arial"/>
                <w:sz w:val="14"/>
                <w:szCs w:val="14"/>
                <w:b w:val="1"/>
                <w:bCs w:val="1"/>
                <w:color w:val="auto"/>
              </w:rPr>
              <w:t>As Recast</w:t>
            </w:r>
          </w:p>
        </w:tc>
      </w:tr>
      <w:tr>
        <w:trPr>
          <w:trHeight w:val="256"/>
        </w:trPr>
        <w:tc>
          <w:tcPr>
            <w:tcW w:w="5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682</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1,389</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2,071</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Air traffic liability</w:t>
            </w:r>
          </w:p>
        </w:tc>
        <w:tc>
          <w:tcPr>
            <w:tcW w:w="300" w:type="dxa"/>
            <w:vAlign w:val="bottom"/>
          </w:tcPr>
          <w:p>
            <w:pPr>
              <w:spacing w:after="0"/>
              <w:rPr>
                <w:sz w:val="22"/>
                <w:szCs w:val="22"/>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4,042</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loyalty program liability</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3,121</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Noncurrent loyalty program liability</w:t>
            </w:r>
          </w:p>
        </w:tc>
        <w:tc>
          <w:tcPr>
            <w:tcW w:w="30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5,701</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 (deficit)</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9,888</w:t>
            </w:r>
          </w:p>
        </w:tc>
      </w:tr>
    </w:tbl>
    <w:p>
      <w:pPr>
        <w:spacing w:after="0" w:line="38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Standards Effective for 2019 Reporting Periods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2016-02: Leases (Topic 842) (the New Lease Standard)</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New Lease Standard requires lessees to recognize a lease liability and a right-of-use asset on the balance sheet and aligns many of the underlying principles of the new lessor model with those in the New Revenue Standard. The New Lease Standard is effective for fiscal years beginning after December 15, 2018, including interim periods within those fiscal years. Early adoption is permitted. In July 2018, the FASB issued ASU 2018-11, "Leases (Topic 842) - Targeted Improvements," which provides entities an optional transition method to apply the New Lease Standard prospectively at the date of adoption instead of recasting prior reporting periods. If this optional transition method is elected, an entity would recognize a cumulative-effect adjustment to the opening balance of retained earnings in the period of adoption.</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will adopt the New Lease Standard effective January 1, 2019. American is currently evaluating how the adoption of the New Lease Standard will impact its consolidated financial statements. Interpretations are on-going and could have a material impact on American's implementation of the New Lease Standard. Currently, American expects that the adoption of the New Lease Standard will have a material impact on its consolidated balance sheet due to the recognition of right-of-use assets and lease liabilities principally for certain leases currently accounted for as operating leases.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3"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40" w:firstLine="216"/>
        <w:spacing w:after="0" w:line="287" w:lineRule="auto"/>
        <w:rPr>
          <w:sz w:val="20"/>
          <w:szCs w:val="20"/>
          <w:color w:val="auto"/>
        </w:rPr>
      </w:pPr>
      <w:r>
        <w:rPr>
          <w:rFonts w:ascii="Arial" w:cs="Arial" w:eastAsia="Arial" w:hAnsi="Arial"/>
          <w:sz w:val="18"/>
          <w:szCs w:val="18"/>
          <w:b w:val="1"/>
          <w:bCs w:val="1"/>
          <w:i w:val="1"/>
          <w:iCs w:val="1"/>
          <w:color w:val="auto"/>
        </w:rPr>
        <w:t>ASU 2018-02: Income Statement - Reporting Comprehensive Income (Topic 220): Reclassification of Certain Tax Effects from Accumulated Other Comprehensive Income</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This ASU provides financial statement preparers with an option to reclassify stranded tax effects within accumulated other comprehensive income to retained earnings due to the U.S. federal corporate income tax rate change as a result of H.R. 1, the 2017 Tax Cuts and Jobs Act (the 2017 Tax Act). The amount of the reclassification is the difference between the amount initially charged or credited directly to other comprehensive income at the previously enacted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and early adoption is permitted. American expects it will adopt this standard effective January 1, 2019. The adoption of the standard may impact tax amounts stranded in accumulated other comprehensive income related to American's pension and retiree medical and other postretirement benefit plans.</w:t>
      </w:r>
    </w:p>
    <w:p>
      <w:pPr>
        <w:spacing w:after="0" w:line="218"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Special items, net in the condensed consolidated statements of operations consisted of the following expenses (income)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18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292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2120" w:type="dxa"/>
            <w:vAlign w:val="bottom"/>
            <w:tcBorders>
              <w:bottom w:val="single" w:sz="8" w:color="CCEEFF"/>
            </w:tcBorders>
          </w:tcPr>
          <w:p>
            <w:pPr>
              <w:spacing w:after="0"/>
              <w:rPr>
                <w:sz w:val="22"/>
                <w:szCs w:val="22"/>
                <w:color w:val="auto"/>
              </w:rPr>
            </w:pPr>
          </w:p>
        </w:tc>
        <w:tc>
          <w:tcPr>
            <w:tcW w:w="292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56"/>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r>
      <w:tr>
        <w:trPr>
          <w:trHeight w:val="270"/>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98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192</w:t>
            </w:r>
          </w:p>
        </w:tc>
      </w:tr>
      <w:tr>
        <w:trPr>
          <w:trHeight w:val="27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98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9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(5)</w:t>
            </w:r>
          </w:p>
        </w:tc>
        <w:tc>
          <w:tcPr>
            <w:tcW w:w="9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Labor contract expenses</w:t>
            </w:r>
          </w:p>
        </w:tc>
        <w:tc>
          <w:tcPr>
            <w:tcW w:w="9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64"/>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Other operating charges, net</w:t>
            </w:r>
          </w:p>
        </w:tc>
        <w:tc>
          <w:tcPr>
            <w:tcW w:w="980" w:type="dxa"/>
            <w:vAlign w:val="bottom"/>
          </w:tcPr>
          <w:p>
            <w:pPr>
              <w:spacing w:after="0"/>
              <w:rPr>
                <w:sz w:val="22"/>
                <w:szCs w:val="22"/>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57"/>
        </w:trPr>
        <w:tc>
          <w:tcPr>
            <w:tcW w:w="50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Mainline operating special items, net</w:t>
            </w:r>
          </w:p>
        </w:tc>
        <w:tc>
          <w:tcPr>
            <w:tcW w:w="98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563</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r>
      <w:tr>
        <w:trPr>
          <w:trHeight w:val="284"/>
        </w:trPr>
        <w:tc>
          <w:tcPr>
            <w:tcW w:w="2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Regional operating special items, net</w:t>
            </w:r>
          </w:p>
        </w:tc>
        <w:tc>
          <w:tcPr>
            <w:tcW w:w="9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324"/>
        </w:trPr>
        <w:tc>
          <w:tcPr>
            <w:tcW w:w="2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1"/>
                <w:szCs w:val="21"/>
                <w:color w:val="auto"/>
                <w:vertAlign w:val="superscript"/>
              </w:rPr>
              <w:t>(6)</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Debt refinancing and extinguishment charges</w:t>
            </w:r>
          </w:p>
        </w:tc>
        <w:tc>
          <w:tcPr>
            <w:tcW w:w="9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57"/>
        </w:trPr>
        <w:tc>
          <w:tcPr>
            <w:tcW w:w="504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Nonoperating special items, net</w:t>
            </w:r>
          </w:p>
        </w:tc>
        <w:tc>
          <w:tcPr>
            <w:tcW w:w="98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324"/>
        </w:trPr>
        <w:tc>
          <w:tcPr>
            <w:tcW w:w="2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1"/>
                <w:szCs w:val="21"/>
                <w:color w:val="auto"/>
                <w:vertAlign w:val="superscript"/>
              </w:rPr>
              <w:t>(7)</w:t>
            </w:r>
          </w:p>
        </w:tc>
        <w:tc>
          <w:tcPr>
            <w:tcW w:w="9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2120" w:type="dxa"/>
            <w:vAlign w:val="bottom"/>
            <w:tcBorders>
              <w:bottom w:val="single" w:sz="8" w:color="auto"/>
            </w:tcBorders>
          </w:tcPr>
          <w:p>
            <w:pPr>
              <w:spacing w:after="0"/>
              <w:rPr>
                <w:sz w:val="22"/>
                <w:szCs w:val="22"/>
                <w:color w:val="auto"/>
              </w:rPr>
            </w:pPr>
          </w:p>
        </w:tc>
        <w:tc>
          <w:tcPr>
            <w:tcW w:w="2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remaining lease payments for aircraft and related equipment grounded or expected to be grounded earlier than planned.</w:t>
      </w:r>
    </w:p>
    <w:p>
      <w:pPr>
        <w:spacing w:after="0" w:line="81"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American's integration projects, principally its flight attendant, human resources and payroll, and technical operations integrations.</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Severance expenses primarily included costs associated with reductions in headcount of management and support staff team members.</w:t>
      </w:r>
    </w:p>
    <w:p>
      <w:pPr>
        <w:spacing w:after="0" w:line="161"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will ultimately be settled in shares of AAG common stock. Accordingly, fluctuations in AAG's stock price result in mark-to-market adjustments to these obligations.</w:t>
      </w:r>
    </w:p>
    <w:p>
      <w:pPr>
        <w:spacing w:after="0" w:line="163"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American's Brazil route authority as a result of ratification of the U.S.-Brazil open skies agreement.</w:t>
      </w:r>
    </w:p>
    <w:p>
      <w:pPr>
        <w:sectPr>
          <w:pgSz w:w="11900" w:h="16838" w:orient="portrait"/>
          <w:cols w:equalWidth="0" w:num="1">
            <w:col w:w="11420"/>
          </w:cols>
          <w:pgMar w:left="240" w:top="333" w:right="239"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333"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hanging="330"/>
        <w:spacing w:after="0" w:line="225" w:lineRule="auto"/>
        <w:tabs>
          <w:tab w:leader="none" w:pos="500" w:val="left"/>
        </w:tabs>
        <w:numPr>
          <w:ilvl w:val="1"/>
          <w:numId w:val="20"/>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investments relate to net unrealized losses resulting from the change in market value primarily associated with our equity investments in China Southern Airlines and Mesa Air Group, Inc.</w:t>
      </w:r>
    </w:p>
    <w:p>
      <w:pPr>
        <w:spacing w:after="0" w:line="163" w:lineRule="exact"/>
        <w:rPr>
          <w:rFonts w:ascii="Arial" w:cs="Arial" w:eastAsia="Arial" w:hAnsi="Arial"/>
          <w:sz w:val="22"/>
          <w:szCs w:val="22"/>
          <w:color w:val="auto"/>
          <w:vertAlign w:val="superscript"/>
        </w:rPr>
      </w:pPr>
    </w:p>
    <w:p>
      <w:pPr>
        <w:jc w:val="both"/>
        <w:ind w:left="500" w:right="20" w:hanging="330"/>
        <w:spacing w:after="0" w:line="233" w:lineRule="auto"/>
        <w:tabs>
          <w:tab w:leader="none" w:pos="500" w:val="left"/>
        </w:tabs>
        <w:numPr>
          <w:ilvl w:val="1"/>
          <w:numId w:val="20"/>
        </w:numPr>
        <w:rPr>
          <w:rFonts w:ascii="Arial" w:cs="Arial" w:eastAsia="Arial" w:hAnsi="Arial"/>
          <w:sz w:val="22"/>
          <w:szCs w:val="22"/>
          <w:color w:val="auto"/>
          <w:vertAlign w:val="superscript"/>
        </w:rPr>
      </w:pPr>
      <w:r>
        <w:rPr>
          <w:rFonts w:ascii="Arial" w:cs="Arial" w:eastAsia="Arial" w:hAnsi="Arial"/>
          <w:sz w:val="18"/>
          <w:szCs w:val="18"/>
          <w:color w:val="auto"/>
        </w:rPr>
        <w:t>Income tax special items for the nine months ended September 30, 2018 included a $30 million charge to income tax expense to establish a required valuation allowance related to American's estimated refund for Alternative Minimum Tax (AMT) credits and an $18 million charge related to an international income tax matter.</w:t>
      </w:r>
    </w:p>
    <w:p>
      <w:pPr>
        <w:spacing w:after="0" w:line="221" w:lineRule="exact"/>
        <w:rPr>
          <w:rFonts w:ascii="Arial" w:cs="Arial" w:eastAsia="Arial" w:hAnsi="Arial"/>
          <w:sz w:val="22"/>
          <w:szCs w:val="22"/>
          <w:color w:val="auto"/>
          <w:vertAlign w:val="superscript"/>
        </w:rPr>
      </w:pPr>
    </w:p>
    <w:p>
      <w:pPr>
        <w:ind w:left="200" w:hanging="192"/>
        <w:spacing w:after="0"/>
        <w:tabs>
          <w:tab w:leader="none" w:pos="2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90" w:lineRule="exact"/>
        <w:rPr>
          <w:rFonts w:ascii="Arial" w:cs="Arial" w:eastAsia="Arial" w:hAnsi="Arial"/>
          <w:sz w:val="18"/>
          <w:szCs w:val="18"/>
          <w:b w:val="1"/>
          <w:bCs w:val="1"/>
          <w:color w:val="auto"/>
        </w:rPr>
      </w:pPr>
    </w:p>
    <w:p>
      <w:pPr>
        <w:ind w:left="500" w:hanging="262"/>
        <w:spacing w:after="0"/>
        <w:tabs>
          <w:tab w:leader="none" w:pos="500" w:val="left"/>
        </w:tabs>
        <w:numPr>
          <w:ilvl w:val="2"/>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12"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Effective January 1, 2018, American adopted the New Revenue Standard using the full retrospective method, which resulted in the recast of prior reporting periods. See Recent Accounting Pronouncements in Note 1(b) above for effects of adoption on American's condensed consolidated statement of operations for the three and nine months ended September 30, 2017 and on American's consolidated balance sheet as of December 31, 2017. Under the New Revenue Standard, revenue is recognized upon transfer of control of promised products or services to American's customers in an amount that reflects the consideration it expects to receive in exchange for those products or services.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the significant categories comprising American's reported operating revenues (in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2120" w:type="dxa"/>
            <w:vAlign w:val="bottom"/>
            <w:tcBorders>
              <w:bottom w:val="single" w:sz="8" w:color="CCEEFF"/>
            </w:tcBorders>
          </w:tcPr>
          <w:p>
            <w:pPr>
              <w:spacing w:after="0"/>
              <w:rPr>
                <w:sz w:val="22"/>
                <w:szCs w:val="22"/>
                <w:color w:val="auto"/>
              </w:rPr>
            </w:pPr>
          </w:p>
        </w:tc>
        <w:tc>
          <w:tcPr>
            <w:tcW w:w="30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Passenger travel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9,790</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9,400</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28,278</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27,179</w:t>
            </w:r>
          </w:p>
        </w:tc>
      </w:tr>
      <w:tr>
        <w:trPr>
          <w:trHeight w:val="277"/>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2,268</w:t>
            </w:r>
          </w:p>
        </w:tc>
      </w:tr>
      <w:tr>
        <w:trPr>
          <w:trHeight w:val="243"/>
        </w:trPr>
        <w:tc>
          <w:tcPr>
            <w:tcW w:w="5160" w:type="dxa"/>
            <w:vAlign w:val="bottom"/>
            <w:gridSpan w:val="2"/>
          </w:tcPr>
          <w:p>
            <w:pPr>
              <w:ind w:left="500"/>
              <w:spacing w:after="0"/>
              <w:rPr>
                <w:sz w:val="20"/>
                <w:szCs w:val="20"/>
                <w:color w:val="auto"/>
              </w:rPr>
            </w:pPr>
            <w:r>
              <w:rPr>
                <w:rFonts w:ascii="Arial" w:cs="Arial" w:eastAsia="Arial" w:hAnsi="Arial"/>
                <w:sz w:val="18"/>
                <w:szCs w:val="18"/>
                <w:color w:val="auto"/>
              </w:rPr>
              <w:t>Total passenger revenue</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10,561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10,096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30,714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29,447</w:t>
            </w:r>
          </w:p>
        </w:tc>
      </w:tr>
      <w:tr>
        <w:trPr>
          <w:trHeight w:val="27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633</w:t>
            </w:r>
          </w:p>
        </w:tc>
      </w:tr>
      <w:tr>
        <w:trPr>
          <w:trHeight w:val="26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Loyalty revenue - marketing services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1,574</w:t>
            </w:r>
          </w:p>
        </w:tc>
      </w:tr>
      <w:tr>
        <w:trPr>
          <w:trHeight w:val="264"/>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349</w:t>
            </w:r>
          </w:p>
        </w:tc>
      </w:tr>
      <w:tr>
        <w:trPr>
          <w:trHeight w:val="250"/>
        </w:trPr>
        <w:tc>
          <w:tcPr>
            <w:tcW w:w="5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other revenue</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2,132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1,923</w:t>
            </w:r>
          </w:p>
        </w:tc>
      </w:tr>
      <w:tr>
        <w:trPr>
          <w:trHeight w:val="257"/>
        </w:trPr>
        <w:tc>
          <w:tcPr>
            <w:tcW w:w="5160" w:type="dxa"/>
            <w:vAlign w:val="bottom"/>
            <w:gridSpan w:val="2"/>
          </w:tcPr>
          <w:p>
            <w:pPr>
              <w:ind w:left="72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11,556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10,962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33,594</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32,003</w:t>
            </w:r>
          </w:p>
        </w:tc>
      </w:tr>
      <w:tr>
        <w:trPr>
          <w:trHeight w:val="20"/>
        </w:trPr>
        <w:tc>
          <w:tcPr>
            <w:tcW w:w="2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Loyalty revenue included in passenger revenue is principally comprised of mileage credit redemptions for air travel awards from mileage credits earned through travel and mileage credits sold to co-branded card and other partners. See discussion of Loyalty Revenue below.</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4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7,424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22,071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21,522</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3,939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3,622</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Atlantic</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3,471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3,170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Pacific</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1,133</w:t>
            </w: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passenger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10,561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29,447</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3"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Passenger Revenue</w:t>
      </w:r>
    </w:p>
    <w:p>
      <w:pPr>
        <w:spacing w:after="0" w:line="108"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American recognizes all revenues generated from transportation on American and its regional flights operated under the brand name American Eagle, including associated baggage fees, ticketing change fees and other inflight services, as passenger revenue when transportation is provided. Ticket and other related sales for transportation that has not yet been provided are initially deferred and recorded as air traffic liability on the condensed consolidated balance sheets. The air traffic liability principally represents tickets sold for future travel dates and estimated future refunds and exchanges of tickets sold for past travel dates.</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passenger revenue using estimates regarding both the timing of the revenue recognition and the amount of revenue to be recognized. These estimates are generally based on the analysis of American's historical data. American has consistently applied this accounting method to estimate revenue from forfeited tickets at the date of travel. Estimated future refunds and exchanges included in the air traffic liability are routinely evaluated based on subsequent activity to validate the accuracy of American's estimates. Any adjustments resulting from periodic evaluations of the estimated air traffic liability are included in passenger revenue during the period in which the evaluations are completed.</w:t>
      </w:r>
    </w:p>
    <w:p>
      <w:pPr>
        <w:spacing w:after="0" w:line="153"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Various taxes and fees assessed on the sale of tickets to end customers are collected by American as an agent and remitted to taxing authorities. These taxes and fees have been presented on a net basis in the accompanying condensed consolidated statements of operations and recorded as a liability until remitted to the appropriate taxing authority.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Loyalty Revenue</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American currently operates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the Citi and Barclays US co-branded cards, hotels and car rental companies. Mileage credits can be redeemed for travel on American and other participating partner airlines as well as other non-air travel awards such as hotels and rental cars. For mileage credits earned by AAdvantage loyalty program members, American applies the deferred revenue method in accordance with the New Revenue Standard.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Mileage credits earned through travel</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mileage credits earned through travel, American applies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fares as those used to settle award redemptions. The estimated selling price of miles is adjusted for an estimate of miles that will not be redeemed based on historical redemption patterns.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Mileage credits sold to co-branded cards and other partners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sells mileage credits to participating airline partners and non-airline business partners including American's co-branded card partners, under contracts with terms extending generally for one to nine years. Consideration received from the sale of mileage credits is variable and payment terms typically are within 30 days subsequent to the month of mileage sale. Sales of mileage credits to non-airline business partners are comprised of two components, transportation and marketing. American allocates the consideration received from these sales of mileage credits based on the relative selling price of each product or service delivered.</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American's most significant partner agreements are its co-branded card program agreements with Citi and Barclays US that American entered into in 2016. American identified the following revenue elements in these co-branded card agreements: the transportation component; and the use of intellectual property including the American brand and access to loyalty program member lists, which is the predominant element in the agreements, as well as advertising (collectively, the marketing component). Accordingly, American recognizes the marketing component in other revenue in the period of the mileage sale following the sales-based royalty method.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3"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For the portion of American's outstanding mileage credits that it estimates will not be redeemed, American recognizes the associated value proportionally as the remaining mileage credits are redeemed. American's estimates are based on analysis of historical redemptions.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Cargo Revenue</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is recognized when American provides the transportation.</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Other revenue includes revenue associated with American's loyalty program, which is comprised principally of the marketing component of mileage sales to co-branded card and other partners and other marketing related payments. For the three and nine months ended September 30, 2018, loyalty revenue included in other revenue was $613 million and $1.8 billion, respectively. For the three and nine months ended September 30, 2017, loyalty revenue included in other revenue was $527 million and $1.6 billion, respectively. The accounting and recognition for the loyalty program marketing services are discussed above in Loyalty Revenue. The remaining amounts included within other revenue relate to airport clubs, advertising and vacation-related services.</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Contract Balances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American's condensed consolidated balance sheet and (2) ticket sales for transportation that has not yet been provided, reported as air traffic liability on American's condensed consolidated balance sheet.</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0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Loyalty program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8,559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8,822</w:t>
            </w: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Air traffic liability</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5,040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4,042</w:t>
            </w:r>
          </w:p>
        </w:tc>
      </w:tr>
      <w:tr>
        <w:trPr>
          <w:trHeight w:val="257"/>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13,599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12,864</w:t>
            </w: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-711200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card and other partners (deferral of revenue) and mileage credits redeemed (recognition of revenue). Changes in loyalty program liability are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8,822</w:t>
            </w:r>
          </w:p>
        </w:tc>
      </w:tr>
      <w:tr>
        <w:trPr>
          <w:trHeight w:val="250"/>
        </w:trPr>
        <w:tc>
          <w:tcPr>
            <w:tcW w:w="260" w:type="dxa"/>
            <w:vAlign w:val="bottom"/>
          </w:tcPr>
          <w:p>
            <w:pPr>
              <w:spacing w:after="0"/>
              <w:rPr>
                <w:sz w:val="21"/>
                <w:szCs w:val="21"/>
                <w:color w:val="auto"/>
              </w:rPr>
            </w:pPr>
          </w:p>
        </w:tc>
        <w:tc>
          <w:tcPr>
            <w:tcW w:w="9440" w:type="dxa"/>
            <w:vAlign w:val="bottom"/>
            <w:gridSpan w:val="2"/>
          </w:tcPr>
          <w:p>
            <w:pPr>
              <w:ind w:left="20"/>
              <w:spacing w:after="0"/>
              <w:rPr>
                <w:sz w:val="20"/>
                <w:szCs w:val="20"/>
                <w:color w:val="auto"/>
              </w:rPr>
            </w:pPr>
            <w:r>
              <w:rPr>
                <w:rFonts w:ascii="Arial" w:cs="Arial" w:eastAsia="Arial" w:hAnsi="Arial"/>
                <w:sz w:val="18"/>
                <w:szCs w:val="18"/>
                <w:color w:val="auto"/>
              </w:rPr>
              <w:t>Deferral of revenue</w:t>
            </w:r>
          </w:p>
        </w:tc>
        <w:tc>
          <w:tcPr>
            <w:tcW w:w="6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2,302</w:t>
            </w:r>
          </w:p>
        </w:tc>
      </w:tr>
      <w:tr>
        <w:trPr>
          <w:trHeight w:val="263"/>
        </w:trPr>
        <w:tc>
          <w:tcPr>
            <w:tcW w:w="260" w:type="dxa"/>
            <w:vAlign w:val="bottom"/>
            <w:shd w:val="clear" w:color="auto" w:fill="CCEEFF"/>
          </w:tcPr>
          <w:p>
            <w:pPr>
              <w:spacing w:after="0"/>
              <w:rPr>
                <w:sz w:val="22"/>
                <w:szCs w:val="22"/>
                <w:color w:val="auto"/>
              </w:rPr>
            </w:pPr>
          </w:p>
        </w:tc>
        <w:tc>
          <w:tcPr>
            <w:tcW w:w="9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1"/>
                <w:szCs w:val="21"/>
                <w:color w:val="auto"/>
                <w:vertAlign w:val="superscript"/>
              </w:rPr>
              <w:t>(1)</w:t>
            </w:r>
          </w:p>
        </w:tc>
        <w:tc>
          <w:tcPr>
            <w:tcW w:w="6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50"/>
        </w:trPr>
        <w:tc>
          <w:tcPr>
            <w:tcW w:w="9700" w:type="dxa"/>
            <w:vAlign w:val="bottom"/>
            <w:gridSpan w:val="3"/>
          </w:tcPr>
          <w:p>
            <w:pPr>
              <w:ind w:left="40"/>
              <w:spacing w:after="0"/>
              <w:rPr>
                <w:sz w:val="20"/>
                <w:szCs w:val="20"/>
                <w:color w:val="auto"/>
              </w:rPr>
            </w:pPr>
            <w:r>
              <w:rPr>
                <w:rFonts w:ascii="Arial" w:cs="Arial" w:eastAsia="Arial" w:hAnsi="Arial"/>
                <w:sz w:val="18"/>
                <w:szCs w:val="18"/>
                <w:color w:val="auto"/>
              </w:rPr>
              <w:t xml:space="preserve">Balance at September 30, 2018 </w:t>
            </w:r>
            <w:r>
              <w:rPr>
                <w:rFonts w:ascii="Arial" w:cs="Arial" w:eastAsia="Arial" w:hAnsi="Arial"/>
                <w:sz w:val="21"/>
                <w:szCs w:val="21"/>
                <w:color w:val="auto"/>
                <w:vertAlign w:val="superscript"/>
              </w:rPr>
              <w:t>(2)</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8,559</w:t>
            </w:r>
          </w:p>
        </w:tc>
      </w:tr>
      <w:tr>
        <w:trPr>
          <w:trHeight w:val="20"/>
        </w:trPr>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26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7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61" w:lineRule="exact"/>
        <w:rPr>
          <w:sz w:val="20"/>
          <w:szCs w:val="20"/>
          <w:color w:val="auto"/>
        </w:rPr>
      </w:pPr>
    </w:p>
    <w:p>
      <w:pPr>
        <w:jc w:val="both"/>
        <w:ind w:left="500" w:hanging="330"/>
        <w:spacing w:after="0" w:line="233" w:lineRule="auto"/>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2" w:lineRule="exact"/>
        <w:rPr>
          <w:rFonts w:ascii="Arial" w:cs="Arial" w:eastAsia="Arial" w:hAnsi="Arial"/>
          <w:sz w:val="22"/>
          <w:szCs w:val="22"/>
          <w:color w:val="auto"/>
          <w:vertAlign w:val="superscript"/>
        </w:rPr>
      </w:pPr>
    </w:p>
    <w:p>
      <w:pPr>
        <w:jc w:val="both"/>
        <w:ind w:left="500" w:hanging="330"/>
        <w:spacing w:after="0" w:line="237" w:lineRule="auto"/>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Mileage credits can be redeemed at any time and do not expire as long as that AAdvantage member has any type of qualifying activity at least every 18 months. As of September 30, 2018, American's current loyalty program liability was $3.2 billion and represents American's current estimate of revenue expected to be recognized in the next twelve months based on historical trends, with the balance reflected in long-term loyalty program liability expected to be recognized as revenue in periods thereafter.</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3"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air traffic liability principally represents tickets sold for future travel dates and estimated future refunds and exchanges of tickets sold for past travel dates. The balance in American's air traffic liability also fluctuates with seasonal travel patterns. The contract duration of passenger tickets is one year. Accordingly, any revenue associated with tickets sold for future travel dates will be recognized within twelve months. For the nine months ended September 30, 2018, $3.1 billion of revenue was recognized in passenger revenue that was included in American's air traffic liability at December 31, 2017.</w:t>
      </w:r>
    </w:p>
    <w:p>
      <w:pPr>
        <w:spacing w:after="0" w:line="1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With respect to contract receivables, reflected as accounts receivable, net on the accompanying condensed consolidated balance sheet, these primarily include receivables for tickets sold to individual passengers through the use of major credit cards. These receivables are short-term, mostly settled within seven days after sale. Bad debt losses, which have been minimal in the past, have been considered in establishing allowances for doubtful accounts.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7"/>
                <w:szCs w:val="17"/>
                <w:color w:val="auto"/>
              </w:rPr>
            </w:pPr>
          </w:p>
        </w:tc>
        <w:tc>
          <w:tcPr>
            <w:tcW w:w="154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Secured</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2013 Credit Facilities, variable interest rate of 3.98%, installments through 2025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1,825</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2014 Credit Facilities, variable interest rate of 4.13%, installments through 2021</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April 2016 Credit Facilities, variable interest rate of 4.24%, installments through 2023</w:t>
            </w:r>
          </w:p>
        </w:tc>
        <w:tc>
          <w:tcPr>
            <w:tcW w:w="160" w:type="dxa"/>
            <w:vAlign w:val="bottom"/>
          </w:tcPr>
          <w:p>
            <w:pPr>
              <w:spacing w:after="0"/>
              <w:rPr>
                <w:sz w:val="22"/>
                <w:szCs w:val="22"/>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990</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2016 Credit Facilities, variable interest rate of 4.16%, installments through 2023</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1,238</w:t>
            </w:r>
          </w:p>
        </w:tc>
      </w:tr>
      <w:tr>
        <w:trPr>
          <w:trHeight w:val="229"/>
        </w:trPr>
        <w:tc>
          <w:tcPr>
            <w:tcW w:w="7880" w:type="dxa"/>
            <w:vAlign w:val="bottom"/>
          </w:tcPr>
          <w:p>
            <w:pPr>
              <w:ind w:left="180"/>
              <w:spacing w:after="0"/>
              <w:rPr>
                <w:sz w:val="20"/>
                <w:szCs w:val="20"/>
                <w:color w:val="auto"/>
              </w:rPr>
            </w:pPr>
            <w:r>
              <w:rPr>
                <w:rFonts w:ascii="Arial" w:cs="Arial" w:eastAsia="Arial" w:hAnsi="Arial"/>
                <w:sz w:val="18"/>
                <w:szCs w:val="18"/>
                <w:color w:val="auto"/>
              </w:rPr>
              <w:t>Aircraft enhanced equipment trust certificates (EETCs), fixed interest rates ranging from 3.00%</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880" w:type="dxa"/>
            <w:vAlign w:val="bottom"/>
          </w:tcPr>
          <w:p>
            <w:pPr>
              <w:ind w:left="340"/>
              <w:spacing w:after="0"/>
              <w:rPr>
                <w:sz w:val="20"/>
                <w:szCs w:val="20"/>
                <w:color w:val="auto"/>
              </w:rPr>
            </w:pPr>
            <w:r>
              <w:rPr>
                <w:rFonts w:ascii="Arial" w:cs="Arial" w:eastAsia="Arial" w:hAnsi="Arial"/>
                <w:sz w:val="18"/>
                <w:szCs w:val="18"/>
                <w:color w:val="auto"/>
              </w:rPr>
              <w:t>to 9.75%, averaging 4.24%, maturing from 2018 to 2029</w:t>
            </w:r>
          </w:p>
        </w:tc>
        <w:tc>
          <w:tcPr>
            <w:tcW w:w="16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11,884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11,881</w:t>
            </w:r>
          </w:p>
        </w:tc>
      </w:tr>
      <w:tr>
        <w:trPr>
          <w:trHeight w:val="235"/>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loans and other notes payable, fixed and variable interest rates ranging from 2.18%</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 8.48%, averaging 4.00%, maturing from 2018 to 2029</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5,259</w:t>
            </w:r>
          </w:p>
        </w:tc>
      </w:tr>
      <w:tr>
        <w:trPr>
          <w:trHeight w:val="229"/>
        </w:trPr>
        <w:tc>
          <w:tcPr>
            <w:tcW w:w="7880" w:type="dxa"/>
            <w:vAlign w:val="bottom"/>
          </w:tcPr>
          <w:p>
            <w:pPr>
              <w:ind w:left="180"/>
              <w:spacing w:after="0"/>
              <w:rPr>
                <w:sz w:val="20"/>
                <w:szCs w:val="20"/>
                <w:color w:val="auto"/>
              </w:rPr>
            </w:pPr>
            <w:r>
              <w:rPr>
                <w:rFonts w:ascii="Arial" w:cs="Arial" w:eastAsia="Arial" w:hAnsi="Arial"/>
                <w:sz w:val="18"/>
                <w:szCs w:val="18"/>
                <w:color w:val="auto"/>
              </w:rPr>
              <w:t>Special facility revenue bonds, fixed interest rates ranging from 5.00% to 5.50%, maturing from</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880" w:type="dxa"/>
            <w:vAlign w:val="bottom"/>
          </w:tcPr>
          <w:p>
            <w:pPr>
              <w:ind w:left="340"/>
              <w:spacing w:after="0"/>
              <w:rPr>
                <w:sz w:val="20"/>
                <w:szCs w:val="20"/>
                <w:color w:val="auto"/>
              </w:rPr>
            </w:pPr>
            <w:r>
              <w:rPr>
                <w:rFonts w:ascii="Arial" w:cs="Arial" w:eastAsia="Arial" w:hAnsi="Arial"/>
                <w:sz w:val="18"/>
                <w:szCs w:val="18"/>
                <w:color w:val="auto"/>
              </w:rPr>
              <w:t>2019 to 2035</w:t>
            </w:r>
          </w:p>
        </w:tc>
        <w:tc>
          <w:tcPr>
            <w:tcW w:w="16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828</w:t>
            </w:r>
          </w:p>
        </w:tc>
      </w:tr>
      <w:tr>
        <w:trPr>
          <w:trHeight w:val="235"/>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secured obligations, fixed interest rates ranging from 3.81% to 12.24%, maturing from</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2021 to 2028</w:t>
            </w:r>
          </w:p>
        </w:tc>
        <w:tc>
          <w:tcPr>
            <w:tcW w:w="1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772</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Total long-term debt and capital lease obligations</w:t>
            </w:r>
          </w:p>
        </w:tc>
        <w:tc>
          <w:tcPr>
            <w:tcW w:w="1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23,730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23,521</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Total unamortized debt discount, premium and issuance costs</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64"/>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2,497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2,058</w:t>
            </w: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21,236</w:t>
            </w:r>
          </w:p>
        </w:tc>
      </w:tr>
      <w:tr>
        <w:trPr>
          <w:trHeight w:val="20"/>
        </w:trPr>
        <w:tc>
          <w:tcPr>
            <w:tcW w:w="7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September 30, 2018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r>
      <w:tr>
        <w:trPr>
          <w:trHeight w:val="250"/>
        </w:trPr>
        <w:tc>
          <w:tcPr>
            <w:tcW w:w="970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63"/>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4"/>
        </w:trPr>
        <w:tc>
          <w:tcPr>
            <w:tcW w:w="9700" w:type="dxa"/>
            <w:vAlign w:val="bottom"/>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w:t>
            </w:r>
          </w:p>
        </w:tc>
      </w:tr>
      <w:tr>
        <w:trPr>
          <w:trHeight w:val="20"/>
        </w:trPr>
        <w:tc>
          <w:tcPr>
            <w:tcW w:w="9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December 2016 Credit Facilities provide for a revolving credit facility that may be established in the future.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3"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2018 Aircraft Financing Activities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2017-2 EETCs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August and October 2017, American created three pass-through trusts which issued approximately $1.0 billion aggregate face amount of Series 2017-2 Class AA, Class A and Class B EETCs (the 2017-2 EETCs). Of the approximately $1.0 billion 2017-2 EETCs, approximately $735 million of such proceeds were used in 2017 to purchase equipment notes issued by American in connection with the financing of 24 aircraft. The remaining approximately $283 million was used in the first six months of 2018 to purchase equipment notes issued by American in connection with financing the remaining 6 of 30 aircraft financed under the 2017-2 EETCs. Interest and principal payments on equipment notes issued in connection with the 2017-2 EETCs are payable semi-annually in April and October of each year, which interest payments began in April 2018 and principal payments will begin in October 2018. These equipment notes are secured by liens on the aircraft financed with the proceeds of the 2017-2 EETCs.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information regarding the 2017-2 EETC equipment notes as of September 30, 2018 is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194945</wp:posOffset>
            </wp:positionV>
            <wp:extent cx="31813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2017-2 EETCs</w:t>
            </w:r>
          </w:p>
        </w:tc>
        <w:tc>
          <w:tcPr>
            <w:tcW w:w="16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Series 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$545 million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$252 million</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$221 million</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Fixed interest rate per annum</w:t>
            </w: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3.35%</w:t>
            </w: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3.70%</w:t>
            </w:r>
          </w:p>
        </w:tc>
      </w:tr>
      <w:tr>
        <w:trPr>
          <w:trHeight w:val="27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October 2029</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2029</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October 2025</w:t>
            </w:r>
          </w:p>
        </w:tc>
      </w:tr>
    </w:tbl>
    <w:p>
      <w:pPr>
        <w:spacing w:after="0" w:line="3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2012-2C(R) EETCs</w:t>
      </w:r>
    </w:p>
    <w:p>
      <w:pPr>
        <w:spacing w:after="0" w:line="108" w:lineRule="exact"/>
        <w:rPr>
          <w:sz w:val="20"/>
          <w:szCs w:val="20"/>
          <w:color w:val="auto"/>
        </w:rPr>
      </w:pPr>
    </w:p>
    <w:p>
      <w:pPr>
        <w:jc w:val="both"/>
        <w:ind w:firstLine="230"/>
        <w:spacing w:after="0" w:line="256" w:lineRule="auto"/>
        <w:rPr>
          <w:sz w:val="20"/>
          <w:szCs w:val="20"/>
          <w:color w:val="auto"/>
        </w:rPr>
      </w:pPr>
      <w:r>
        <w:rPr>
          <w:rFonts w:ascii="Arial" w:cs="Arial" w:eastAsia="Arial" w:hAnsi="Arial"/>
          <w:sz w:val="18"/>
          <w:szCs w:val="18"/>
          <w:color w:val="auto"/>
        </w:rPr>
        <w:t>On May 15, 2018, American created a pass-through trust which issued $100 million aggregate face amount of the Series 2012-2 Class C(R) EETCs (the 2012-2C(R) EETCs). Interest and principal payments on equipment notes issued in connection with the 2012-2C(R) EETCs are payable semiannually in June and December of each year, beginning in December 2018.</w:t>
      </w:r>
    </w:p>
    <w:p>
      <w:pPr>
        <w:spacing w:after="0" w:line="148"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American had previously issued $100 million aggregate face amount of Series 2012-2 Class C Certificates on June 6, 2013 (the 2012-2C Certificates) in connection with the financing of 11 aircraft previously delivered to American between May 2013 and October 2013. On June 1, 2018, American redeemed the Series C Equipment Notes relating to such 2012-2C Certificates (the 2012-2C Equipment Notes), which were scheduled to mature on June 3, 2018. The proceeds received from the 2012-2C(R) EETCs were used for the redemption of the 2012-2 Series C Equipment Notes and the repayment of the 2012-2C Certificates.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information regarding the 2012-2 Class C(R) EETC equipment notes as of September 30, 2018 is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297815</wp:posOffset>
            </wp:positionV>
            <wp:extent cx="13379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196"/>
        </w:trPr>
        <w:tc>
          <w:tcPr>
            <w:tcW w:w="9000" w:type="dxa"/>
            <w:vAlign w:val="bottom"/>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2012-2C(R) EETCs</w:t>
            </w:r>
          </w:p>
        </w:tc>
      </w:tr>
      <w:tr>
        <w:trPr>
          <w:trHeight w:val="210"/>
        </w:trPr>
        <w:tc>
          <w:tcPr>
            <w:tcW w:w="900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C(R)</w:t>
            </w:r>
          </w:p>
        </w:tc>
      </w:tr>
      <w:tr>
        <w:trPr>
          <w:trHeight w:val="256"/>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principal issued</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 million</w:t>
            </w:r>
          </w:p>
        </w:tc>
      </w:tr>
      <w:tr>
        <w:trPr>
          <w:trHeight w:val="250"/>
        </w:trPr>
        <w:tc>
          <w:tcPr>
            <w:tcW w:w="9000" w:type="dxa"/>
            <w:vAlign w:val="bottom"/>
          </w:tcPr>
          <w:p>
            <w:pPr>
              <w:ind w:left="20"/>
              <w:spacing w:after="0"/>
              <w:rPr>
                <w:sz w:val="20"/>
                <w:szCs w:val="20"/>
                <w:color w:val="auto"/>
              </w:rPr>
            </w:pPr>
            <w:r>
              <w:rPr>
                <w:rFonts w:ascii="Arial" w:cs="Arial" w:eastAsia="Arial" w:hAnsi="Arial"/>
                <w:sz w:val="18"/>
                <w:szCs w:val="18"/>
                <w:color w:val="auto"/>
              </w:rPr>
              <w:t>Fixed interest rate per annum</w:t>
            </w:r>
          </w:p>
        </w:tc>
        <w:tc>
          <w:tcPr>
            <w:tcW w:w="2120" w:type="dxa"/>
            <w:vAlign w:val="bottom"/>
          </w:tcPr>
          <w:p>
            <w:pPr>
              <w:jc w:val="center"/>
              <w:spacing w:after="0"/>
              <w:rPr>
                <w:sz w:val="20"/>
                <w:szCs w:val="20"/>
                <w:color w:val="auto"/>
              </w:rPr>
            </w:pPr>
            <w:r>
              <w:rPr>
                <w:rFonts w:ascii="Arial" w:cs="Arial" w:eastAsia="Arial" w:hAnsi="Arial"/>
                <w:sz w:val="18"/>
                <w:szCs w:val="18"/>
                <w:color w:val="auto"/>
              </w:rPr>
              <w:t>4.70%</w:t>
            </w:r>
          </w:p>
        </w:tc>
      </w:tr>
      <w:tr>
        <w:trPr>
          <w:trHeight w:val="26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Maturity date</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June 2021</w:t>
            </w:r>
          </w:p>
        </w:tc>
      </w:tr>
    </w:tbl>
    <w:p>
      <w:pPr>
        <w:spacing w:after="0" w:line="3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Equipment Notes Issued in 2018</w:t>
      </w:r>
    </w:p>
    <w:p>
      <w:pPr>
        <w:spacing w:after="0" w:line="108" w:lineRule="exact"/>
        <w:rPr>
          <w:sz w:val="20"/>
          <w:szCs w:val="20"/>
          <w:color w:val="auto"/>
        </w:rPr>
      </w:pPr>
    </w:p>
    <w:p>
      <w:pPr>
        <w:jc w:val="both"/>
        <w:ind w:firstLine="230"/>
        <w:spacing w:after="0" w:line="256" w:lineRule="auto"/>
        <w:rPr>
          <w:sz w:val="20"/>
          <w:szCs w:val="20"/>
          <w:color w:val="auto"/>
        </w:rPr>
      </w:pPr>
      <w:r>
        <w:rPr>
          <w:rFonts w:ascii="Arial" w:cs="Arial" w:eastAsia="Arial" w:hAnsi="Arial"/>
          <w:sz w:val="18"/>
          <w:szCs w:val="18"/>
          <w:color w:val="auto"/>
        </w:rPr>
        <w:t>In the first nine months of 2018, American entered into agreements under which it borrowed $1.3 billion in connection with the financing of certain aircraft and pre-delivery purchase deposits. Debt incurred under these agreements matures in 2021 through 2029 and bears interest at fixed and variable rates of LIBOR plus an applicable margin averaging 4.09% at September 30, 2018.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2018 Other Financing Activities</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2013 Credit Facilities</w:t>
      </w:r>
    </w:p>
    <w:p>
      <w:pPr>
        <w:spacing w:after="0" w:line="108" w:lineRule="exact"/>
        <w:rPr>
          <w:sz w:val="20"/>
          <w:szCs w:val="20"/>
          <w:color w:val="auto"/>
        </w:rPr>
      </w:pPr>
    </w:p>
    <w:p>
      <w:pPr>
        <w:jc w:val="both"/>
        <w:ind w:firstLine="230"/>
        <w:spacing w:after="0" w:line="252" w:lineRule="auto"/>
        <w:rPr>
          <w:sz w:val="20"/>
          <w:szCs w:val="20"/>
          <w:color w:val="auto"/>
        </w:rPr>
      </w:pPr>
      <w:r>
        <w:rPr>
          <w:rFonts w:ascii="Arial" w:cs="Arial" w:eastAsia="Arial" w:hAnsi="Arial"/>
          <w:sz w:val="18"/>
          <w:szCs w:val="18"/>
          <w:color w:val="auto"/>
        </w:rPr>
        <w:t>In May 2018, American and AAG entered into a Fourth Amendment (the Fourth Amendment) to the Amended and Restated Credit and Guaranty Agreement, amending the Amended and Restated Credit and Guaranty Agreement dated as of May 21, 2015, which amended and restated the Credit and Guaranty Agreement dated as of June 27, 2013 (as previously amended, the Credit Agreement, and the term loan and revolving credit facilities established thereunder, the 2013 Credit Facilities), pursuant to which American refinanced $1.8 billion of the existing term loans outstanding under the 2013 Credit Facilities with proceeds of term loans incurred under the Fourth Amendment (the Replacement Term Loans). The interest rate margin on the Replacement Term Loans was reduced from 2.00% to 1.75% for those loans with interest rates based on LIBOR and from 1.00% to 0.75% for those loans with interest rates based on an index. Additionally, the Fourth Amendment extended the maturity date of the Replacement Term Loans to June 2025.</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2014 Credit Facilities</w:t>
      </w:r>
    </w:p>
    <w:p>
      <w:pPr>
        <w:spacing w:after="0" w:line="108" w:lineRule="exact"/>
        <w:rPr>
          <w:sz w:val="20"/>
          <w:szCs w:val="20"/>
          <w:color w:val="auto"/>
        </w:rPr>
      </w:pPr>
    </w:p>
    <w:p>
      <w:pPr>
        <w:jc w:val="both"/>
        <w:ind w:firstLine="230"/>
        <w:spacing w:after="0" w:line="252" w:lineRule="auto"/>
        <w:rPr>
          <w:sz w:val="20"/>
          <w:szCs w:val="20"/>
          <w:color w:val="auto"/>
        </w:rPr>
      </w:pPr>
      <w:r>
        <w:rPr>
          <w:rFonts w:ascii="Arial" w:cs="Arial" w:eastAsia="Arial" w:hAnsi="Arial"/>
          <w:sz w:val="18"/>
          <w:szCs w:val="18"/>
          <w:color w:val="auto"/>
        </w:rPr>
        <w:t>In September 2018, American and AAG entered into a Fifth Amendment (the Fifth Amendment) to the Amended and Restated Credit and Guaranty Agreement, amending the Amended and Restated Credit and Guaranty Agreement dated as of April 20, 2015 (as previously amended, the 2014 Credit Agreement, and the term loan and revolving credit facilities established thereunder, as amended by the Fifth Amendment, the 2014 Credit Facilities). The Fifth Amendment provides for incremental term loans in the amount of $ 500 million. The terms are substantially similar to the terms of the existing term loans under the 2014 Credit Agreement including in relation to maturity and interest rate. As of September 30, 2018, approximately $1.2 billion was outstanding under the term loan portion of the 2014 Credit Facilities and there were no other borrowings or letters of credit outstanding thereunder.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At December 31, 2017, American had approximately $10.6 billion of federal net operating losses (NOLs) carried over from prior taxable years (NOL Carryforwards) to reduce future federal taxable income, substantially all of which, American expects to be available for use in 2018. American is a member of AAG’s consolidated federal and certain state income tax returns. The amount of federal NOL Carryforwards available in those returns is $10.0 billion, substantially all of which is expected to be available for use in 2018. The federal NOL Carryforwards will expire beginning in 2022 if unused. American also had approximately $3.2 billion of NOL Carryforwards to reduce future state taxable income at December 31, 2017, which will expire in years 2018 through 2037 if unused.</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2017, American had an AMT credit carryforward of approximately $452 million available for federal income tax purposes.</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During the three and nine months ended September 30, 2018, American recorded an income tax provision of $133 million and $467 million, respectively, which was substantially non-cash as American utilized the NOLs described above. For the nine months ended September 30, 2018, American's income tax provision included a $30 million special income tax charge to establish a required valuation allowance related to American's estimated refund for AMT credits, which is now subject to a sequestration reduction rate of approximately 6% and an $18 million special income tax charge related to an international income tax matter. Substantially all of American’s income before income taxes is attributable to the United States.</w:t>
      </w:r>
    </w:p>
    <w:p>
      <w:pPr>
        <w:spacing w:after="0" w:line="1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2017 Tax Act was enacted on December 22, 2017. The 2017 Tax Act is the most comprehensive tax change in more than 30 years. As of September 30, 2018, American has not completed its evaluation of the 2017 Tax Act; however, to the extent possible, American has made a reasonable estimate of its effects, including the impact of lower corporate income tax rates (21% vs. 35%) on its deferred tax assets and liabilities and the one-time transition tax on earnings of certain foreign subsidiaries that were previously tax deferred.</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2017 Tax Act is unclear in many respects and could be subject to potential amendments and technical corrections, as well as interpretations and implementation guidance by the U.S. Department of Treasury and the Internal Revenue Service. In addition, it is unclear how these U.S. federal income tax changes will affect state and local taxation, which often uses federal taxable income as a starting point for computing state and local tax liabilities. Accordingly, American has not yet been able to make a reasonable estimate of the impact of certain items and continues to account for those items based on the tax laws in effect prior to the 2017 Tax Act.</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further interpretations, clarifications and amendments to the 2017 Tax Act are made, American's future financial statements could be materially impacted.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3"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0"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utilizes the market approach to measure fair value for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nine months ended September 30, 2018.</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rPr>
              <w:t>Fair Value Measurements as of September 30, 2018</w:t>
            </w:r>
          </w:p>
        </w:tc>
        <w:tc>
          <w:tcPr>
            <w:tcW w:w="104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2"/>
                <w:szCs w:val="22"/>
                <w:color w:val="auto"/>
              </w:rPr>
            </w:pPr>
          </w:p>
        </w:tc>
        <w:tc>
          <w:tcPr>
            <w:tcW w:w="104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5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7"/>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1,443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4,483</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77"/>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4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44"/>
        </w:trPr>
        <w:tc>
          <w:tcPr>
            <w:tcW w:w="5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60" w:lineRule="exact"/>
        <w:rPr>
          <w:sz w:val="20"/>
          <w:szCs w:val="20"/>
          <w:color w:val="auto"/>
        </w:rPr>
      </w:pPr>
    </w:p>
    <w:p>
      <w:pPr>
        <w:ind w:left="500" w:hanging="330"/>
        <w:spacing w:after="0"/>
        <w:tabs>
          <w:tab w:leader="none" w:pos="50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Unrealized gains or losses on short-term investments are recorded in accumulated other comprehensive loss at each measurement date.</w:t>
      </w:r>
    </w:p>
    <w:p>
      <w:pPr>
        <w:spacing w:after="0" w:line="161"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American’s short-term investments mature in one year or less except for $942 million of bank notes/certificates of deposit/time deposits and $150 million of corporate obligations.</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Long-term investments primarily include American's equity investment in China Southern Airlines and are classified in other assets on its condensed consolidated balance sheets.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December 31, 2017</w:t>
            </w:r>
          </w:p>
        </w:tc>
      </w:tr>
      <w:tr>
        <w:trPr>
          <w:trHeight w:val="175"/>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Fair</w:t>
            </w:r>
          </w:p>
        </w:tc>
      </w:tr>
      <w:tr>
        <w:trPr>
          <w:trHeight w:val="196"/>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Value</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23,492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23,640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23,294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24,029</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6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74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the components of net periodic benefit cost (income)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Postretirement Benefits</w:t>
            </w:r>
          </w:p>
        </w:tc>
      </w:tr>
      <w:tr>
        <w:trPr>
          <w:trHeight w:val="264"/>
        </w:trPr>
        <w:tc>
          <w:tcPr>
            <w:tcW w:w="5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6"/>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63"/>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7"/>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Amortization of:</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64"/>
        </w:trPr>
        <w:tc>
          <w:tcPr>
            <w:tcW w:w="40" w:type="dxa"/>
            <w:vAlign w:val="bottom"/>
            <w:tcBorders>
              <w:bottom w:val="single" w:sz="8" w:color="CCEEFF"/>
            </w:tcBorders>
          </w:tcPr>
          <w:p>
            <w:pPr>
              <w:spacing w:after="0"/>
              <w:rPr>
                <w:sz w:val="22"/>
                <w:szCs w:val="22"/>
                <w:color w:val="auto"/>
              </w:rPr>
            </w:pPr>
          </w:p>
        </w:tc>
        <w:tc>
          <w:tcPr>
            <w:tcW w:w="532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Unrecognized net loss (gain)</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5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Postretirement Benefits</w:t>
            </w:r>
          </w:p>
        </w:tc>
      </w:tr>
      <w:tr>
        <w:trPr>
          <w:trHeight w:val="264"/>
        </w:trPr>
        <w:tc>
          <w:tcPr>
            <w:tcW w:w="5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6"/>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63"/>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277"/>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Amortization of:</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Prior service cost (benefit)</w:t>
            </w:r>
          </w:p>
        </w:tc>
        <w:tc>
          <w:tcPr>
            <w:tcW w:w="264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64"/>
        </w:trPr>
        <w:tc>
          <w:tcPr>
            <w:tcW w:w="40" w:type="dxa"/>
            <w:vAlign w:val="bottom"/>
            <w:tcBorders>
              <w:bottom w:val="single" w:sz="8" w:color="CCEEFF"/>
            </w:tcBorders>
          </w:tcPr>
          <w:p>
            <w:pPr>
              <w:spacing w:after="0"/>
              <w:rPr>
                <w:sz w:val="22"/>
                <w:szCs w:val="22"/>
                <w:color w:val="auto"/>
              </w:rPr>
            </w:pPr>
          </w:p>
        </w:tc>
        <w:tc>
          <w:tcPr>
            <w:tcW w:w="532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Unrecognized net loss (gain)</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62"/>
        </w:trPr>
        <w:tc>
          <w:tcPr>
            <w:tcW w:w="4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Net periodic benefit cost (income)</w:t>
            </w:r>
          </w:p>
        </w:tc>
        <w:tc>
          <w:tcPr>
            <w:tcW w:w="264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components of net periodic benefit income other than the service cost component are included in nonoperating other income, net in the condensed consolidated statements of operations.</w:t>
      </w:r>
    </w:p>
    <w:p>
      <w:pPr>
        <w:spacing w:after="0" w:line="14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During the first nine months of 2018, American contributed $464 million to its defined benefit pension plans, including supplemental contributions of $425 million in addition to a $39 million minimum required contribution.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 Retiree</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Unrealized Loss on</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2"/>
        </w:trPr>
        <w:tc>
          <w:tcPr>
            <w:tcW w:w="21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7"/>
                <w:szCs w:val="17"/>
                <w:b w:val="1"/>
                <w:bCs w:val="1"/>
                <w:color w:val="auto"/>
                <w:w w:val="98"/>
                <w:vertAlign w:val="superscript"/>
              </w:rPr>
              <w:t>(1)</w:t>
            </w:r>
          </w:p>
        </w:tc>
        <w:tc>
          <w:tcPr>
            <w:tcW w:w="3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r>
      <w:tr>
        <w:trPr>
          <w:trHeight w:val="264"/>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15</w:t>
            </w:r>
          </w:p>
        </w:tc>
        <w:tc>
          <w:tcPr>
            <w:tcW w:w="340" w:type="dxa"/>
            <w:vAlign w:val="bottom"/>
          </w:tcPr>
          <w:p>
            <w:pPr>
              <w:jc w:val="right"/>
              <w:ind w:right="102"/>
              <w:spacing w:after="0"/>
              <w:rPr>
                <w:sz w:val="20"/>
                <w:szCs w:val="20"/>
                <w:color w:val="auto"/>
              </w:rPr>
            </w:pPr>
            <w:r>
              <w:rPr>
                <w:rFonts w:ascii="Arial" w:cs="Arial" w:eastAsia="Arial" w:hAnsi="Arial"/>
                <w:sz w:val="11"/>
                <w:szCs w:val="11"/>
                <w:color w:val="auto"/>
              </w:rPr>
              <w:t>(2)</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5"/>
        </w:trPr>
        <w:tc>
          <w:tcPr>
            <w:tcW w:w="4920" w:type="dxa"/>
            <w:vAlign w:val="bottom"/>
            <w:tcBorders>
              <w:top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current-period other comprehensive income</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4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4"/>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Balance at September 30, 2018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(4,573)</w:t>
            </w:r>
          </w:p>
        </w:tc>
        <w:tc>
          <w:tcPr>
            <w:tcW w:w="12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(727)</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(5,301)</w:t>
            </w:r>
          </w:p>
        </w:tc>
      </w:tr>
      <w:tr>
        <w:trPr>
          <w:trHeight w:val="20"/>
        </w:trPr>
        <w:tc>
          <w:tcPr>
            <w:tcW w:w="2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2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63"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 of operations.</w:t>
      </w:r>
    </w:p>
    <w:p>
      <w:pPr>
        <w:sectPr>
          <w:pgSz w:w="11900" w:h="16838" w:orient="portrait"/>
          <w:cols w:equalWidth="0" w:num="1">
            <w:col w:w="11420"/>
          </w:cols>
          <w:pgMar w:left="240" w:top="333" w:right="239"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333" w:right="23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OF AMERICAN AIRLINES,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Amounts reclassified from AOCI</w:t>
            </w:r>
          </w:p>
        </w:tc>
        <w:tc>
          <w:tcPr>
            <w:tcW w:w="740" w:type="dxa"/>
            <w:vAlign w:val="bottom"/>
            <w:tcBorders>
              <w:bottom w:val="single" w:sz="8" w:color="auto"/>
            </w:tcBorders>
          </w:tcPr>
          <w:p>
            <w:pPr>
              <w:spacing w:after="0"/>
              <w:rPr>
                <w:sz w:val="17"/>
                <w:szCs w:val="17"/>
                <w:color w:val="auto"/>
              </w:rPr>
            </w:pPr>
          </w:p>
        </w:tc>
      </w:tr>
      <w:tr>
        <w:trPr>
          <w:trHeight w:val="175"/>
        </w:trPr>
        <w:tc>
          <w:tcPr>
            <w:tcW w:w="4420" w:type="dxa"/>
            <w:vAlign w:val="bottom"/>
          </w:tcPr>
          <w:p>
            <w:pPr>
              <w:spacing w:after="0"/>
              <w:rPr>
                <w:sz w:val="15"/>
                <w:szCs w:val="15"/>
                <w:color w:val="auto"/>
              </w:rPr>
            </w:pP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2"/>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420" w:type="dxa"/>
            <w:vAlign w:val="bottom"/>
          </w:tcPr>
          <w:p>
            <w:pPr>
              <w:spacing w:after="0"/>
              <w:rPr>
                <w:sz w:val="17"/>
                <w:szCs w:val="17"/>
                <w:color w:val="auto"/>
              </w:rPr>
            </w:pP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1940" w:type="dxa"/>
            <w:vAlign w:val="bottom"/>
            <w:gridSpan w:val="2"/>
          </w:tcPr>
          <w:p>
            <w:pPr>
              <w:ind w:left="500"/>
              <w:spacing w:after="0"/>
              <w:rPr>
                <w:sz w:val="20"/>
                <w:szCs w:val="20"/>
                <w:color w:val="auto"/>
              </w:rPr>
            </w:pPr>
            <w:r>
              <w:rPr>
                <w:rFonts w:ascii="Arial" w:cs="Arial" w:eastAsia="Arial" w:hAnsi="Arial"/>
                <w:sz w:val="14"/>
                <w:szCs w:val="14"/>
                <w:b w:val="1"/>
                <w:bCs w:val="1"/>
                <w:color w:val="auto"/>
              </w:rPr>
              <w:t>September 30,</w:t>
            </w:r>
          </w:p>
        </w:tc>
      </w:tr>
      <w:tr>
        <w:trPr>
          <w:trHeight w:val="258"/>
        </w:trPr>
        <w:tc>
          <w:tcPr>
            <w:tcW w:w="442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7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1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20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540" w:hanging="19"/>
        <w:spacing w:after="0" w:line="263"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32" w:lineRule="exact"/>
        <w:rPr>
          <w:sz w:val="20"/>
          <w:szCs w:val="20"/>
          <w:color w:val="auto"/>
        </w:rPr>
      </w:pPr>
    </w:p>
    <w:p>
      <w:pPr>
        <w:sectPr>
          <w:pgSz w:w="11900" w:h="16838" w:orient="portrait"/>
          <w:cols w:equalWidth="0" w:num="2">
            <w:col w:w="8460" w:space="680"/>
            <w:col w:w="2280"/>
          </w:cols>
          <w:pgMar w:left="240" w:top="333"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Amortization of pension, retiree medical and other</w:t>
      </w:r>
    </w:p>
    <w:p>
      <w:pPr>
        <w:ind w:left="40"/>
        <w:spacing w:after="0"/>
        <w:rPr>
          <w:sz w:val="20"/>
          <w:szCs w:val="20"/>
          <w:color w:val="auto"/>
        </w:rPr>
      </w:pPr>
      <w:r>
        <w:rPr>
          <w:rFonts w:ascii="Arial" w:cs="Arial" w:eastAsia="Arial" w:hAnsi="Arial"/>
          <w:sz w:val="18"/>
          <w:szCs w:val="18"/>
          <w:color w:val="auto"/>
        </w:rPr>
        <w:t>postretirement benefits: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60" w:type="dxa"/>
            <w:vAlign w:val="bottom"/>
          </w:tcPr>
          <w:p>
            <w:pPr>
              <w:ind w:left="380"/>
              <w:spacing w:after="0"/>
              <w:rPr>
                <w:sz w:val="20"/>
                <w:szCs w:val="20"/>
                <w:color w:val="auto"/>
              </w:rPr>
            </w:pPr>
            <w:r>
              <w:rPr>
                <w:rFonts w:ascii="Arial" w:cs="Arial" w:eastAsia="Arial" w:hAnsi="Arial"/>
                <w:sz w:val="18"/>
                <w:szCs w:val="18"/>
                <w:color w:val="auto"/>
              </w:rPr>
              <w:t>Prior service benefit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2960" w:type="dxa"/>
            <w:vAlign w:val="bottom"/>
          </w:tcPr>
          <w:p>
            <w:pPr>
              <w:jc w:val="right"/>
              <w:ind w:right="210"/>
              <w:spacing w:after="0"/>
              <w:rPr>
                <w:sz w:val="20"/>
                <w:szCs w:val="20"/>
                <w:color w:val="auto"/>
              </w:rPr>
            </w:pPr>
            <w:r>
              <w:rPr>
                <w:rFonts w:ascii="Arial" w:cs="Arial" w:eastAsia="Arial" w:hAnsi="Arial"/>
                <w:sz w:val="18"/>
                <w:szCs w:val="18"/>
                <w:color w:val="auto"/>
              </w:rPr>
              <w:t>Nonoperating other income, net</w:t>
            </w:r>
          </w:p>
        </w:tc>
      </w:tr>
      <w:tr>
        <w:trPr>
          <w:trHeight w:val="277"/>
        </w:trPr>
        <w:tc>
          <w:tcPr>
            <w:tcW w:w="4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Actuarial loss</w:t>
            </w: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57   Nonoperating other income, net</w:t>
            </w:r>
          </w:p>
        </w:tc>
      </w:tr>
      <w:tr>
        <w:trPr>
          <w:trHeight w:val="244"/>
        </w:trPr>
        <w:tc>
          <w:tcPr>
            <w:tcW w:w="4460" w:type="dxa"/>
            <w:vAlign w:val="bottom"/>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960" w:type="dxa"/>
            <w:vAlign w:val="bottom"/>
          </w:tcPr>
          <w:p>
            <w:pPr>
              <w:spacing w:after="0"/>
              <w:rPr>
                <w:sz w:val="21"/>
                <w:szCs w:val="21"/>
                <w:color w:val="auto"/>
              </w:rPr>
            </w:pPr>
          </w:p>
        </w:tc>
      </w:tr>
      <w:tr>
        <w:trPr>
          <w:trHeight w:val="20"/>
        </w:trPr>
        <w:tc>
          <w:tcPr>
            <w:tcW w:w="4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Regional Expenses</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Expenses associated with American Eagle operations are classified as regional expenses on the condensed consolidated statements of operations. Regional expenses consist of the following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4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7"/>
                <w:szCs w:val="17"/>
                <w:color w:val="auto"/>
              </w:rPr>
            </w:pPr>
          </w:p>
        </w:tc>
        <w:tc>
          <w:tcPr>
            <w:tcW w:w="2660" w:type="dxa"/>
            <w:vAlign w:val="bottom"/>
            <w:gridSpan w:val="8"/>
          </w:tcPr>
          <w:p>
            <w:pPr>
              <w:jc w:val="right"/>
              <w:ind w:right="1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tcPr>
          <w:p>
            <w:pPr>
              <w:spacing w:after="0"/>
              <w:rPr>
                <w:sz w:val="22"/>
                <w:szCs w:val="22"/>
                <w:color w:val="auto"/>
              </w:rPr>
            </w:pPr>
          </w:p>
        </w:tc>
        <w:tc>
          <w:tcPr>
            <w:tcW w:w="30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1,369</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6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22"/>
                <w:szCs w:val="22"/>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7"/>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Capacity purchases from third-party regional carriers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2,440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6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Maintenance, materials and repairs</w:t>
            </w:r>
          </w:p>
        </w:tc>
        <w:tc>
          <w:tcPr>
            <w:tcW w:w="300" w:type="dxa"/>
            <w:vAlign w:val="bottom"/>
          </w:tcPr>
          <w:p>
            <w:pPr>
              <w:spacing w:after="0"/>
              <w:rPr>
                <w:sz w:val="22"/>
                <w:szCs w:val="22"/>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6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Aircraft rent</w:t>
            </w:r>
          </w:p>
        </w:tc>
        <w:tc>
          <w:tcPr>
            <w:tcW w:w="300" w:type="dxa"/>
            <w:vAlign w:val="bottom"/>
          </w:tcPr>
          <w:p>
            <w:pPr>
              <w:spacing w:after="0"/>
              <w:rPr>
                <w:sz w:val="22"/>
                <w:szCs w:val="22"/>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6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2"/>
                <w:szCs w:val="22"/>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7"/>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3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50"/>
        </w:trPr>
        <w:tc>
          <w:tcPr>
            <w:tcW w:w="5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1,662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5,275</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10. Transactions with Related Parties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60" w:type="dxa"/>
            <w:vAlign w:val="bottom"/>
            <w:gridSpan w:val="6"/>
          </w:tcPr>
          <w:p>
            <w:pPr>
              <w:ind w:left="220"/>
              <w:spacing w:after="0"/>
              <w:rPr>
                <w:sz w:val="20"/>
                <w:szCs w:val="20"/>
                <w:color w:val="auto"/>
              </w:rPr>
            </w:pPr>
            <w:r>
              <w:rPr>
                <w:rFonts w:ascii="Arial" w:cs="Arial" w:eastAsia="Arial" w:hAnsi="Arial"/>
                <w:sz w:val="18"/>
                <w:szCs w:val="18"/>
                <w:color w:val="auto"/>
              </w:rPr>
              <w:t>The following represents the net receivables (payables) to related parties (in millions):</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120" w:type="dxa"/>
            <w:vAlign w:val="bottom"/>
            <w:tcBorders>
              <w:bottom w:val="single" w:sz="8" w:color="CCEEFF"/>
            </w:tcBorders>
          </w:tcPr>
          <w:p>
            <w:pPr>
              <w:spacing w:after="0"/>
              <w:rPr>
                <w:sz w:val="24"/>
                <w:szCs w:val="24"/>
                <w:color w:val="auto"/>
              </w:rPr>
            </w:pPr>
          </w:p>
        </w:tc>
        <w:tc>
          <w:tcPr>
            <w:tcW w:w="30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6"/>
        </w:trPr>
        <w:tc>
          <w:tcPr>
            <w:tcW w:w="5120" w:type="dxa"/>
            <w:vAlign w:val="bottom"/>
            <w:gridSpan w:val="2"/>
            <w:shd w:val="clear" w:color="auto" w:fill="CCEEFF"/>
          </w:tcPr>
          <w:p>
            <w:pPr>
              <w:ind w:left="40"/>
              <w:spacing w:after="0" w:line="256" w:lineRule="exact"/>
              <w:rPr>
                <w:sz w:val="20"/>
                <w:szCs w:val="20"/>
                <w:color w:val="auto"/>
              </w:rPr>
            </w:pPr>
            <w:r>
              <w:rPr>
                <w:rFonts w:ascii="Arial" w:cs="Arial" w:eastAsia="Arial" w:hAnsi="Arial"/>
                <w:sz w:val="29"/>
                <w:szCs w:val="29"/>
                <w:color w:val="auto"/>
                <w:vertAlign w:val="subscript"/>
              </w:rPr>
              <w:t>AAG</w:t>
            </w:r>
            <w:r>
              <w:rPr>
                <w:rFonts w:ascii="Arial" w:cs="Arial" w:eastAsia="Arial" w:hAnsi="Arial"/>
                <w:sz w:val="10"/>
                <w:szCs w:val="10"/>
                <w:color w:val="auto"/>
              </w:rPr>
              <w:t xml:space="preserve"> (1)</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w:t>
            </w:r>
          </w:p>
        </w:tc>
        <w:tc>
          <w:tcPr>
            <w:tcW w:w="4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10,968</w:t>
            </w:r>
          </w:p>
        </w:tc>
        <w:tc>
          <w:tcPr>
            <w:tcW w:w="0" w:type="dxa"/>
            <w:vAlign w:val="bottom"/>
          </w:tcPr>
          <w:p>
            <w:pPr>
              <w:spacing w:after="0"/>
              <w:rPr>
                <w:sz w:val="1"/>
                <w:szCs w:val="1"/>
                <w:color w:val="auto"/>
              </w:rPr>
            </w:pPr>
          </w:p>
        </w:tc>
      </w:tr>
      <w:tr>
        <w:trPr>
          <w:trHeight w:val="270"/>
        </w:trPr>
        <w:tc>
          <w:tcPr>
            <w:tcW w:w="5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1"/>
                <w:szCs w:val="21"/>
                <w:color w:val="auto"/>
                <w:vertAlign w:val="superscript"/>
              </w:rPr>
              <w:t>(2)</w:t>
            </w:r>
          </w:p>
        </w:tc>
        <w:tc>
          <w:tcPr>
            <w:tcW w:w="30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44"/>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4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8,822</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3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00" w:right="20" w:hanging="330"/>
        <w:spacing w:after="0" w:line="225" w:lineRule="auto"/>
        <w:tabs>
          <w:tab w:leader="none" w:pos="50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The increase in American’s net related party receivable from AAG is primarily due to American providing the cash funding for AAG’s dividend and share repurchase programs as well as the repayment of AAG's 6.125% senior notes.</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3"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9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As of September 30, 2018, there were approximately 24.5 million shares of AAG common stock remaining in the Disputed Claims Reserve. As disputed claims are resolved, the claimants will receive distributions of shares from the Disputed Claims Reserve. However, American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American but rather will be distributed to former AMR stockholders.</w:t>
      </w:r>
    </w:p>
    <w:p>
      <w:pPr>
        <w:spacing w:after="0" w:line="135"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i w:val="1"/>
          <w:iCs w:val="1"/>
          <w:color w:val="auto"/>
        </w:rPr>
        <w:t>DOJ Antitrust Civil Investigative Demand</w:t>
      </w:r>
      <w:r>
        <w:rPr>
          <w:rFonts w:ascii="Arial" w:cs="Arial" w:eastAsia="Arial" w:hAnsi="Arial"/>
          <w:sz w:val="18"/>
          <w:szCs w:val="18"/>
          <w:color w:val="auto"/>
        </w:rPr>
        <w:t>. In June 2015, American received a Civil Investigative Demand (CID) from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of Justice (DOJ) as part of an investigation into whether there have been illegal agreements or coordination of air passenger capacity. The CID seeks documents and other information from American, and other airlines have announced that they have received similar requests. American is cooperating fully with the DOJ investigation.</w:t>
      </w:r>
    </w:p>
    <w:p>
      <w:pPr>
        <w:spacing w:after="0" w:line="126"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 xml:space="preserve">Private Party Antitrust Action. </w:t>
      </w:r>
      <w:r>
        <w:rPr>
          <w:rFonts w:ascii="Arial" w:cs="Arial" w:eastAsia="Arial" w:hAnsi="Arial"/>
          <w:sz w:val="18"/>
          <w:szCs w:val="18"/>
          <w:color w:val="auto"/>
        </w:rPr>
        <w:t>Subsequent to announcement of the delivery of CIDs by the DOJ, American, along with Delta Air Lines, Inc.,</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Airlines Co., United 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On June 15, 2018, American reached a preliminary settlement agreement with the plaintiffs in the amount of $45 million that, once approved, will resolve all claims in the U.S. lawsuits. That settlement received preliminary approval from the Court on June 18, 2018. American expects the Court to issue final approval of the settlement later this year.</w:t>
      </w:r>
    </w:p>
    <w:p>
      <w:pPr>
        <w:spacing w:after="0" w:line="13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United States Bankruptcy Court for the Southern District of New York. The complaint named as defendants US Airways Group,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Court denied in part defendants' motion for summary judgment, and fully denied plaintiffs' cross-motion for summary judgment. A bench trial is expected to be scheduled in the next few months. American believes this lawsuit is without merit and intends to vigorously defend against the allegations.</w:t>
      </w:r>
    </w:p>
    <w:p>
      <w:pPr>
        <w:spacing w:after="0" w:line="135"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American of an inquiry regarding American’s</w:t>
      </w:r>
      <w:r>
        <w:rPr>
          <w:rFonts w:ascii="Arial" w:cs="Arial" w:eastAsia="Arial" w:hAnsi="Arial"/>
          <w:sz w:val="18"/>
          <w:szCs w:val="18"/>
          <w:i w:val="1"/>
          <w:iCs w:val="1"/>
          <w:color w:val="auto"/>
        </w:rPr>
        <w:t xml:space="preserve"> </w:t>
      </w:r>
      <w:r>
        <w:rPr>
          <w:rFonts w:ascii="Arial" w:cs="Arial" w:eastAsia="Arial" w:hAnsi="Arial"/>
          <w:sz w:val="18"/>
          <w:szCs w:val="18"/>
          <w:color w:val="auto"/>
        </w:rPr>
        <w:t>2009 and 2011 contracts with the United States Postal Service for the international transportation of mail by air. In October 2015, American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American is cooperating fully with the DOJ with regard to its investigation.</w:t>
      </w:r>
    </w:p>
    <w:p>
      <w:pPr>
        <w:spacing w:after="0" w:line="13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 See Part II, Item 1A. Risk Factors – “</w:t>
      </w:r>
      <w:r>
        <w:rPr>
          <w:rFonts w:ascii="Arial" w:cs="Arial" w:eastAsia="Arial" w:hAnsi="Arial"/>
          <w:sz w:val="18"/>
          <w:szCs w:val="18"/>
          <w:i w:val="1"/>
          <w:iCs w:val="1"/>
          <w:color w:val="auto"/>
        </w:rPr>
        <w:t>We may be a party to litigation in the normal</w:t>
      </w:r>
      <w:r>
        <w:rPr>
          <w:rFonts w:ascii="Arial" w:cs="Arial" w:eastAsia="Arial" w:hAnsi="Arial"/>
          <w:sz w:val="18"/>
          <w:szCs w:val="18"/>
          <w:color w:val="auto"/>
        </w:rPr>
        <w:t xml:space="preserve"> </w:t>
      </w:r>
      <w:r>
        <w:rPr>
          <w:rFonts w:ascii="Arial" w:cs="Arial" w:eastAsia="Arial" w:hAnsi="Arial"/>
          <w:sz w:val="18"/>
          <w:szCs w:val="18"/>
          <w:i w:val="1"/>
          <w:iCs w:val="1"/>
          <w:color w:val="auto"/>
        </w:rPr>
        <w:t>course of business or otherwise, which could affect our financial position and liquidity</w:t>
      </w:r>
      <w:r>
        <w:rPr>
          <w:rFonts w:ascii="Arial" w:cs="Arial" w:eastAsia="Arial" w:hAnsi="Arial"/>
          <w:sz w:val="18"/>
          <w:szCs w:val="18"/>
          <w:color w:val="auto"/>
        </w:rPr>
        <w:t>” for additional discussion.</w:t>
      </w:r>
    </w:p>
    <w:p>
      <w:pPr>
        <w:spacing w:after="0" w:line="206" w:lineRule="exact"/>
        <w:rPr>
          <w:sz w:val="20"/>
          <w:szCs w:val="20"/>
          <w:color w:val="auto"/>
        </w:rPr>
      </w:pPr>
    </w:p>
    <w:p>
      <w:pPr>
        <w:ind w:left="220" w:right="9540" w:hanging="212"/>
        <w:spacing w:after="0" w:line="357" w:lineRule="auto"/>
        <w:tabs>
          <w:tab w:leader="none" w:pos="30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 </w:t>
      </w:r>
      <w:r>
        <w:rPr>
          <w:rFonts w:ascii="Arial" w:cs="Arial" w:eastAsia="Arial" w:hAnsi="Arial"/>
          <w:sz w:val="18"/>
          <w:szCs w:val="18"/>
          <w:i w:val="1"/>
          <w:iCs w:val="1"/>
          <w:u w:val="single" w:color="auto"/>
          <w:color w:val="auto"/>
        </w:rPr>
        <w:t>Equipment Notes</w:t>
      </w:r>
    </w:p>
    <w:p>
      <w:pPr>
        <w:ind w:left="220"/>
        <w:spacing w:after="0"/>
        <w:rPr>
          <w:sz w:val="20"/>
          <w:szCs w:val="20"/>
          <w:color w:val="auto"/>
        </w:rPr>
      </w:pPr>
      <w:r>
        <w:rPr>
          <w:rFonts w:ascii="Arial" w:cs="Arial" w:eastAsia="Arial" w:hAnsi="Arial"/>
          <w:sz w:val="18"/>
          <w:szCs w:val="18"/>
          <w:color w:val="auto"/>
        </w:rPr>
        <w:t>In October 2018, American issued equipment notes in the principal amount of $74 million in connection with the financing of certain aircraft.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equipment notes are secured by liens on the aircraft financed and mature in October 2023.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2017 (the 2017 Form 10-K). The information contained herein is not a comprehensive discussion and analysis of the financial condition and results of operations of AAG and American, but rather updates disclosures made in the 2017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we operate an average of nearly 6,700 flights per day to nearly 350 destinations in more than 50 countries. We have hubs in Charlotte, Chicago, Dallas/Fort Worth, Los Angeles, Miami, New York, Philadelphia, Phoenix and Washington, D.C. In the third quarter of 2018, approximately 53 million passengers boarded our flights.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U.S. Airline Industry</w:t>
      </w:r>
    </w:p>
    <w:p>
      <w:pPr>
        <w:spacing w:after="0" w:line="10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While the third quarter of 2018 marked another profitable quarter for the U.S. airline industry, higher fuel costs could not be fully offset by increased revenues. The price of Brent crude oil per barrel, which jet fuel prices tend to follow, was on average approximately 46% higher in the third quarter of 2018 as compared to the 2017 period. The average daily spot price for Brent crude oil during the third quarter of 2018 was $76 per barrel as compared to an average daily spot price of $ 52 per barrel during the third quarter of 2017. On a daily basis, Brent crude oil prices fluctuated during the third quarter between a high of $83 per barrel to a low of $71 per barrel, and closed on September 30, 2018 at $83 per barrel. Brent crude oil prices were higher in the 2018 period due principally to reductions of global inventories driven by strong demand and continued production restraint. U.S. sanctions against Iran coupled with declining output from Venezuela are further limiting supply. With respect to revenue, the legacy U.S. airlines reported positive unit revenue growth driven by strong demand and higher fares as airlines attempt to pass along the cost of rising fuel prices. While international markets led this growth, particularly the Atlantic market, domestic market unit revenues also increased.</w:t>
      </w:r>
    </w:p>
    <w:p>
      <w:pPr>
        <w:spacing w:after="0" w:line="140"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See Part II, Item 1A. Risk Factors –</w:t>
      </w:r>
      <w:r>
        <w:rPr>
          <w:rFonts w:ascii="Arial" w:cs="Arial" w:eastAsia="Arial" w:hAnsi="Arial"/>
          <w:sz w:val="18"/>
          <w:szCs w:val="18"/>
          <w:i w:val="1"/>
          <w:iCs w:val="1"/>
          <w:color w:val="auto"/>
        </w:rPr>
        <w:t>“Downturns in economic conditions could adversely affect our business,” “Our business is very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dependent on the price and availability of aircraft fuel. Continued periods of high volatility in fuel costs, increased fuel prices or significant disruptions in the supply of aircraft fuel could have a significant negative impact on our operating results and liquidity” </w:t>
      </w:r>
      <w:r>
        <w:rPr>
          <w:rFonts w:ascii="Arial" w:cs="Arial" w:eastAsia="Arial" w:hAnsi="Arial"/>
          <w:sz w:val="18"/>
          <w:szCs w:val="18"/>
          <w:color w:val="auto"/>
        </w:rPr>
        <w:t>and</w:t>
      </w:r>
      <w:r>
        <w:rPr>
          <w:rFonts w:ascii="Arial" w:cs="Arial" w:eastAsia="Arial" w:hAnsi="Arial"/>
          <w:sz w:val="18"/>
          <w:szCs w:val="18"/>
          <w:i w:val="1"/>
          <w:iCs w:val="1"/>
          <w:color w:val="auto"/>
        </w:rPr>
        <w:t xml:space="preserve"> "Our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1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auto"/>
        </w:rPr>
        <w:t>AAG’s Third Quarter 2018 Results</w:t>
      </w:r>
    </w:p>
    <w:p>
      <w:pPr>
        <w:spacing w:after="0" w:line="108"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jc w:val="center"/>
              <w:ind w:left="3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vMerge w:val="restart"/>
          </w:tcPr>
          <w:p>
            <w:pPr>
              <w:jc w:val="right"/>
              <w:ind w:right="252"/>
              <w:spacing w:after="0" w:line="135" w:lineRule="exact"/>
              <w:rPr>
                <w:sz w:val="20"/>
                <w:szCs w:val="20"/>
                <w:color w:val="auto"/>
              </w:rPr>
            </w:pPr>
            <w:r>
              <w:rPr>
                <w:rFonts w:ascii="Arial" w:cs="Arial" w:eastAsia="Arial" w:hAnsi="Arial"/>
                <w:sz w:val="14"/>
                <w:szCs w:val="14"/>
                <w:b w:val="1"/>
                <w:bCs w:val="1"/>
                <w:color w:val="auto"/>
              </w:rPr>
              <w:t>Increase</w:t>
            </w:r>
          </w:p>
        </w:tc>
        <w:tc>
          <w:tcPr>
            <w:tcW w:w="1360" w:type="dxa"/>
            <w:vAlign w:val="bottom"/>
            <w:vMerge w:val="restart"/>
          </w:tcPr>
          <w:p>
            <w:pPr>
              <w:jc w:val="center"/>
              <w:ind w:left="35"/>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(Decrease)</w:t>
            </w:r>
          </w:p>
        </w:tc>
        <w:tc>
          <w:tcPr>
            <w:tcW w:w="136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80" w:type="dxa"/>
            <w:vAlign w:val="bottom"/>
            <w:gridSpan w:val="6"/>
          </w:tcPr>
          <w:p>
            <w:pPr>
              <w:jc w:val="right"/>
              <w:ind w:right="172"/>
              <w:spacing w:after="0"/>
              <w:rPr>
                <w:sz w:val="20"/>
                <w:szCs w:val="20"/>
                <w:color w:val="auto"/>
              </w:rPr>
            </w:pPr>
            <w:r>
              <w:rPr>
                <w:rFonts w:ascii="Arial" w:cs="Arial" w:eastAsia="Arial" w:hAnsi="Arial"/>
                <w:sz w:val="14"/>
                <w:szCs w:val="14"/>
                <w:b w:val="1"/>
                <w:bCs w:val="1"/>
                <w:color w:val="auto"/>
              </w:rPr>
              <w:t>(In millions, except percentage changes)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10,561</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465</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Cargo revenue</w:t>
            </w:r>
          </w:p>
        </w:tc>
        <w:tc>
          <w:tcPr>
            <w:tcW w:w="3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revenue</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11,559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10,965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594</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and regional aircraft fuel and related taxes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2,740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818</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10,910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1,201</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(607)</w:t>
            </w:r>
          </w:p>
        </w:tc>
        <w:tc>
          <w:tcPr>
            <w:tcW w:w="1360" w:type="dxa"/>
            <w:vAlign w:val="bottom"/>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w:t>
            </w:r>
          </w:p>
        </w:tc>
        <w:tc>
          <w:tcPr>
            <w:tcW w:w="136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84"/>
        </w:trPr>
        <w:tc>
          <w:tcPr>
            <w:tcW w:w="5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456</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0"/>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Adjusted for: Total pre-tax net special items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w:t>
            </w:r>
          </w:p>
        </w:tc>
        <w:tc>
          <w:tcPr>
            <w:tcW w:w="1360" w:type="dxa"/>
            <w:vAlign w:val="bottom"/>
            <w:tcBorders>
              <w:bottom w:val="single" w:sz="8" w:color="CCEEFF"/>
            </w:tcBorders>
          </w:tcPr>
          <w:p>
            <w:pPr>
              <w:jc w:val="right"/>
              <w:ind w:right="15"/>
              <w:spacing w:after="0" w:line="269" w:lineRule="exact"/>
              <w:rPr>
                <w:sz w:val="20"/>
                <w:szCs w:val="20"/>
                <w:color w:val="auto"/>
              </w:rPr>
            </w:pPr>
            <w:r>
              <w:rPr>
                <w:rFonts w:ascii="Arial" w:cs="Arial" w:eastAsia="Arial" w:hAnsi="Arial"/>
                <w:sz w:val="31"/>
                <w:szCs w:val="31"/>
                <w:color w:val="auto"/>
                <w:vertAlign w:val="subscript"/>
              </w:rPr>
              <w:t>nm</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5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 excluding special items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688</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-2752090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-2752090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-2752090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13379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00" w:hanging="330"/>
        <w:spacing w:after="0" w:line="235" w:lineRule="auto"/>
        <w:tabs>
          <w:tab w:leader="none" w:pos="50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 xml:space="preserve">See below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Condensed Consolidated Financial Statements in Part I, Item 1A for details on the components of special items.</w:t>
      </w:r>
    </w:p>
    <w:p>
      <w:pPr>
        <w:spacing w:after="0" w:line="44"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Not meaningful.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Pre-Tax Income and Net Income</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Pre-tax income and net income were $ 456 million and $ 341 million in the third quarter of 2018, respectively. This compares to third quarter 2017 pre-tax income and net income of $1.1 billion and $ 661 million, respectively. Excluding the effects of pre-tax net special items, we recognized pre-tax income of $688 million in the third quarter of 2018 as compared to $1.2 billion in the third quarter of 2017. The quarter-over-quarter declines in our pre-tax income on both a GAAP basis and excluding pre-tax net special items were principally driven by a 37.6% increase in the average price per gallon of fuel. This increase was offset in part by higher revenues driven by strong demand and higher fares.</w:t>
      </w:r>
    </w:p>
    <w:p>
      <w:pPr>
        <w:spacing w:after="0" w:line="15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Additionally, in September 2018, we cancelled approximately 2,100 flights due to the impact of Hurricane Florence. We estimate that these cancellations reduced our pre-tax income in the third quarter of 2018 by approximately $50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the third quarter of 2018, we reported total operating revenues of $11.6 billion, an increase of $594 million, or 5.4%, as compared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2017 period. Passenger revenue was $10.6 billion in the third quarter of 2018, an increase of $465 million, or 4.6%, as compared to the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period. The increase in passenger revenue in the third quarter of 2018 was due to a 2.3% increase in revenue passenger miles (RPMs) and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 increase in yields driven by continued strong demand. Domestic yields increased 1.5% and international yields increased 4.1%, led by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 increase in yield in the Atlantic market.</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increased $37 million, or 16.4%, primarily driven by increases in domestic and international freight yields and freight volume.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driven by higher loyalty revenue, increased $92 million, or 14.5%, as compared to the third quarter of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23" w:right="239" w:bottom="1440" w:gutter="0" w:footer="0" w:header="0"/>
        </w:sectPr>
      </w:pPr>
    </w:p>
    <w:bookmarkStart w:id="43" w:name="page44"/>
    <w:bookmarkEnd w:id="43"/>
    <w:p>
      <w:pPr>
        <w:jc w:val="both"/>
        <w:ind w:right="20" w:firstLine="216"/>
        <w:spacing w:after="0" w:line="262" w:lineRule="auto"/>
        <w:rPr>
          <w:sz w:val="20"/>
          <w:szCs w:val="20"/>
          <w:color w:val="auto"/>
        </w:rPr>
      </w:pPr>
      <w:r>
        <w:rPr>
          <w:rFonts w:ascii="Arial" w:cs="Arial" w:eastAsia="Arial" w:hAnsi="Arial"/>
          <w:sz w:val="18"/>
          <w:szCs w:val="18"/>
          <w:color w:val="auto"/>
        </w:rPr>
        <w:t>Our total revenue per available seat mile (TRASM) was 15.40 cents in the third quarter of 2018, a 2.6% increase as compared to 15.01 cents in the third quarter of 2017. This marks our eighth consecutive quarter of positive TRASM growth.</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mainline and regional fuel expense totaled $2.7 billion in the third quarter of 2018, which was $818 million, or 42.6%, higher as compared to the 2017 period. This increase was primarily driven by a 37.6% increase in the average price per gallon of fuel to $2.30 in the third quarter of 2018 from $1.67 in the 2017 period.</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September 30, 2018,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w:t>
      </w:r>
    </w:p>
    <w:p>
      <w:pPr>
        <w:spacing w:after="0" w:line="11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the health of the economy and the price of fuel.</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2018 third quarter total cost per available seat mile (CASM) was 14.54 cents, an increase of 9.4%, from 13.29 cents in the 2017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driven by an increase in fuel costs as described above.</w:t>
      </w:r>
    </w:p>
    <w:p>
      <w:pPr>
        <w:spacing w:after="0" w:line="171" w:lineRule="exact"/>
        <w:rPr>
          <w:sz w:val="20"/>
          <w:szCs w:val="20"/>
          <w:color w:val="auto"/>
        </w:rPr>
      </w:pPr>
    </w:p>
    <w:p>
      <w:pPr>
        <w:ind w:left="220" w:right="180"/>
        <w:spacing w:after="0" w:line="449" w:lineRule="auto"/>
        <w:rPr>
          <w:sz w:val="20"/>
          <w:szCs w:val="20"/>
          <w:color w:val="auto"/>
        </w:rPr>
      </w:pPr>
      <w:r>
        <w:rPr>
          <w:rFonts w:ascii="Arial" w:cs="Arial" w:eastAsia="Arial" w:hAnsi="Arial"/>
          <w:sz w:val="18"/>
          <w:szCs w:val="18"/>
          <w:color w:val="auto"/>
        </w:rPr>
        <w:t xml:space="preserve">Our 2018 third quarter CASM excluding special items and fuel was 10.60 cents, an increase of 0.8%, as compared to the 2017 period. For a reconciliation of total CASM excluding special items and fuel, see below </w:t>
      </w:r>
      <w:r>
        <w:rPr>
          <w:rFonts w:ascii="Arial" w:cs="Arial" w:eastAsia="Arial" w:hAnsi="Arial"/>
          <w:sz w:val="18"/>
          <w:szCs w:val="18"/>
          <w:i w:val="1"/>
          <w:iCs w:val="1"/>
          <w:color w:val="auto"/>
        </w:rPr>
        <w:t>“Reconciliation of GAAP to Non-GAAP Financial Measures.”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of September 30, 2018, we had approximately $7.4 billion in total available liquidity, consisting of $4.9 billion in unrestricted cash and short-term investments and $2.5 billion in undrawn revolving credit facilities. We also had restricted cash and short-term investments of $154 million.</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third quarter of 2018, we raised $1.8 billion in incremental proceeds from the following financing transactions:</w:t>
      </w:r>
    </w:p>
    <w:p>
      <w:pPr>
        <w:spacing w:after="0" w:line="171" w:lineRule="exact"/>
        <w:rPr>
          <w:sz w:val="20"/>
          <w:szCs w:val="20"/>
          <w:color w:val="auto"/>
        </w:rPr>
      </w:pPr>
    </w:p>
    <w:p>
      <w:pPr>
        <w:ind w:left="580" w:hanging="329"/>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$756 million from aircraft and pre-delivery purchase deposit debt financing</w:t>
      </w:r>
    </w:p>
    <w:p>
      <w:pPr>
        <w:spacing w:after="0" w:line="171" w:lineRule="exact"/>
        <w:rPr>
          <w:rFonts w:ascii="Arial" w:cs="Arial" w:eastAsia="Arial" w:hAnsi="Arial"/>
          <w:sz w:val="18"/>
          <w:szCs w:val="18"/>
          <w:color w:val="auto"/>
        </w:rPr>
      </w:pPr>
    </w:p>
    <w:p>
      <w:pPr>
        <w:ind w:left="580" w:hanging="329"/>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$588 million from aircraft sale-leaseback transactions</w:t>
      </w:r>
    </w:p>
    <w:p>
      <w:pPr>
        <w:spacing w:after="0" w:line="171" w:lineRule="exact"/>
        <w:rPr>
          <w:rFonts w:ascii="Arial" w:cs="Arial" w:eastAsia="Arial" w:hAnsi="Arial"/>
          <w:sz w:val="18"/>
          <w:szCs w:val="18"/>
          <w:color w:val="auto"/>
        </w:rPr>
      </w:pPr>
    </w:p>
    <w:p>
      <w:pPr>
        <w:ind w:left="580" w:hanging="329"/>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$500 million from incremental term loans under our 2014 Credit Facilities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our debt obligations.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Additionally, we returned $46 million to our stockholders through a quarterly dividend payment during the third quarter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6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5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following table presents the reconciliation of pre-tax income (GAAP measure) to pre-tax income excluding special items (non-GAAP measure). Management uses this non-GAAP financial measure to evaluate our current operating performance and to allow for period-to-period comparisons. As special items may vary from period-to-period in nature and amount, the adjustment to exclude special items allows management an additional tool to better understand our core operating performance.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460" w:type="dxa"/>
            <w:vAlign w:val="bottom"/>
            <w:tcBorders>
              <w:top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Pre-Tax Income Excluding Special Items:</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Pre-tax income - GAAP</w:t>
            </w:r>
          </w:p>
        </w:tc>
        <w:tc>
          <w:tcPr>
            <w:tcW w:w="152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77"/>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Pre-tax special items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7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Operating special items, net</w:t>
            </w: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Nonoperating special items, net</w:t>
            </w:r>
          </w:p>
        </w:tc>
        <w:tc>
          <w:tcPr>
            <w:tcW w:w="700" w:type="dxa"/>
            <w:vAlign w:val="bottom"/>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pre-tax special items, net</w:t>
            </w:r>
          </w:p>
        </w:tc>
        <w:tc>
          <w:tcPr>
            <w:tcW w:w="7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Pre-tax income excluding special items</w:t>
            </w:r>
          </w:p>
        </w:tc>
        <w:tc>
          <w:tcPr>
            <w:tcW w:w="15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2,157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ind w:right="114"/>
              <w:spacing w:after="0"/>
              <w:rPr>
                <w:sz w:val="20"/>
                <w:szCs w:val="20"/>
                <w:color w:val="auto"/>
              </w:rPr>
            </w:pPr>
            <w:r>
              <w:rPr>
                <w:rFonts w:ascii="Arial" w:cs="Arial" w:eastAsia="Arial" w:hAnsi="Arial"/>
                <w:sz w:val="18"/>
                <w:szCs w:val="18"/>
                <w:color w:val="auto"/>
              </w:rPr>
              <w:t>44</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-1689100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738" w:right="239" w:bottom="1440" w:gutter="0" w:footer="0" w:header="0"/>
        </w:sectPr>
      </w:pPr>
    </w:p>
    <w:bookmarkStart w:id="45" w:name="page46"/>
    <w:bookmarkEnd w:id="45"/>
    <w:p>
      <w:pPr>
        <w:jc w:val="both"/>
        <w:ind w:firstLine="216"/>
        <w:spacing w:after="0" w:line="253"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special items and fuel (non-GAAP measure). Management uses total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 Amounts may not recalculate due to rounding.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0" w:type="dxa"/>
            <w:vAlign w:val="bottom"/>
            <w:tcBorders>
              <w:bottom w:val="single" w:sz="8" w:color="CCEEFF"/>
            </w:tcBorders>
          </w:tcPr>
          <w:p>
            <w:pPr>
              <w:spacing w:after="0"/>
              <w:rPr>
                <w:sz w:val="22"/>
                <w:szCs w:val="22"/>
                <w:color w:val="auto"/>
              </w:rPr>
            </w:pPr>
          </w:p>
        </w:tc>
        <w:tc>
          <w:tcPr>
            <w:tcW w:w="400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193"/>
        </w:trPr>
        <w:tc>
          <w:tcPr>
            <w:tcW w:w="6020" w:type="dxa"/>
            <w:vAlign w:val="bottom"/>
            <w:gridSpan w:val="3"/>
            <w:shd w:val="clear" w:color="auto" w:fill="CCEEFF"/>
          </w:tcPr>
          <w:p>
            <w:pPr>
              <w:ind w:left="40"/>
              <w:spacing w:after="0" w:line="193" w:lineRule="exact"/>
              <w:rPr>
                <w:sz w:val="20"/>
                <w:szCs w:val="20"/>
                <w:color w:val="auto"/>
              </w:rPr>
            </w:pPr>
            <w:r>
              <w:rPr>
                <w:rFonts w:ascii="Arial" w:cs="Arial" w:eastAsia="Arial" w:hAnsi="Arial"/>
                <w:sz w:val="18"/>
                <w:szCs w:val="18"/>
                <w:b w:val="1"/>
                <w:bCs w:val="1"/>
                <w:color w:val="auto"/>
              </w:rPr>
              <w:t>Reconciliation of Total Operating Costs per Available Seat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8"/>
        </w:trPr>
        <w:tc>
          <w:tcPr>
            <w:tcW w:w="6020" w:type="dxa"/>
            <w:vAlign w:val="bottom"/>
            <w:gridSpan w:val="3"/>
            <w:shd w:val="clear" w:color="auto" w:fill="CCEEFF"/>
          </w:tcPr>
          <w:p>
            <w:pPr>
              <w:ind w:left="40"/>
              <w:spacing w:after="0" w:line="199" w:lineRule="exact"/>
              <w:rPr>
                <w:sz w:val="20"/>
                <w:szCs w:val="20"/>
                <w:color w:val="auto"/>
              </w:rPr>
            </w:pPr>
            <w:r>
              <w:rPr>
                <w:rFonts w:ascii="Arial" w:cs="Arial" w:eastAsia="Arial" w:hAnsi="Arial"/>
                <w:sz w:val="18"/>
                <w:szCs w:val="18"/>
                <w:b w:val="1"/>
                <w:bCs w:val="1"/>
                <w:color w:val="auto"/>
              </w:rPr>
              <w:t>Mile (CASM) Excluding Special Items and Fuel:</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4000" w:type="dxa"/>
            <w:vAlign w:val="bottom"/>
            <w:tcBorders>
              <w:top w:val="single" w:sz="8" w:color="auto"/>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r>
      <w:tr>
        <w:trPr>
          <w:trHeight w:val="204"/>
        </w:trPr>
        <w:tc>
          <w:tcPr>
            <w:tcW w:w="60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6"/>
        </w:trPr>
        <w:tc>
          <w:tcPr>
            <w:tcW w:w="4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70"/>
        </w:trPr>
        <w:tc>
          <w:tcPr>
            <w:tcW w:w="6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expenses - GAAP</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10,910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31,495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28,419</w:t>
            </w:r>
          </w:p>
        </w:tc>
      </w:tr>
      <w:tr>
        <w:trPr>
          <w:trHeight w:val="270"/>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 xml:space="preserve">Special items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63"/>
        </w:trPr>
        <w:tc>
          <w:tcPr>
            <w:tcW w:w="40" w:type="dxa"/>
            <w:vAlign w:val="bottom"/>
          </w:tcPr>
          <w:p>
            <w:pPr>
              <w:spacing w:after="0"/>
              <w:rPr>
                <w:sz w:val="22"/>
                <w:szCs w:val="22"/>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Regional operating special items, net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57"/>
        </w:trPr>
        <w:tc>
          <w:tcPr>
            <w:tcW w:w="6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Fuel:</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Aircraft fuel and related taxes - mainline</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(4,481)</w:t>
            </w:r>
          </w:p>
        </w:tc>
      </w:tr>
      <w:tr>
        <w:trPr>
          <w:trHeight w:val="277"/>
        </w:trPr>
        <w:tc>
          <w:tcPr>
            <w:tcW w:w="40" w:type="dxa"/>
            <w:vAlign w:val="bottom"/>
            <w:shd w:val="clear" w:color="auto" w:fill="CCEEFF"/>
          </w:tcPr>
          <w:p>
            <w:pPr>
              <w:spacing w:after="0"/>
              <w:rPr>
                <w:sz w:val="24"/>
                <w:szCs w:val="24"/>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 - regional</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44"/>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Total operating expenses, excluding special items and fuel</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7,953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7,680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23,462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22,508</w:t>
            </w:r>
          </w:p>
        </w:tc>
      </w:tr>
      <w:tr>
        <w:trPr>
          <w:trHeight w:val="20"/>
        </w:trPr>
        <w:tc>
          <w:tcPr>
            <w:tcW w:w="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-1860550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ectPr>
          <w:pgSz w:w="11900" w:h="16838" w:orient="portrait"/>
          <w:cols w:equalWidth="0" w:num="1">
            <w:col w:w="11420"/>
          </w:cols>
          <w:pgMar w:left="240" w:top="760" w:right="239" w:bottom="1440" w:gutter="0" w:footer="0" w:header="0"/>
        </w:sectPr>
      </w:pP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Available Seat Miles (ASM)</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cents)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CASM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Special items per ASM:</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1"/>
          <w:szCs w:val="21"/>
          <w:color w:val="auto"/>
          <w:vertAlign w:val="superscript"/>
        </w:rPr>
        <w:t>(1)</w:t>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Regional operating special items,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Fuel per ASM:</w:t>
      </w:r>
    </w:p>
    <w:p>
      <w:pPr>
        <w:spacing w:after="0" w:line="77"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Aircraft fuel and related taxes - mainline</w:t>
      </w:r>
    </w:p>
    <w:p>
      <w:pPr>
        <w:spacing w:after="0" w:line="6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Aircraft fuel and related taxes - regional</w:t>
      </w:r>
    </w:p>
    <w:p>
      <w:pPr>
        <w:spacing w:after="0" w:line="50" w:lineRule="exact"/>
        <w:rPr>
          <w:sz w:val="20"/>
          <w:szCs w:val="20"/>
          <w:color w:val="auto"/>
        </w:rPr>
      </w:pPr>
    </w:p>
    <w:p>
      <w:pPr>
        <w:jc w:val="right"/>
        <w:ind w:right="1680"/>
        <w:spacing w:after="0"/>
        <w:rPr>
          <w:sz w:val="20"/>
          <w:szCs w:val="20"/>
          <w:color w:val="auto"/>
        </w:rPr>
      </w:pPr>
      <w:r>
        <w:rPr>
          <w:rFonts w:ascii="Arial" w:cs="Arial" w:eastAsia="Arial" w:hAnsi="Arial"/>
          <w:sz w:val="17"/>
          <w:szCs w:val="17"/>
          <w:color w:val="auto"/>
        </w:rPr>
        <w:t>Total CASM, excluding special items and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13379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75,039</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73,053</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213,756</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209,136</w:t>
            </w:r>
          </w:p>
        </w:tc>
      </w:tr>
      <w:tr>
        <w:trPr>
          <w:trHeight w:val="540"/>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13.59</w:t>
            </w:r>
          </w:p>
        </w:tc>
      </w:tr>
      <w:tr>
        <w:trPr>
          <w:trHeight w:val="540"/>
        </w:trPr>
        <w:tc>
          <w:tcPr>
            <w:tcW w:w="126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70"/>
        </w:trPr>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540"/>
        </w:trPr>
        <w:tc>
          <w:tcPr>
            <w:tcW w:w="126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7"/>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r>
      <w:tr>
        <w:trPr>
          <w:trHeight w:val="250"/>
        </w:trPr>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10.76</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-1568450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-1225550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-882650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-539750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-196850</wp:posOffset>
            </wp:positionV>
            <wp:extent cx="724662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400"/>
          </w:cols>
          <w:pgMar w:left="240" w:top="760" w:right="239" w:bottom="1440" w:gutter="0" w:footer="0" w:header="0"/>
          <w:type w:val="continuous"/>
        </w:sectPr>
      </w:pPr>
    </w:p>
    <w:p>
      <w:pPr>
        <w:spacing w:after="0" w:line="150" w:lineRule="exact"/>
        <w:rPr>
          <w:sz w:val="20"/>
          <w:szCs w:val="20"/>
          <w:color w:val="auto"/>
        </w:rPr>
      </w:pPr>
    </w:p>
    <w:p>
      <w:pPr>
        <w:jc w:val="center"/>
        <w:ind w:left="5620" w:right="840" w:hanging="5369"/>
        <w:spacing w:after="0" w:line="490" w:lineRule="auto"/>
        <w:tabs>
          <w:tab w:leader="none" w:pos="581"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See Note 2 to AAG’s Condensed Consolidated Financial Statements in Part I, Item 1A for further information on special items. 45</w:t>
      </w:r>
    </w:p>
    <w:p>
      <w:pPr>
        <w:sectPr>
          <w:pgSz w:w="11900" w:h="16838" w:orient="portrait"/>
          <w:cols w:equalWidth="0" w:num="1">
            <w:col w:w="11420"/>
          </w:cols>
          <w:pgMar w:left="240" w:top="760"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AAG’s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sets forth selected operating data for the three and nine months ended September 30, 2018 and 2017.</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2100" w:type="dxa"/>
            <w:vAlign w:val="bottom"/>
            <w:gridSpan w:val="3"/>
          </w:tcPr>
          <w:p>
            <w:pPr>
              <w:jc w:val="right"/>
              <w:ind w:right="23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right"/>
              <w:ind w:right="29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210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7"/>
                <w:szCs w:val="17"/>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Increase</w:t>
            </w:r>
          </w:p>
        </w:tc>
        <w:tc>
          <w:tcPr>
            <w:tcW w:w="214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7"/>
                <w:szCs w:val="17"/>
                <w:color w:val="auto"/>
              </w:rPr>
            </w:pPr>
          </w:p>
        </w:tc>
        <w:tc>
          <w:tcPr>
            <w:tcW w:w="118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8"/>
        </w:trPr>
        <w:tc>
          <w:tcPr>
            <w:tcW w:w="4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4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6"/>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1"/>
                <w:szCs w:val="21"/>
                <w:color w:val="auto"/>
                <w:vertAlign w:val="superscript"/>
              </w:rPr>
              <w:t>(a)</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61,865</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60,471</w:t>
            </w:r>
          </w:p>
        </w:tc>
        <w:tc>
          <w:tcPr>
            <w:tcW w:w="13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175,589</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171,019</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4440" w:type="dxa"/>
            <w:vAlign w:val="bottom"/>
          </w:tcPr>
          <w:p>
            <w:pPr>
              <w:ind w:left="20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1"/>
                <w:szCs w:val="21"/>
                <w:color w:val="auto"/>
                <w:vertAlign w:val="superscript"/>
              </w:rPr>
              <w:t>(b)</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75,039</w:t>
            </w:r>
          </w:p>
        </w:tc>
        <w:tc>
          <w:tcPr>
            <w:tcW w:w="1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73,053</w:t>
            </w:r>
          </w:p>
        </w:tc>
        <w:tc>
          <w:tcPr>
            <w:tcW w:w="1360" w:type="dxa"/>
            <w:vAlign w:val="bottom"/>
            <w:gridSpan w:val="2"/>
          </w:tcPr>
          <w:p>
            <w:pPr>
              <w:jc w:val="right"/>
              <w:ind w:right="10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213,756</w:t>
            </w:r>
          </w:p>
        </w:tc>
        <w:tc>
          <w:tcPr>
            <w:tcW w:w="1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209,136</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1"/>
                <w:szCs w:val="21"/>
                <w:color w:val="auto"/>
                <w:vertAlign w:val="superscript"/>
              </w:rPr>
              <w:t>(c)</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(0.4)pts</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0.3pts</w:t>
            </w:r>
          </w:p>
        </w:tc>
        <w:tc>
          <w:tcPr>
            <w:tcW w:w="0" w:type="dxa"/>
            <w:vAlign w:val="bottom"/>
          </w:tcPr>
          <w:p>
            <w:pPr>
              <w:spacing w:after="0"/>
              <w:rPr>
                <w:sz w:val="1"/>
                <w:szCs w:val="1"/>
                <w:color w:val="auto"/>
              </w:rPr>
            </w:pPr>
          </w:p>
        </w:tc>
      </w:tr>
      <w:tr>
        <w:trPr>
          <w:trHeight w:val="270"/>
        </w:trPr>
        <w:tc>
          <w:tcPr>
            <w:tcW w:w="4440" w:type="dxa"/>
            <w:vAlign w:val="bottom"/>
          </w:tcPr>
          <w:p>
            <w:pPr>
              <w:ind w:left="20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21"/>
                <w:szCs w:val="21"/>
                <w:color w:val="auto"/>
                <w:vertAlign w:val="superscript"/>
              </w:rPr>
              <w:t>(d)</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16.70</w:t>
            </w:r>
          </w:p>
        </w:tc>
        <w:tc>
          <w:tcPr>
            <w:tcW w:w="1360" w:type="dxa"/>
            <w:vAlign w:val="bottom"/>
            <w:gridSpan w:val="2"/>
          </w:tcPr>
          <w:p>
            <w:pPr>
              <w:jc w:val="right"/>
              <w:ind w:right="10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17.22</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 xml:space="preserve">Passenger revenue per available seat mile (cents) </w:t>
            </w:r>
            <w:r>
              <w:rPr>
                <w:rFonts w:ascii="Arial" w:cs="Arial" w:eastAsia="Arial" w:hAnsi="Arial"/>
                <w:sz w:val="21"/>
                <w:szCs w:val="21"/>
                <w:color w:val="auto"/>
                <w:w w:val="99"/>
                <w:vertAlign w:val="superscript"/>
              </w:rPr>
              <w:t>(e)</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13.82</w:t>
            </w:r>
          </w:p>
        </w:tc>
        <w:tc>
          <w:tcPr>
            <w:tcW w:w="13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14.08</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4440" w:type="dxa"/>
            <w:vAlign w:val="bottom"/>
          </w:tcPr>
          <w:p>
            <w:pPr>
              <w:ind w:left="200"/>
              <w:spacing w:after="0"/>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1"/>
                <w:szCs w:val="21"/>
                <w:color w:val="auto"/>
                <w:vertAlign w:val="superscript"/>
              </w:rPr>
              <w:t>(f)</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15.01</w:t>
            </w:r>
          </w:p>
        </w:tc>
        <w:tc>
          <w:tcPr>
            <w:tcW w:w="1360" w:type="dxa"/>
            <w:vAlign w:val="bottom"/>
            <w:gridSpan w:val="2"/>
          </w:tcPr>
          <w:p>
            <w:pPr>
              <w:jc w:val="right"/>
              <w:ind w:right="10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15.31</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Aircraft at end of period</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1,558</w:t>
            </w:r>
          </w:p>
        </w:tc>
        <w:tc>
          <w:tcPr>
            <w:tcW w:w="13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3"/>
        </w:trPr>
        <w:tc>
          <w:tcPr>
            <w:tcW w:w="4440" w:type="dxa"/>
            <w:vAlign w:val="bottom"/>
          </w:tcPr>
          <w:p>
            <w:pPr>
              <w:ind w:left="200"/>
              <w:spacing w:after="0"/>
              <w:rPr>
                <w:sz w:val="20"/>
                <w:szCs w:val="20"/>
                <w:color w:val="auto"/>
              </w:rPr>
            </w:pPr>
            <w:r>
              <w:rPr>
                <w:rFonts w:ascii="Arial" w:cs="Arial" w:eastAsia="Arial" w:hAnsi="Arial"/>
                <w:sz w:val="18"/>
                <w:szCs w:val="18"/>
                <w:color w:val="auto"/>
              </w:rPr>
              <w:t>Fuel consumption (gallons in millions)</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1,148</w:t>
            </w:r>
          </w:p>
        </w:tc>
        <w:tc>
          <w:tcPr>
            <w:tcW w:w="1360" w:type="dxa"/>
            <w:vAlign w:val="bottom"/>
            <w:gridSpan w:val="2"/>
          </w:tcPr>
          <w:p>
            <w:pPr>
              <w:jc w:val="right"/>
              <w:ind w:right="10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3,291</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5"/>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aircraft fuel price including related taxes</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(dollars per gallon)</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3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63"/>
        </w:trPr>
        <w:tc>
          <w:tcPr>
            <w:tcW w:w="4440" w:type="dxa"/>
            <w:vAlign w:val="bottom"/>
          </w:tcPr>
          <w:p>
            <w:pPr>
              <w:ind w:left="200"/>
              <w:spacing w:after="0"/>
              <w:rPr>
                <w:sz w:val="20"/>
                <w:szCs w:val="20"/>
                <w:color w:val="auto"/>
              </w:rPr>
            </w:pPr>
            <w:r>
              <w:rPr>
                <w:rFonts w:ascii="Arial" w:cs="Arial" w:eastAsia="Arial" w:hAnsi="Arial"/>
                <w:sz w:val="18"/>
                <w:szCs w:val="18"/>
                <w:color w:val="auto"/>
              </w:rPr>
              <w:t>Full-time equivalent employees at end of period</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130,500</w:t>
            </w:r>
          </w:p>
        </w:tc>
        <w:tc>
          <w:tcPr>
            <w:tcW w:w="10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127,600</w:t>
            </w:r>
          </w:p>
        </w:tc>
        <w:tc>
          <w:tcPr>
            <w:tcW w:w="1360" w:type="dxa"/>
            <w:vAlign w:val="bottom"/>
            <w:gridSpan w:val="2"/>
          </w:tcPr>
          <w:p>
            <w:pPr>
              <w:jc w:val="right"/>
              <w:ind w:right="10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130,500</w:t>
            </w:r>
          </w:p>
        </w:tc>
        <w:tc>
          <w:tcPr>
            <w:tcW w:w="1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127,600</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7"/>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21"/>
                <w:szCs w:val="21"/>
                <w:color w:val="auto"/>
                <w:vertAlign w:val="superscript"/>
              </w:rPr>
              <w:t>(g)</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13.29</w:t>
            </w:r>
          </w:p>
        </w:tc>
        <w:tc>
          <w:tcPr>
            <w:tcW w:w="13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13.59</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94" w:lineRule="exact"/>
        <w:rPr>
          <w:sz w:val="20"/>
          <w:szCs w:val="20"/>
          <w:color w:val="auto"/>
        </w:rPr>
      </w:pPr>
    </w:p>
    <w:p>
      <w:pPr>
        <w:ind w:left="500" w:hanging="330"/>
        <w:spacing w:after="0"/>
        <w:tabs>
          <w:tab w:leader="none" w:pos="50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Passenger revenue per available seat mile (PRASM) – Passenger revenue divided by ASMs.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Total revenue per available seat mile (TRASM) – Total revenues divided by total ASMs.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Operating cost per available seat mile (CASM) – Operating expenses divided by ASMs.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Compared to Three Months Ended September 30, 2017</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Pre-tax income and net income were $456 million and $341 million in the third quarter of 2018, respectively. This compares to the third quarter 2017 pre-tax income and net income of $1.1 billion and $661 million, respectively. Excluding the effects of pre-tax net special items, pre-tax income was $688 million and $1.2 billion in the third quarters of 2018 and 2017, respectively.</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quarter-over-quarter declines in our pre-tax income on both a GAAP basis and excluding pre-tax net special items were principally driven by an increase in fuel costs, which were offset in part by higher revenues driven by strong demand and higher fares.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19" w:right="239" w:bottom="1440" w:gutter="0" w:footer="0" w:header="0"/>
        </w:sectPr>
      </w:pPr>
    </w:p>
    <w:bookmarkStart w:id="47" w:name="page48"/>
    <w:bookmarkEnd w:id="47"/>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vMerge w:val="restart"/>
          </w:tcPr>
          <w:p>
            <w:pPr>
              <w:jc w:val="center"/>
              <w:ind w:left="3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tcPr>
          <w:p>
            <w:pPr>
              <w:jc w:val="center"/>
              <w:ind w:left="518"/>
              <w:spacing w:after="0" w:line="149" w:lineRule="exact"/>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6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296"/>
              <w:spacing w:after="0" w:line="135" w:lineRule="exact"/>
              <w:rPr>
                <w:sz w:val="20"/>
                <w:szCs w:val="20"/>
                <w:color w:val="auto"/>
              </w:rPr>
            </w:pPr>
            <w:r>
              <w:rPr>
                <w:rFonts w:ascii="Arial" w:cs="Arial" w:eastAsia="Arial" w:hAnsi="Arial"/>
                <w:sz w:val="14"/>
                <w:szCs w:val="14"/>
                <w:b w:val="1"/>
                <w:bCs w:val="1"/>
                <w:color w:val="auto"/>
              </w:rPr>
              <w:t>Increase</w:t>
            </w:r>
          </w:p>
        </w:tc>
        <w:tc>
          <w:tcPr>
            <w:tcW w:w="148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10,561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22"/>
                <w:szCs w:val="22"/>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14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50"/>
        </w:trPr>
        <w:tc>
          <w:tcPr>
            <w:tcW w:w="560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11,559</w:t>
            </w:r>
          </w:p>
        </w:tc>
        <w:tc>
          <w:tcPr>
            <w:tcW w:w="100" w:type="dxa"/>
            <w:vAlign w:val="bottom"/>
          </w:tcPr>
          <w:p>
            <w:pPr>
              <w:spacing w:after="0"/>
              <w:rPr>
                <w:sz w:val="21"/>
                <w:szCs w:val="21"/>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10,965</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594</w:t>
            </w: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-857250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-857250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-857250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passenger revenue and the quarter-over-quarter change in certain operating statistics: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Increase (Decrease)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rPr>
              <w:t>vs. Three Months Ended September 30, 2017</w:t>
            </w:r>
          </w:p>
        </w:tc>
        <w:tc>
          <w:tcPr>
            <w:tcW w:w="980" w:type="dxa"/>
            <w:vAlign w:val="bottom"/>
            <w:tcBorders>
              <w:bottom w:val="single" w:sz="8" w:color="auto"/>
            </w:tcBorders>
          </w:tcPr>
          <w:p>
            <w:pPr>
              <w:spacing w:after="0"/>
              <w:rPr>
                <w:sz w:val="17"/>
                <w:szCs w:val="17"/>
                <w:color w:val="auto"/>
              </w:rPr>
            </w:pPr>
          </w:p>
        </w:tc>
      </w:tr>
      <w:tr>
        <w:trPr>
          <w:trHeight w:val="175"/>
        </w:trPr>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Load</w:t>
            </w: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Passenger</w:t>
            </w:r>
          </w:p>
        </w:tc>
        <w:tc>
          <w:tcPr>
            <w:tcW w:w="980" w:type="dxa"/>
            <w:vAlign w:val="bottom"/>
          </w:tcPr>
          <w:p>
            <w:pPr>
              <w:spacing w:after="0"/>
              <w:rPr>
                <w:sz w:val="15"/>
                <w:szCs w:val="15"/>
                <w:color w:val="auto"/>
              </w:rPr>
            </w:pPr>
          </w:p>
        </w:tc>
      </w:tr>
      <w:tr>
        <w:trPr>
          <w:trHeight w:val="196"/>
        </w:trPr>
        <w:tc>
          <w:tcPr>
            <w:tcW w:w="4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RPMs</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ASMs</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PRASM</w:t>
            </w:r>
          </w:p>
        </w:tc>
      </w:tr>
      <w:tr>
        <w:trPr>
          <w:trHeight w:val="250"/>
        </w:trPr>
        <w:tc>
          <w:tcPr>
            <w:tcW w:w="4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10,561</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(0.4)pts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Passenger revenue increased $465 million, or 4.6%, in the third quarter of 2018 from the 2017 period due to a 2.3% quarter-over-quarter increase in RPMs and a 2.2% increase in yields driven by continued strong demand. Domestic yield increased 1.5% and international yields increased 4.1%, led by a 6.1% increase in yield in the Atlantic market.</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Cargo revenue increased $ 37 million, or 16.4%, in the third quarter of 2018 from the 2017 period primarily driven by increases in domestic and international freight yields and freight volume.</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Other revenue increased $92 million, or 14.5%, in the third quarter of 2018 from the 2017 period due to higher revenue associated with our loyalty program. For the three months ended September 30, 2018 and 2017, loyalty revenue included in other revenue was $613 million and $527 million, respectively.</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Total operating revenues in the third quarter of 2018 increased $594 million, or 5.4%, from the 2017 period driven principally by a 4.6% increase in passenger revenue as described above. Our TRASM was 15.40 cents in the third quarter of 2018, a 2.6% increase as compared to 15.01 cents in the 2017 period.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23" w:right="239" w:bottom="1440" w:gutter="0" w:footer="0" w:header="0"/>
        </w:sectPr>
      </w:pPr>
    </w:p>
    <w:bookmarkStart w:id="48" w:name="page49"/>
    <w:bookmarkEnd w:id="48"/>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tcPr>
          <w:p>
            <w:pPr>
              <w:jc w:val="center"/>
              <w:ind w:left="494"/>
              <w:spacing w:after="0" w:line="149" w:lineRule="exact"/>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3"/>
              <w:spacing w:after="0" w:line="135"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664</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w:t>
            </w:r>
          </w:p>
        </w:tc>
        <w:tc>
          <w:tcPr>
            <w:tcW w:w="14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10,910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1,201</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-2400300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-2400300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-2400300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Total operating expenses increased $1.2 billion, or 12.4%, in the third quarter of 2018 from the 2017 period. The increase in operating expenses was principally driven by an increase in fuel costs. See detailed explanations below relating to changes in total CASM.</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Total CASM</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table below presents the reconciliation of total operating expenses (GAAP measure) to total operating costs excluding special items and fuel (non-GAAP measure). Management uses total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23" w:right="239" w:bottom="1440" w:gutter="0" w:footer="0" w:header="0"/>
        </w:sectPr>
      </w:pPr>
    </w:p>
    <w:bookmarkStart w:id="49" w:name="page50"/>
    <w:bookmarkEnd w:id="49"/>
    <w:p>
      <w:pPr>
        <w:ind w:firstLine="216"/>
        <w:spacing w:after="0" w:line="262" w:lineRule="auto"/>
        <w:rPr>
          <w:sz w:val="20"/>
          <w:szCs w:val="20"/>
          <w:color w:val="auto"/>
        </w:rPr>
      </w:pPr>
      <w:r>
        <w:rPr>
          <w:rFonts w:ascii="Arial" w:cs="Arial" w:eastAsia="Arial" w:hAnsi="Arial"/>
          <w:sz w:val="18"/>
          <w:szCs w:val="18"/>
          <w:color w:val="auto"/>
        </w:rPr>
        <w:t>The major components of our total CASM and our total CASM excluding special items and fuel for the three months ended September 30, 2018 and 2017 are as follows (amounts may not recalculate due to rounding):</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Salaries, wages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Maintenance, materials and repairs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rent and landing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rent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Regional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CASM</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Regional operating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mainline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regional</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CASM, excluding special items and fuel</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Significant changes in the components of total CASM are as follows:</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180" w:type="dxa"/>
            <w:vAlign w:val="bottom"/>
            <w:gridSpan w:val="3"/>
          </w:tcPr>
          <w:p>
            <w:pPr>
              <w:jc w:val="center"/>
              <w:ind w:left="973"/>
              <w:spacing w:after="0" w:line="149"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80" w:type="dxa"/>
            <w:vAlign w:val="bottom"/>
            <w:vMerge w:val="restart"/>
          </w:tcPr>
          <w:p>
            <w:pPr>
              <w:jc w:val="center"/>
              <w:ind w:left="13"/>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6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4"/>
        </w:trPr>
        <w:tc>
          <w:tcPr>
            <w:tcW w:w="4900" w:type="dxa"/>
            <w:vAlign w:val="bottom"/>
            <w:gridSpan w:val="5"/>
          </w:tcPr>
          <w:p>
            <w:pPr>
              <w:jc w:val="right"/>
              <w:ind w:right="1053"/>
              <w:spacing w:after="0"/>
              <w:rPr>
                <w:sz w:val="20"/>
                <w:szCs w:val="20"/>
                <w:color w:val="auto"/>
              </w:rPr>
            </w:pPr>
            <w:r>
              <w:rPr>
                <w:rFonts w:ascii="Arial" w:cs="Arial" w:eastAsia="Arial" w:hAnsi="Arial"/>
                <w:sz w:val="14"/>
                <w:szCs w:val="14"/>
                <w:b w:val="1"/>
                <w:bCs w:val="1"/>
                <w:color w:val="auto"/>
              </w:rPr>
              <w:t>(In cents, except percentage changes)</w:t>
            </w:r>
          </w:p>
        </w:tc>
        <w:tc>
          <w:tcPr>
            <w:tcW w:w="0" w:type="dxa"/>
            <w:vAlign w:val="bottom"/>
          </w:tcPr>
          <w:p>
            <w:pPr>
              <w:spacing w:after="0"/>
              <w:rPr>
                <w:sz w:val="1"/>
                <w:szCs w:val="1"/>
                <w:color w:val="auto"/>
              </w:rPr>
            </w:pPr>
          </w:p>
        </w:tc>
      </w:tr>
      <w:tr>
        <w:trPr>
          <w:trHeight w:val="539"/>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2.15</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4.15</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0.67</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0.64</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0.42</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0.55</w:t>
            </w:r>
          </w:p>
        </w:tc>
        <w:tc>
          <w:tcPr>
            <w:tcW w:w="1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0.59</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0.15</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1.71</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54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0.48</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7"/>
        </w:trPr>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1.78</w:t>
            </w:r>
          </w:p>
        </w:tc>
        <w:tc>
          <w:tcPr>
            <w:tcW w:w="16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13.29</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540"/>
        </w:trPr>
        <w:tc>
          <w:tcPr>
            <w:tcW w:w="150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(0.15)</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0"/>
        </w:trPr>
        <w:tc>
          <w:tcPr>
            <w:tcW w:w="218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540"/>
        </w:trPr>
        <w:tc>
          <w:tcPr>
            <w:tcW w:w="150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57"/>
        </w:trPr>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10.51</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6" w:lineRule="exact"/>
        <w:rPr>
          <w:sz w:val="20"/>
          <w:szCs w:val="20"/>
          <w:color w:val="auto"/>
        </w:rPr>
      </w:pPr>
    </w:p>
    <w:p>
      <w:pPr>
        <w:sectPr>
          <w:pgSz w:w="11900" w:h="16838" w:orient="portrait"/>
          <w:cols w:equalWidth="0" w:num="2">
            <w:col w:w="5800" w:space="720"/>
            <w:col w:w="4900"/>
          </w:cols>
          <w:pgMar w:left="240" w:top="760" w:right="239" w:bottom="1440" w:gutter="0" w:footer="0" w:header="0"/>
          <w:type w:val="continuous"/>
        </w:sectPr>
      </w:pPr>
    </w:p>
    <w:p>
      <w:pPr>
        <w:spacing w:after="0" w:line="10" w:lineRule="exact"/>
        <w:rPr>
          <w:sz w:val="20"/>
          <w:szCs w:val="20"/>
          <w:color w:val="auto"/>
        </w:rPr>
      </w:pPr>
    </w:p>
    <w:p>
      <w:pPr>
        <w:ind w:left="540" w:right="20" w:hanging="316"/>
        <w:spacing w:after="0" w:line="262"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Aircraft fuel and related taxes per ASM increased 38.5% primarily due to a 37.8% increase in the average price per gallon of fuel to $2.28 in the third quarter of 2018 from $1.66 in the 2017 period as well as a 3.3% increase in gallons of fuel consumed.</w:t>
      </w:r>
    </w:p>
    <w:p>
      <w:pPr>
        <w:spacing w:after="0" w:line="142" w:lineRule="exact"/>
        <w:rPr>
          <w:rFonts w:ascii="Arial" w:cs="Arial" w:eastAsia="Arial" w:hAnsi="Arial"/>
          <w:sz w:val="18"/>
          <w:szCs w:val="18"/>
          <w:color w:val="auto"/>
        </w:rPr>
      </w:pPr>
    </w:p>
    <w:p>
      <w:pPr>
        <w:jc w:val="both"/>
        <w:ind w:left="540" w:hanging="316"/>
        <w:spacing w:after="0" w:line="256"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Maintenance, materials and repairs per ASM increased 5.1% driven by an increase in expenses under flight hour-based engine contracts (commonly referred to as "power by the hour") where expense is incurred and recognized based on hours. The increased expense was driven by an increase in flight hours due to a higher mix of aircraft operating under these agreements.</w:t>
      </w:r>
    </w:p>
    <w:p>
      <w:pPr>
        <w:spacing w:after="0" w:line="147" w:lineRule="exact"/>
        <w:rPr>
          <w:rFonts w:ascii="Arial" w:cs="Arial" w:eastAsia="Arial" w:hAnsi="Arial"/>
          <w:sz w:val="18"/>
          <w:szCs w:val="18"/>
          <w:color w:val="auto"/>
        </w:rPr>
      </w:pPr>
    </w:p>
    <w:p>
      <w:pPr>
        <w:jc w:val="both"/>
        <w:ind w:left="540" w:right="20" w:hanging="316"/>
        <w:spacing w:after="0" w:line="256"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Depreciation and amortization per ASM increased 6.4% due in part to our fleet renewal program as subsequent to the third quarter of 2017, we took delivery of 15 owned mainline aircraft. Information technology and software development projects associated with our merger integration also contributed to the increase.</w:t>
      </w:r>
    </w:p>
    <w:p>
      <w:pPr>
        <w:spacing w:after="0" w:line="147" w:lineRule="exact"/>
        <w:rPr>
          <w:rFonts w:ascii="Arial" w:cs="Arial" w:eastAsia="Arial" w:hAnsi="Arial"/>
          <w:sz w:val="18"/>
          <w:szCs w:val="18"/>
          <w:color w:val="auto"/>
        </w:rPr>
      </w:pPr>
    </w:p>
    <w:p>
      <w:pPr>
        <w:ind w:left="540" w:hanging="316"/>
        <w:spacing w:after="0" w:line="262"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Regional aircraft fuel and related taxes per ASM increased 40.2% primarily due to a 36.6% increase in the average price per gallon of fuel to $2.39 in the third quarter of 2018 from $1.75 in the 2017 period as well as a 5.4% increase in gallons of fuel consumed.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60" w:right="239" w:bottom="1440" w:gutter="0" w:footer="0" w:header="0"/>
          <w:type w:val="continuous"/>
        </w:sectPr>
      </w:pPr>
    </w:p>
    <w:bookmarkStart w:id="50" w:name="page51"/>
    <w:bookmarkEnd w:id="50"/>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31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7"/>
                <w:szCs w:val="17"/>
                <w:color w:val="auto"/>
              </w:rPr>
            </w:pPr>
          </w:p>
        </w:tc>
      </w:tr>
      <w:tr>
        <w:trPr>
          <w:trHeight w:val="264"/>
        </w:trPr>
        <w:tc>
          <w:tcPr>
            <w:tcW w:w="776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r>
      <w:tr>
        <w:trPr>
          <w:trHeight w:val="210"/>
        </w:trPr>
        <w:tc>
          <w:tcPr>
            <w:tcW w:w="7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0" w:type="dxa"/>
            <w:vAlign w:val="bottom"/>
            <w:gridSpan w:val="3"/>
          </w:tcPr>
          <w:p>
            <w:pPr>
              <w:jc w:val="right"/>
              <w:ind w:right="836"/>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8"/>
                <w:szCs w:val="18"/>
                <w:color w:val="auto"/>
              </w:rPr>
            </w:pP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1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760" w:type="dxa"/>
            <w:vAlign w:val="bottom"/>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7760" w:type="dxa"/>
            <w:vAlign w:val="bottom"/>
          </w:tcPr>
          <w:p>
            <w:pPr>
              <w:ind w:left="180"/>
              <w:spacing w:after="0"/>
              <w:rPr>
                <w:sz w:val="20"/>
                <w:szCs w:val="20"/>
                <w:color w:val="auto"/>
              </w:rPr>
            </w:pPr>
            <w:r>
              <w:rPr>
                <w:rFonts w:ascii="Arial" w:cs="Arial" w:eastAsia="Arial" w:hAnsi="Arial"/>
                <w:sz w:val="18"/>
                <w:szCs w:val="18"/>
                <w:color w:val="auto"/>
              </w:rPr>
              <w:t>Total operating special items, net</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r>
      <w:tr>
        <w:trPr>
          <w:trHeight w:val="20"/>
        </w:trPr>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-1543050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500" w:hanging="330"/>
        <w:spacing w:after="0" w:line="225" w:lineRule="auto"/>
        <w:tabs>
          <w:tab w:leader="none" w:pos="50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remaining lease payments for aircraft and related equipment grounded or expected to be grounded earlier than planned.</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our integration projects, principally our flight attendant, human resources and payroll, and technical operations integrations.</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Severance expenses primarily included costs associated with reductions in headcount of management and support staff team members.</w:t>
      </w:r>
    </w:p>
    <w:p>
      <w:pPr>
        <w:spacing w:after="0" w:line="161"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will ultimately be settled in shares of our common stock. Accordingly, fluctuations in our stock price result in mark-to-market adjustments to these obligations.</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58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gridSpan w:val="3"/>
          </w:tcPr>
          <w:p>
            <w:pPr>
              <w:jc w:val="center"/>
              <w:ind w:right="339"/>
              <w:spacing w:after="0" w:line="149" w:lineRule="exact"/>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5"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4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50"/>
        </w:trPr>
        <w:tc>
          <w:tcPr>
            <w:tcW w:w="53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-857250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-857250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-857250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2018 period, other nonoperating income, net principally included $75 million of non-service related pension and other postretirement benefit plan income. This income was offset in part by $24 million of net foreign currency losses principally associated with losses from Latin American currencies and a $15 million net special charge for mark-to-market unrealized losses associated with certain of our equity investments.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the 2017 period, other nonoperating income, net principally included $35 million of non-service related pension and other postretirement benefit plan income and $15 million of net foreign currency gains, offset in part by $3 million of net special charges associated with debt refinancings and extinguishments.</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increase in non-service related pension and other postretirement benefit plan income in the 2018 period as compared to the 2017 period is principally due to an increase in the expected return on pension plan assets.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23" w:right="239" w:bottom="1440" w:gutter="0" w:footer="0" w:header="0"/>
        </w:sectPr>
      </w:pPr>
    </w:p>
    <w:bookmarkStart w:id="51" w:name="page52"/>
    <w:bookmarkEnd w:id="51"/>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third quarter of 2018, we recorded an income tax provision of $115 million, which was substantially non-cash due to utilization of our net operating losses (NOLs). Substantially all of our income before income taxes is attributable to the United States. At December 31, 2017, we had approximately $10.0 billion of federal NOLs and $3.4 billion of state NOLs, substantially all of which are expected to be available in 2018 to reduce federal and state taxable income.</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7 to AAG’s Condensed Consolidated Financial Statements in Part I, Item 1A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Compared to Nine Months Ended September 30, 2017</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Pre-tax income and net income were $1.5 billion and $1.1 billion in the first nine months of 2018, respectively. This compares to the first nine months of 2017 pre-tax income and net income of $3.0 billion and $1.9 billion, respectively. Excluding the effects of pre-tax net special items, pre-tax income was $2.2 billion and $3.4 billion in the first nine months of 2018 and 2017, respectively.</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period-over-period declines in our pre-tax income on both a GAAP basis and excluding pre-tax net special items were principally driven by an increase in fuel costs, which were offset in part by higher revenues driven by strong demand and higher fares.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vMerge w:val="restart"/>
          </w:tcPr>
          <w:p>
            <w:pPr>
              <w:jc w:val="center"/>
              <w:ind w:left="3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tcPr>
          <w:p>
            <w:pPr>
              <w:jc w:val="center"/>
              <w:ind w:left="518"/>
              <w:spacing w:after="0" w:line="149" w:lineRule="exact"/>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vMerge w:val="restart"/>
          </w:tcPr>
          <w:p>
            <w:pPr>
              <w:jc w:val="right"/>
              <w:ind w:right="296"/>
              <w:spacing w:after="0" w:line="135"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30,714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29,447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1,267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3"/>
        </w:trPr>
        <w:tc>
          <w:tcPr>
            <w:tcW w:w="5560" w:type="dxa"/>
            <w:vAlign w:val="bottom"/>
          </w:tcPr>
          <w:p>
            <w:pPr>
              <w:ind w:left="4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22"/>
                <w:szCs w:val="22"/>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115</w:t>
            </w:r>
          </w:p>
        </w:tc>
        <w:tc>
          <w:tcPr>
            <w:tcW w:w="146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7"/>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2,141</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50"/>
        </w:trPr>
        <w:tc>
          <w:tcPr>
            <w:tcW w:w="55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33,603</w:t>
            </w:r>
          </w:p>
        </w:tc>
        <w:tc>
          <w:tcPr>
            <w:tcW w:w="100" w:type="dxa"/>
            <w:vAlign w:val="bottom"/>
          </w:tcPr>
          <w:p>
            <w:pPr>
              <w:spacing w:after="0"/>
              <w:rPr>
                <w:sz w:val="21"/>
                <w:szCs w:val="21"/>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32,011</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1,592</w:t>
            </w: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0" w:type="dxa"/>
            <w:vAlign w:val="bottom"/>
            <w:gridSpan w:val="5"/>
          </w:tcPr>
          <w:p>
            <w:pPr>
              <w:jc w:val="center"/>
              <w:ind w:right="920"/>
              <w:spacing w:after="0"/>
              <w:rPr>
                <w:sz w:val="20"/>
                <w:szCs w:val="20"/>
                <w:color w:val="auto"/>
              </w:rPr>
            </w:pPr>
            <w:r>
              <w:rPr>
                <w:rFonts w:ascii="Arial" w:cs="Arial" w:eastAsia="Arial" w:hAnsi="Arial"/>
                <w:sz w:val="14"/>
                <w:szCs w:val="14"/>
                <w:b w:val="1"/>
                <w:bCs w:val="1"/>
                <w:color w:val="auto"/>
              </w:rPr>
              <w:t>Increase (Decrease)</w:t>
            </w:r>
          </w:p>
        </w:tc>
        <w:tc>
          <w:tcPr>
            <w:tcW w:w="980" w:type="dxa"/>
            <w:vAlign w:val="bottom"/>
          </w:tcPr>
          <w:p>
            <w:pPr>
              <w:spacing w:after="0"/>
              <w:rPr>
                <w:sz w:val="14"/>
                <w:szCs w:val="14"/>
                <w:color w:val="auto"/>
              </w:rPr>
            </w:pPr>
          </w:p>
        </w:tc>
      </w:tr>
      <w:tr>
        <w:trPr>
          <w:trHeight w:val="196"/>
        </w:trPr>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rPr>
              <w:t>vs. Nine Months Ended September 30, 2017</w:t>
            </w:r>
          </w:p>
        </w:tc>
        <w:tc>
          <w:tcPr>
            <w:tcW w:w="980" w:type="dxa"/>
            <w:vAlign w:val="bottom"/>
            <w:tcBorders>
              <w:bottom w:val="single" w:sz="8" w:color="auto"/>
            </w:tcBorders>
          </w:tcPr>
          <w:p>
            <w:pPr>
              <w:spacing w:after="0"/>
              <w:rPr>
                <w:sz w:val="17"/>
                <w:szCs w:val="17"/>
                <w:color w:val="auto"/>
              </w:rPr>
            </w:pPr>
          </w:p>
        </w:tc>
      </w:tr>
      <w:tr>
        <w:trPr>
          <w:trHeight w:val="175"/>
        </w:trPr>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Load</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Passenger</w:t>
            </w:r>
          </w:p>
        </w:tc>
        <w:tc>
          <w:tcPr>
            <w:tcW w:w="980" w:type="dxa"/>
            <w:vAlign w:val="bottom"/>
          </w:tcPr>
          <w:p>
            <w:pPr>
              <w:spacing w:after="0"/>
              <w:rPr>
                <w:sz w:val="15"/>
                <w:szCs w:val="15"/>
                <w:color w:val="auto"/>
              </w:rPr>
            </w:pPr>
          </w:p>
        </w:tc>
      </w:tr>
      <w:tr>
        <w:trPr>
          <w:trHeight w:val="196"/>
        </w:trPr>
        <w:tc>
          <w:tcPr>
            <w:tcW w:w="4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RPMs</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PRASM</w:t>
            </w:r>
          </w:p>
        </w:tc>
      </w:tr>
      <w:tr>
        <w:trPr>
          <w:trHeight w:val="250"/>
        </w:trPr>
        <w:tc>
          <w:tcPr>
            <w:tcW w:w="4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30,714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0.3pts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Passenger revenue increased $1.3 billion, or 4.3%, in the first nine months of 2018 from the 2017 period due to a 2.7% period-over-period increase in RPMs and a 1.6% increase in yields driven by continued strong demand. Domestic yield increased 0.2% and international yields increased 5.6%, led by a 7.0% increase in yield in the Atlantic market.</w:t>
      </w:r>
    </w:p>
    <w:p>
      <w:pPr>
        <w:spacing w:after="0" w:line="148"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Cargo revenue increased $115 million, or 18.1%, in the first nine months of 2018 from the 2017 period primarily driven by increases in domestic and international freight yields and freight volume.</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Other revenue increased $210 million, or 10.8%, in the first nine months of 2018 from the 2017 period due to higher revenue associated with our loyalty program. In the first nine months of 2018 and 2017, loyalty revenue included in other revenue was $1.8 billion and $1.6 billion, respectively.</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Total operating revenues in the first nine months of 2018 increased $1.6 billion, or 5.0%, from the 2017 period driven principally by a 4.3% increase in passenger revenue as described above. Our TRASM was 15.72 cents in the first nine months of 2018, a 2.7% increase as compared to 15.31 cents in the 2017 period.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23" w:right="239" w:bottom="1440" w:gutter="0" w:footer="0" w:header="0"/>
        </w:sectPr>
      </w:pPr>
    </w:p>
    <w:bookmarkStart w:id="52" w:name="page53"/>
    <w:bookmarkEnd w:id="52"/>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tcPr>
          <w:p>
            <w:pPr>
              <w:jc w:val="center"/>
              <w:ind w:left="514"/>
              <w:spacing w:after="0" w:line="149" w:lineRule="exact"/>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6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293"/>
              <w:spacing w:after="0" w:line="135" w:lineRule="exact"/>
              <w:rPr>
                <w:sz w:val="20"/>
                <w:szCs w:val="20"/>
                <w:color w:val="auto"/>
              </w:rPr>
            </w:pPr>
            <w:r>
              <w:rPr>
                <w:rFonts w:ascii="Arial" w:cs="Arial" w:eastAsia="Arial" w:hAnsi="Arial"/>
                <w:sz w:val="14"/>
                <w:szCs w:val="14"/>
                <w:b w:val="1"/>
                <w:bCs w:val="1"/>
                <w:color w:val="auto"/>
              </w:rPr>
              <w:t>Increase</w:t>
            </w:r>
          </w:p>
        </w:tc>
        <w:tc>
          <w:tcPr>
            <w:tcW w:w="1480" w:type="dxa"/>
            <w:vAlign w:val="bottom"/>
            <w:vMerge w:val="restart"/>
          </w:tcPr>
          <w:p>
            <w:pPr>
              <w:jc w:val="center"/>
              <w:ind w:left="3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6,100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4,481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9,240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8,928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312</w:t>
            </w:r>
          </w:p>
        </w:tc>
        <w:tc>
          <w:tcPr>
            <w:tcW w:w="14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148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3,883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3,652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3,954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3,849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31,495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28,419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3,076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expenses increased $3.1 billion, or 10.8%, in the first nine months of 2018 from the 2017 period. The increase in operating expenses was principally driven by an increase in fuel costs. See detailed explanations below relating to changes in total CASM.</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Total CASM</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table below presents the reconciliation of total operating expenses (GAAP measure) to total operating costs excluding special items and fuel (non-GAAP measure). Management uses total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23" w:right="239" w:bottom="1440" w:gutter="0" w:footer="0" w:header="0"/>
        </w:sectPr>
      </w:pPr>
    </w:p>
    <w:bookmarkStart w:id="53" w:name="page54"/>
    <w:bookmarkEnd w:id="53"/>
    <w:p>
      <w:pPr>
        <w:ind w:firstLine="216"/>
        <w:spacing w:after="0" w:line="262" w:lineRule="auto"/>
        <w:rPr>
          <w:sz w:val="20"/>
          <w:szCs w:val="20"/>
          <w:color w:val="auto"/>
        </w:rPr>
      </w:pPr>
      <w:r>
        <w:rPr>
          <w:rFonts w:ascii="Arial" w:cs="Arial" w:eastAsia="Arial" w:hAnsi="Arial"/>
          <w:sz w:val="18"/>
          <w:szCs w:val="18"/>
          <w:color w:val="auto"/>
        </w:rPr>
        <w:t>The major components of our total CASM and our total CASM excluding special items and fuel for the nine months ended September 30, 2018 and 2017 are as follows (amounts may not recalculate due to rounding):</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Salaries, wages and benefits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Maintenance, materials and repairs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rent and landing fees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expenses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Regional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mainline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regional</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CASM, excluding special items and fuel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components of total CASM are as follows: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68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180" w:type="dxa"/>
            <w:vAlign w:val="bottom"/>
            <w:gridSpan w:val="3"/>
          </w:tcPr>
          <w:p>
            <w:pPr>
              <w:jc w:val="center"/>
              <w:ind w:left="974"/>
              <w:spacing w:after="0" w:line="149"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80" w:type="dxa"/>
            <w:vAlign w:val="bottom"/>
            <w:vMerge w:val="restart"/>
          </w:tcPr>
          <w:p>
            <w:pPr>
              <w:jc w:val="center"/>
              <w:ind w:left="13"/>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6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4"/>
        </w:trPr>
        <w:tc>
          <w:tcPr>
            <w:tcW w:w="4900" w:type="dxa"/>
            <w:vAlign w:val="bottom"/>
            <w:gridSpan w:val="5"/>
          </w:tcPr>
          <w:p>
            <w:pPr>
              <w:jc w:val="right"/>
              <w:ind w:right="1053"/>
              <w:spacing w:after="0"/>
              <w:rPr>
                <w:sz w:val="20"/>
                <w:szCs w:val="20"/>
                <w:color w:val="auto"/>
              </w:rPr>
            </w:pPr>
            <w:r>
              <w:rPr>
                <w:rFonts w:ascii="Arial" w:cs="Arial" w:eastAsia="Arial" w:hAnsi="Arial"/>
                <w:sz w:val="14"/>
                <w:szCs w:val="14"/>
                <w:b w:val="1"/>
                <w:bCs w:val="1"/>
                <w:color w:val="auto"/>
              </w:rPr>
              <w:t>(In cents, except percentage changes)</w:t>
            </w:r>
          </w:p>
        </w:tc>
        <w:tc>
          <w:tcPr>
            <w:tcW w:w="0" w:type="dxa"/>
            <w:vAlign w:val="bottom"/>
          </w:tcPr>
          <w:p>
            <w:pPr>
              <w:spacing w:after="0"/>
              <w:rPr>
                <w:sz w:val="1"/>
                <w:szCs w:val="1"/>
                <w:color w:val="auto"/>
              </w:rPr>
            </w:pPr>
          </w:p>
        </w:tc>
      </w:tr>
      <w:tr>
        <w:trPr>
          <w:trHeight w:val="539"/>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4.27</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0.70</w:t>
            </w:r>
          </w:p>
        </w:tc>
        <w:tc>
          <w:tcPr>
            <w:tcW w:w="16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0.65</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0.43</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0.52</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0.60</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0.21</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54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0.48</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7"/>
        </w:trPr>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1.84</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13.59</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540"/>
        </w:trPr>
        <w:tc>
          <w:tcPr>
            <w:tcW w:w="150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(0.21)</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540"/>
        </w:trPr>
        <w:tc>
          <w:tcPr>
            <w:tcW w:w="150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57"/>
        </w:trPr>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10.76</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7" w:lineRule="exact"/>
        <w:rPr>
          <w:sz w:val="20"/>
          <w:szCs w:val="20"/>
          <w:color w:val="auto"/>
        </w:rPr>
      </w:pPr>
    </w:p>
    <w:p>
      <w:pPr>
        <w:sectPr>
          <w:pgSz w:w="11900" w:h="16838" w:orient="portrait"/>
          <w:cols w:equalWidth="0" w:num="2">
            <w:col w:w="5800" w:space="720"/>
            <w:col w:w="4900"/>
          </w:cols>
          <w:pgMar w:left="240" w:top="760" w:right="239" w:bottom="1440" w:gutter="0" w:footer="0" w:header="0"/>
          <w:type w:val="continuous"/>
        </w:sectPr>
      </w:pPr>
    </w:p>
    <w:p>
      <w:pPr>
        <w:ind w:left="540" w:right="20" w:hanging="316"/>
        <w:spacing w:after="0" w:line="262"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Aircraft fuel and related taxes per ASM increased 33.2% primarily due to a 33.5% increase in the average price per gallon of fuel to $2.20 in the first nine months of 2018 from $1.65 in the 2017 period as well as a 2.0% increase in gallons of fuel consumed.</w:t>
      </w:r>
    </w:p>
    <w:p>
      <w:pPr>
        <w:spacing w:after="0" w:line="142" w:lineRule="exact"/>
        <w:rPr>
          <w:rFonts w:ascii="Arial" w:cs="Arial" w:eastAsia="Arial" w:hAnsi="Arial"/>
          <w:sz w:val="18"/>
          <w:szCs w:val="18"/>
          <w:color w:val="auto"/>
        </w:rPr>
      </w:pPr>
    </w:p>
    <w:p>
      <w:pPr>
        <w:jc w:val="both"/>
        <w:ind w:left="540" w:right="20" w:hanging="316"/>
        <w:spacing w:after="0" w:line="256"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Depreciation and amortization per ASM increased 7.7% due in part to our fleet renewal program as subsequent to the third quarter of 2017, we took delivery of 15 owned mainline aircraft. Information technology and software development projects associated with our merger integration also contributed to the increase.</w:t>
      </w:r>
    </w:p>
    <w:p>
      <w:pPr>
        <w:spacing w:after="0" w:line="147" w:lineRule="exact"/>
        <w:rPr>
          <w:rFonts w:ascii="Arial" w:cs="Arial" w:eastAsia="Arial" w:hAnsi="Arial"/>
          <w:sz w:val="18"/>
          <w:szCs w:val="18"/>
          <w:color w:val="auto"/>
        </w:rPr>
      </w:pPr>
    </w:p>
    <w:p>
      <w:pPr>
        <w:ind w:left="540" w:hanging="316"/>
        <w:spacing w:after="0" w:line="262"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Regional aircraft fuel and related taxes per ASM increased 34.0% primarily due to a 32.0% increase in the average price per gallon of fuel to $2.28 in the first nine months of 2018 from $1.73 in the 2017 period as well as a 3.8% increase in gallons of fuel consumed.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60" w:right="239" w:bottom="1440" w:gutter="0" w:footer="0" w:header="0"/>
          <w:type w:val="continuous"/>
        </w:sectPr>
      </w:pPr>
    </w:p>
    <w:bookmarkStart w:id="54" w:name="page55"/>
    <w:bookmarkEnd w:id="54"/>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r>
      <w:tr>
        <w:trPr>
          <w:trHeight w:val="210"/>
        </w:trPr>
        <w:tc>
          <w:tcPr>
            <w:tcW w:w="21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80" w:type="dxa"/>
            <w:vAlign w:val="bottom"/>
            <w:gridSpan w:val="3"/>
          </w:tcPr>
          <w:p>
            <w:pPr>
              <w:jc w:val="right"/>
              <w:ind w:right="816"/>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8"/>
                <w:szCs w:val="18"/>
                <w:color w:val="auto"/>
              </w:rPr>
            </w:pPr>
          </w:p>
        </w:tc>
      </w:tr>
      <w:tr>
        <w:trPr>
          <w:trHeight w:val="276"/>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9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70"/>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(5)</w:t>
            </w:r>
          </w:p>
        </w:tc>
        <w:tc>
          <w:tcPr>
            <w:tcW w:w="1160" w:type="dxa"/>
            <w:vAlign w:val="bottom"/>
          </w:tcPr>
          <w:p>
            <w:pPr>
              <w:spacing w:after="0"/>
              <w:rPr>
                <w:sz w:val="23"/>
                <w:szCs w:val="23"/>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Labor contract expenses</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64"/>
        </w:trPr>
        <w:tc>
          <w:tcPr>
            <w:tcW w:w="77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57"/>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r>
      <w:tr>
        <w:trPr>
          <w:trHeight w:val="264"/>
        </w:trPr>
        <w:tc>
          <w:tcPr>
            <w:tcW w:w="77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7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special items, net</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r>
      <w:tr>
        <w:trPr>
          <w:trHeight w:val="20"/>
        </w:trPr>
        <w:tc>
          <w:tcPr>
            <w:tcW w:w="21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5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remaining lease payments for aircraft and related equipment grounded or expected to be grounded earlier than planned.</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our integration projects, principally our flight attendant, human resources and payroll, and technical operations integrations.</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Severance expenses primarily included costs associated with reductions in headcount of management and support staff team members.</w:t>
      </w:r>
    </w:p>
    <w:p>
      <w:pPr>
        <w:spacing w:after="0" w:line="161"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will ultimately be settled in shares of our common stock. Accordingly, fluctuations in our stock price result in mark-to-market adjustments to these obligations.</w:t>
      </w:r>
    </w:p>
    <w:p>
      <w:pPr>
        <w:spacing w:after="0" w:line="163"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our Brazil route authority as a result of ratification of the U.S.-Brazil open skies agreement.</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58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gridSpan w:val="3"/>
          </w:tcPr>
          <w:p>
            <w:pPr>
              <w:jc w:val="center"/>
              <w:ind w:right="339"/>
              <w:spacing w:after="0" w:line="149" w:lineRule="exact"/>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5"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0"/>
        </w:trPr>
        <w:tc>
          <w:tcPr>
            <w:tcW w:w="53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2018 period, other nonoperating income, net principally included $226 million of non-service related pension and other postretirement benefit plan income. This income was offset in part by an $ 82 million net special charge for mark-to-market unrealized losses associated with certain of our equity investments, $48 million of net foreign currency losses principally associated with losses from Latin American currencies and $13 million of net special charges associated with debt refinancings and extinguishments.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the 2017 period, other nonoperating income, net principally included $104 million of non-service related pension and other postretirement benefit plan income and $11 million of net foreign currency gains, offset in part by $12 million of net special charges associated with debt refinancings and extinguishments.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23" w:right="239" w:bottom="1440" w:gutter="0" w:footer="0" w:header="0"/>
        </w:sectPr>
      </w:pPr>
    </w:p>
    <w:bookmarkStart w:id="55" w:name="page56"/>
    <w:bookmarkEnd w:id="55"/>
    <w:p>
      <w:pPr>
        <w:jc w:val="both"/>
        <w:ind w:firstLine="216"/>
        <w:spacing w:after="0" w:line="262" w:lineRule="auto"/>
        <w:rPr>
          <w:sz w:val="20"/>
          <w:szCs w:val="20"/>
          <w:color w:val="auto"/>
        </w:rPr>
      </w:pPr>
      <w:r>
        <w:rPr>
          <w:rFonts w:ascii="Arial" w:cs="Arial" w:eastAsia="Arial" w:hAnsi="Arial"/>
          <w:sz w:val="18"/>
          <w:szCs w:val="18"/>
          <w:color w:val="auto"/>
        </w:rPr>
        <w:t>The increase in non-service related pension and other postretirement benefit plan income in the 2018 period as compared to the 2017 period is principally due to an increase in the expected return on pension plan assets.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first nine months of 2018, we recorded an income tax provision of $404 million, which was substantially non-cash due to utilization of our NOLs. This provision included a $22 million special income tax charge to establish a required valuation allowance related to our estimated refund for Alternative Minimum Tax (AMT) credits and an $18 million special income tax charge related to an international income tax matter. Substantially all of our income before income taxes is attributable to the United States.</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7 to AAG’s Condensed Consolidated Financial Statements in Part I, Item 1A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Compared to Three Months Ended September 30, 2017</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American realized pre-tax income of $536 million and net income of $403 million in the third quarter of 2018. This compares to the third quarter 2017 pre-tax income of $1.1 billion and net income of $686 million.</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quarter-over-quarter declines in American's pre-tax income were principally driven by an increase in fuel costs, which were offset in part by higher revenues driven by strong demand and higher fares.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6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6"/>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10,561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10,096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Cargo</w:t>
            </w:r>
          </w:p>
        </w:tc>
        <w:tc>
          <w:tcPr>
            <w:tcW w:w="340" w:type="dxa"/>
            <w:vAlign w:val="bottom"/>
          </w:tcPr>
          <w:p>
            <w:pPr>
              <w:spacing w:after="0"/>
              <w:rPr>
                <w:sz w:val="22"/>
                <w:szCs w:val="22"/>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15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50"/>
        </w:trPr>
        <w:tc>
          <w:tcPr>
            <w:tcW w:w="5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11,556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10,962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594</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-857250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-857250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-857250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Passenger revenue increased $465 million, or 4.6%, in the third quarter of 2018 from the 2017 period due to a quarter-over-quarter increase in RPMs and yields driven by continued strong demand. Domestic and international yields increased, led by an increase in yield in the Atlantic market.</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Cargo revenue increased $ 37 million, or 16.4%, in the third quarter of 2018 from the 2017 period primarily driven by increases in domestic and international freight yields and freight volume.</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Other revenue increased $92 million, or 14.5%, in the third quarter of 2018 from the 2017 period due to higher revenue associated with American's loyalty program. For the three months ended September 30, 2018 and 2017, loyalty revenue included in other revenue was $613 million and $527 million, respectively.</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revenues in the third quarter of 2018 increased $594 million, or 5.4%, from the 2017 period driven principally by a 4.6% increase in passenger revenue as described above.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60" w:right="239" w:bottom="1440" w:gutter="0" w:footer="0" w:header="0"/>
        </w:sectPr>
      </w:pPr>
    </w:p>
    <w:bookmarkStart w:id="56" w:name="page57"/>
    <w:bookmarkEnd w:id="56"/>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6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3"/>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664</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4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4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4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10,887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1,174</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-2400300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-2400300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-2400300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Total operating expenses increased $1.2 billion, or 12.1%, in the third quarter of 2018 from the 2017 period. The increase in operating expenses was principally driven by an increase in fuel costs.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the components of American's total operating expenses are as follows:</w:t>
      </w:r>
    </w:p>
    <w:p>
      <w:pPr>
        <w:spacing w:after="0" w:line="171" w:lineRule="exact"/>
        <w:rPr>
          <w:sz w:val="20"/>
          <w:szCs w:val="20"/>
          <w:color w:val="auto"/>
        </w:rPr>
      </w:pPr>
    </w:p>
    <w:p>
      <w:pPr>
        <w:ind w:left="580" w:hanging="329"/>
        <w:spacing w:after="0" w:line="262"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Aircraft fuel and related taxes increased 42.3% primarily due to a 37.8% increase in the average price per gallon of fuel to $2.28 in the third quarter of 2018 from $1.66 in the 2017 period as well as a 3.3% increase in gallons of fuel consumed.</w:t>
      </w:r>
    </w:p>
    <w:p>
      <w:pPr>
        <w:spacing w:after="0" w:line="142" w:lineRule="exact"/>
        <w:rPr>
          <w:rFonts w:ascii="Arial" w:cs="Arial" w:eastAsia="Arial" w:hAnsi="Arial"/>
          <w:sz w:val="18"/>
          <w:szCs w:val="18"/>
          <w:color w:val="auto"/>
        </w:rPr>
      </w:pPr>
    </w:p>
    <w:p>
      <w:pPr>
        <w:jc w:val="both"/>
        <w:ind w:left="580" w:hanging="329"/>
        <w:spacing w:after="0" w:line="256"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Maintenance, materials and repairs increased 7.9% driven by an increase in expenses under flight hour-based engine contracts (commonly referred to as "power by the hour") where expense is incurred and recognized based on hours. The increased expense was driven by an increase in flight hours due to a higher mix of aircraft operating under these agreements.</w:t>
      </w:r>
    </w:p>
    <w:p>
      <w:pPr>
        <w:spacing w:after="0" w:line="147" w:lineRule="exact"/>
        <w:rPr>
          <w:rFonts w:ascii="Arial" w:cs="Arial" w:eastAsia="Arial" w:hAnsi="Arial"/>
          <w:sz w:val="18"/>
          <w:szCs w:val="18"/>
          <w:color w:val="auto"/>
        </w:rPr>
      </w:pPr>
    </w:p>
    <w:p>
      <w:pPr>
        <w:jc w:val="both"/>
        <w:ind w:left="580" w:hanging="329"/>
        <w:spacing w:after="0" w:line="256"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Depreciation and amortization increased 9.3% due in part to American's fleet renewal program as subsequent to the third quarter of 2017, American took delivery of 15 owned mainline aircraft. Information technology and software development projects associated with American's merger integration also contributed to the increase.</w:t>
      </w:r>
    </w:p>
    <w:p>
      <w:pPr>
        <w:spacing w:after="0" w:line="147" w:lineRule="exact"/>
        <w:rPr>
          <w:rFonts w:ascii="Arial" w:cs="Arial" w:eastAsia="Arial" w:hAnsi="Arial"/>
          <w:sz w:val="18"/>
          <w:szCs w:val="18"/>
          <w:color w:val="auto"/>
        </w:rPr>
      </w:pPr>
    </w:p>
    <w:p>
      <w:pPr>
        <w:ind w:left="580" w:hanging="329"/>
        <w:spacing w:after="0" w:line="262"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Regional aircraft fuel and related taxes increased 44.0% primarily due to a 36.6% increase in the average price per gallon of fuel to $2.39 in the third quarter of 2018 from $1.75 in the 2017 period as well as a 5.4% increase in gallons of fuel consumed.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23" w:right="239" w:bottom="1440" w:gutter="0" w:footer="0" w:header="0"/>
        </w:sectPr>
      </w:pPr>
    </w:p>
    <w:bookmarkStart w:id="57" w:name="page58"/>
    <w:bookmarkEnd w:id="57"/>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31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7"/>
                <w:szCs w:val="17"/>
                <w:color w:val="auto"/>
              </w:rPr>
            </w:pPr>
          </w:p>
        </w:tc>
      </w:tr>
      <w:tr>
        <w:trPr>
          <w:trHeight w:val="264"/>
        </w:trPr>
        <w:tc>
          <w:tcPr>
            <w:tcW w:w="776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r>
      <w:tr>
        <w:trPr>
          <w:trHeight w:val="210"/>
        </w:trPr>
        <w:tc>
          <w:tcPr>
            <w:tcW w:w="7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0" w:type="dxa"/>
            <w:vAlign w:val="bottom"/>
            <w:gridSpan w:val="3"/>
          </w:tcPr>
          <w:p>
            <w:pPr>
              <w:jc w:val="right"/>
              <w:ind w:right="836"/>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8"/>
                <w:szCs w:val="18"/>
                <w:color w:val="auto"/>
              </w:rPr>
            </w:pP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1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760" w:type="dxa"/>
            <w:vAlign w:val="bottom"/>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7760" w:type="dxa"/>
            <w:vAlign w:val="bottom"/>
          </w:tcPr>
          <w:p>
            <w:pPr>
              <w:ind w:left="180"/>
              <w:spacing w:after="0"/>
              <w:rPr>
                <w:sz w:val="20"/>
                <w:szCs w:val="20"/>
                <w:color w:val="auto"/>
              </w:rPr>
            </w:pPr>
            <w:r>
              <w:rPr>
                <w:rFonts w:ascii="Arial" w:cs="Arial" w:eastAsia="Arial" w:hAnsi="Arial"/>
                <w:sz w:val="18"/>
                <w:szCs w:val="18"/>
                <w:color w:val="auto"/>
              </w:rPr>
              <w:t>Total operating special items, net</w:t>
            </w: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116"/>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r>
      <w:tr>
        <w:trPr>
          <w:trHeight w:val="20"/>
        </w:trPr>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-1543050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500" w:hanging="330"/>
        <w:spacing w:after="0" w:line="225" w:lineRule="auto"/>
        <w:tabs>
          <w:tab w:leader="none" w:pos="50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remaining lease payments for aircraft and related equipment grounded or expected to be grounded earlier than planned.</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American's integration projects, principally its flight attendant, human resources and payroll, and technical operations integrations.</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Severance expenses primarily included costs associated with reductions in headcount of management and support staff team members.</w:t>
      </w:r>
    </w:p>
    <w:p>
      <w:pPr>
        <w:spacing w:after="0" w:line="161"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will ultimately be settled in shares of AAG common stock. Accordingly, fluctuations in AAG's stock price result in mark-to-market adjustments to these obligations.</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58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gridSpan w:val="3"/>
          </w:tcPr>
          <w:p>
            <w:pPr>
              <w:jc w:val="center"/>
              <w:ind w:right="339"/>
              <w:spacing w:after="0" w:line="149" w:lineRule="exact"/>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5"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0"/>
        </w:trPr>
        <w:tc>
          <w:tcPr>
            <w:tcW w:w="53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w:t>
            </w:r>
          </w:p>
        </w:tc>
        <w:tc>
          <w:tcPr>
            <w:tcW w:w="14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-857250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-857250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-857250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income increased $29 million due to higher interest-bearing related party receivables from American's parent company, AAG.</w:t>
      </w:r>
    </w:p>
    <w:p>
      <w:pPr>
        <w:spacing w:after="0" w:line="17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2018 period, other nonoperating income, net principally included $76 million of non-service related pension and other postretirement benefit plan income. This income was offset in part by $24 million of net foreign currency losses principally associated with losses from Latin American currencies and a $15 million net special charge for mark-to-market unrealized losses associated with certain of American's equity investments.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the 2017 period, other nonoperating income, net principally included $35 million of non-service related pension and other postretirement benefit plan income and $15 million of net foreign currency gains, offset in part by $3 million of net special charges associated with debt refinancings and extinguishments.</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increase in non-service related pension and other postretirement benefit plan income in the 2018 period as compared to the 2017 period is principally due to an increase in the expected return on pension plan assets.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23" w:right="239" w:bottom="1440" w:gutter="0" w:footer="0" w:header="0"/>
        </w:sectPr>
      </w:pPr>
    </w:p>
    <w:bookmarkStart w:id="58" w:name="page59"/>
    <w:bookmarkEnd w:id="58"/>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pacing w:after="0" w:line="17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third quarter of 2018, American recorded an income tax provision of $133 million, which was substantially non-cash due to utilization of its NOLs. Substantially all of American’s income before income taxes is attributable to the United States. At December 31, 2017, American had approximately $10.6 billion of federal NOLs and $3.2 billion of state NOLs, substantially all of which are expected to be available in 2018 to reduce federal and state taxable income.</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Compared to Nine Months Ended September 30, 2017</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American realized pre-tax income of $1.7 billion and net income of $1.3 billion in the first nine months of 2018. This compares to the first nine months of 2017 pre-tax income of $3.1 billion and net income of $1.9 billion.</w:t>
      </w:r>
    </w:p>
    <w:p>
      <w:pPr>
        <w:spacing w:after="0" w:line="14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period-over-period declines in American's pre-tax income were principally driven by an increase in fuel costs, which were offset in part by higher revenues driven by strong demand and higher fares.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vMerge w:val="restart"/>
          </w:tcPr>
          <w:p>
            <w:pPr>
              <w:jc w:val="center"/>
              <w:ind w:left="3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tcPr>
          <w:p>
            <w:pPr>
              <w:jc w:val="center"/>
              <w:ind w:left="518"/>
              <w:spacing w:after="0" w:line="149" w:lineRule="exact"/>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6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296"/>
              <w:spacing w:after="0" w:line="135" w:lineRule="exact"/>
              <w:rPr>
                <w:sz w:val="20"/>
                <w:szCs w:val="20"/>
                <w:color w:val="auto"/>
              </w:rPr>
            </w:pPr>
            <w:r>
              <w:rPr>
                <w:rFonts w:ascii="Arial" w:cs="Arial" w:eastAsia="Arial" w:hAnsi="Arial"/>
                <w:sz w:val="14"/>
                <w:szCs w:val="14"/>
                <w:b w:val="1"/>
                <w:bCs w:val="1"/>
                <w:color w:val="auto"/>
              </w:rPr>
              <w:t>Increase</w:t>
            </w:r>
          </w:p>
        </w:tc>
        <w:tc>
          <w:tcPr>
            <w:tcW w:w="148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30,714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29,447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1,267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22"/>
                <w:szCs w:val="22"/>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115</w:t>
            </w:r>
          </w:p>
        </w:tc>
        <w:tc>
          <w:tcPr>
            <w:tcW w:w="148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1,923</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209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50"/>
        </w:trPr>
        <w:tc>
          <w:tcPr>
            <w:tcW w:w="560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33,594</w:t>
            </w:r>
          </w:p>
        </w:tc>
        <w:tc>
          <w:tcPr>
            <w:tcW w:w="100" w:type="dxa"/>
            <w:vAlign w:val="bottom"/>
          </w:tcPr>
          <w:p>
            <w:pPr>
              <w:spacing w:after="0"/>
              <w:rPr>
                <w:sz w:val="21"/>
                <w:szCs w:val="21"/>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32,003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1,591</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Passenger revenue increased $ 1.3 billion, or 4.3%, in the first nine months of 2018 from the 2017 period due to a period-over-period increase in RPMs and yields driven by continued strong demand. Domestic and international yields increased, led by an increase in yield in the Atlantic market.</w:t>
      </w:r>
    </w:p>
    <w:p>
      <w:pPr>
        <w:spacing w:after="0" w:line="148"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Cargo revenue increased $115 million, or 18.1%, in the first nine months of 2018 from the 2017 period primarily driven by increases in domestic and international freight yields and freight volume.</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Other revenue increased $209 million, or 10.9%, in the first nine months of 2018 from the 2017 period due to higher revenue associated with American's loyalty program. In the first nine months of 2018 and 2017, loyalty revenue included in other revenue was $1.8 billion and $1.6 billion, respectively.</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revenues in the first nine months of 2018 increased $1.6 billion, or 5.0%, from the 2017 period driven principally by a 4.3% increase in passenger revenue as described above.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23" w:right="239" w:bottom="1440" w:gutter="0" w:footer="0" w:header="0"/>
        </w:sectPr>
      </w:pPr>
    </w:p>
    <w:bookmarkStart w:id="59" w:name="page60"/>
    <w:bookmarkEnd w:id="59"/>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6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3"/>
              <w:spacing w:after="0" w:line="135"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4,481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1,619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9,231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8,920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311</w:t>
            </w: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4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15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4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5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4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158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3,861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31,440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28,423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3,017</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expenses increased $3.0 billion, or 10.6%, in the first nine months of 2018 from the 2017 period. The increase in operating expenses was principally driven by an increase in fuel costs.</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Significant changes in the components of American’s total operating expenses are as follows:</w:t>
      </w:r>
    </w:p>
    <w:p>
      <w:pPr>
        <w:spacing w:after="0" w:line="212" w:lineRule="exact"/>
        <w:rPr>
          <w:sz w:val="20"/>
          <w:szCs w:val="20"/>
          <w:color w:val="auto"/>
        </w:rPr>
      </w:pPr>
    </w:p>
    <w:p>
      <w:pPr>
        <w:ind w:left="460" w:hanging="330"/>
        <w:spacing w:after="0" w:line="262"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Aircraft fuel and related taxes increased 36.1% primarily due to a 33.5% increase in the average price per gallon of fuel to $2.20 in the first nine months of 2018 from $1.65 in the 2017 period as well as a 2.0% increase in gallons of fuel consumed.</w:t>
      </w:r>
    </w:p>
    <w:p>
      <w:pPr>
        <w:spacing w:after="0" w:line="142" w:lineRule="exact"/>
        <w:rPr>
          <w:rFonts w:ascii="Arial" w:cs="Arial" w:eastAsia="Arial" w:hAnsi="Arial"/>
          <w:sz w:val="18"/>
          <w:szCs w:val="18"/>
          <w:color w:val="auto"/>
        </w:rPr>
      </w:pPr>
    </w:p>
    <w:p>
      <w:pPr>
        <w:jc w:val="both"/>
        <w:ind w:left="460" w:hanging="330"/>
        <w:spacing w:after="0" w:line="256"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Depreciation and amortization increased 10.1% due in part to American's fleet renewal program as subsequent to the third quarter of 2017, American took delivery of 15 owned mainline aircraft. Information technology and software development projects associated with American's merger integration also contributed to the increase.</w:t>
      </w:r>
    </w:p>
    <w:p>
      <w:pPr>
        <w:spacing w:after="0" w:line="147" w:lineRule="exact"/>
        <w:rPr>
          <w:rFonts w:ascii="Arial" w:cs="Arial" w:eastAsia="Arial" w:hAnsi="Arial"/>
          <w:sz w:val="18"/>
          <w:szCs w:val="18"/>
          <w:color w:val="auto"/>
        </w:rPr>
      </w:pPr>
    </w:p>
    <w:p>
      <w:pPr>
        <w:ind w:left="460" w:hanging="330"/>
        <w:spacing w:after="0" w:line="262"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Regional aircraft fuel and related taxes increased 37.0% primarily due to a 32.0% increase in the average price per gallon of fuel to $2.28 in the first nine months of 2018 from $1.73 in the 2017 period as well as a 3.8% increase in gallons of fuel consumed.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23" w:right="239" w:bottom="1440" w:gutter="0" w:footer="0" w:header="0"/>
        </w:sectPr>
      </w:pPr>
    </w:p>
    <w:bookmarkStart w:id="60" w:name="page61"/>
    <w:bookmarkEnd w:id="60"/>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7"/>
                <w:szCs w:val="17"/>
                <w:color w:val="auto"/>
              </w:rPr>
            </w:pPr>
          </w:p>
        </w:tc>
      </w:tr>
      <w:tr>
        <w:trPr>
          <w:trHeight w:val="264"/>
        </w:trPr>
        <w:tc>
          <w:tcPr>
            <w:tcW w:w="776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r>
      <w:tr>
        <w:trPr>
          <w:trHeight w:val="210"/>
        </w:trPr>
        <w:tc>
          <w:tcPr>
            <w:tcW w:w="7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80" w:type="dxa"/>
            <w:vAlign w:val="bottom"/>
            <w:gridSpan w:val="3"/>
          </w:tcPr>
          <w:p>
            <w:pPr>
              <w:jc w:val="right"/>
              <w:ind w:right="816"/>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8"/>
                <w:szCs w:val="18"/>
                <w:color w:val="auto"/>
              </w:rPr>
            </w:pP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9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(5)</w:t>
            </w:r>
          </w:p>
        </w:tc>
        <w:tc>
          <w:tcPr>
            <w:tcW w:w="1160" w:type="dxa"/>
            <w:vAlign w:val="bottom"/>
          </w:tcPr>
          <w:p>
            <w:pPr>
              <w:spacing w:after="0"/>
              <w:rPr>
                <w:sz w:val="23"/>
                <w:szCs w:val="23"/>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Labor contract expenses</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57"/>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r>
      <w:tr>
        <w:trPr>
          <w:trHeight w:val="264"/>
        </w:trPr>
        <w:tc>
          <w:tcPr>
            <w:tcW w:w="7760" w:type="dxa"/>
            <w:vAlign w:val="bottom"/>
          </w:tcPr>
          <w:p>
            <w:pPr>
              <w:ind w:left="4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7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special items, net</w:t>
            </w:r>
          </w:p>
        </w:tc>
        <w:tc>
          <w:tcPr>
            <w:tcW w:w="1160" w:type="dxa"/>
            <w:vAlign w:val="bottom"/>
            <w:tcBorders>
              <w:top w:val="single" w:sz="8" w:color="auto"/>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0"/>
        </w:trPr>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ind w:left="500" w:hanging="330"/>
        <w:spacing w:after="0" w:line="225" w:lineRule="auto"/>
        <w:tabs>
          <w:tab w:leader="none" w:pos="50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remaining lease payments for aircraft and related equipment grounded or expected to be grounded earlier than planned.</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American's integration projects, principally its flight attendant, human resources and payroll, and technical operations integrations.</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Severance expenses primarily included costs associated with reductions in headcount of management and support staff team members.</w:t>
      </w:r>
    </w:p>
    <w:p>
      <w:pPr>
        <w:spacing w:after="0" w:line="161"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will ultimately be settled in shares of AAG common stock. Accordingly, fluctuations in AAG's stock price result in mark-to-market adjustments to these obligations.</w:t>
      </w:r>
    </w:p>
    <w:p>
      <w:pPr>
        <w:spacing w:after="0" w:line="163"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American's Brazil route authority as a result of ratification of the U.S.-Brazil open skies agreement.</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58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gridSpan w:val="3"/>
          </w:tcPr>
          <w:p>
            <w:pPr>
              <w:jc w:val="center"/>
              <w:ind w:right="339"/>
              <w:spacing w:after="0" w:line="149" w:lineRule="exact"/>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5"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82</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0"/>
        </w:trPr>
        <w:tc>
          <w:tcPr>
            <w:tcW w:w="53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39</w:t>
            </w:r>
          </w:p>
        </w:tc>
        <w:tc>
          <w:tcPr>
            <w:tcW w:w="14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income increased $82 million due to higher interest-bearing related party receivables from American's parent company, AAG.</w:t>
      </w:r>
    </w:p>
    <w:p>
      <w:pPr>
        <w:spacing w:after="0" w:line="17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2018 period, other nonoperating income, net principally included $227 million of non-service related pension and other postretirement benefit plan income. This income was offset in part by an $82 million net special charge for mark-to-market unrealized losses associated with certain of American's equity investments, $47 million of net foreign currency losses principally associated with losses from Latin American currencies and $13 million of net special charges associated with debt refinancings and extinguishments.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the 2017 period, other nonoperating income, net principally included $104 million of non-service related pension and other postretirement benefit plan income and $11 million of net foreign currency gains, offset in part by $12 million of net special charges associated with debt refinancings and extinguishments.</w:t>
      </w:r>
    </w:p>
    <w:p>
      <w:pPr>
        <w:sectPr>
          <w:pgSz w:w="11900" w:h="16838" w:orient="portrait"/>
          <w:cols w:equalWidth="0" w:num="1">
            <w:col w:w="11420"/>
          </w:cols>
          <w:pgMar w:left="240" w:top="823"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823" w:right="239" w:bottom="1440" w:gutter="0" w:footer="0" w:header="0"/>
          <w:type w:val="continuous"/>
        </w:sectPr>
      </w:pPr>
    </w:p>
    <w:bookmarkStart w:id="61" w:name="page62"/>
    <w:bookmarkEnd w:id="61"/>
    <w:p>
      <w:pPr>
        <w:jc w:val="both"/>
        <w:ind w:firstLine="216"/>
        <w:spacing w:after="0" w:line="262" w:lineRule="auto"/>
        <w:rPr>
          <w:sz w:val="20"/>
          <w:szCs w:val="20"/>
          <w:color w:val="auto"/>
        </w:rPr>
      </w:pPr>
      <w:r>
        <w:rPr>
          <w:rFonts w:ascii="Arial" w:cs="Arial" w:eastAsia="Arial" w:hAnsi="Arial"/>
          <w:sz w:val="18"/>
          <w:szCs w:val="18"/>
          <w:color w:val="auto"/>
        </w:rPr>
        <w:t>The increase in non-service related pension and other postretirement benefit plan income in the 2018 period as compared to the 2017 period is principally due to an increase in the expected return on pension plan assets.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pacing w:after="0" w:line="17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first nine months of 2018, American recorded an income tax provision of $467 million, which was substantially non-cash due to utilization of its NOLs. This provision included a $30 million special income tax charge to establish a required valuation allowance related to American's estimated refund for AMT credits and an $18 million special income tax charge related to an international income tax matter. Substantially all of American’s income before income taxes is attributable to the United States.</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September 30, 2018, AAG had approximately $7.4 billion in total available liquidity and $154 million in restricted cash and short-term investments. Additional detail of our available liquidity is provided in the table below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AAG</w:t>
            </w:r>
          </w:p>
        </w:tc>
        <w:tc>
          <w:tcPr>
            <w:tcW w:w="1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b w:val="1"/>
                <w:bCs w:val="1"/>
                <w:color w:val="auto"/>
              </w:rPr>
              <w:t>American</w:t>
            </w:r>
          </w:p>
        </w:tc>
      </w:tr>
      <w:tr>
        <w:trPr>
          <w:trHeight w:val="264"/>
        </w:trPr>
        <w:tc>
          <w:tcPr>
            <w:tcW w:w="4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287</w:t>
            </w:r>
          </w:p>
        </w:tc>
      </w:tr>
      <w:tr>
        <w:trPr>
          <w:trHeight w:val="263"/>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4,768</w:t>
            </w:r>
          </w:p>
        </w:tc>
      </w:tr>
      <w:tr>
        <w:trPr>
          <w:trHeight w:val="27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Undrawn revolving credit facilities</w:t>
            </w:r>
          </w:p>
        </w:tc>
        <w:tc>
          <w:tcPr>
            <w:tcW w:w="1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r>
      <w:tr>
        <w:trPr>
          <w:trHeight w:val="244"/>
        </w:trPr>
        <w:tc>
          <w:tcPr>
            <w:tcW w:w="4240" w:type="dxa"/>
            <w:vAlign w:val="bottom"/>
          </w:tcPr>
          <w:p>
            <w:pPr>
              <w:ind w:left="200"/>
              <w:spacing w:after="0"/>
              <w:rPr>
                <w:sz w:val="20"/>
                <w:szCs w:val="20"/>
                <w:color w:val="auto"/>
              </w:rPr>
            </w:pPr>
            <w:r>
              <w:rPr>
                <w:rFonts w:ascii="Arial" w:cs="Arial" w:eastAsia="Arial" w:hAnsi="Arial"/>
                <w:sz w:val="18"/>
                <w:szCs w:val="18"/>
                <w:color w:val="auto"/>
              </w:rPr>
              <w:t>Total available liquidity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7,355</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7,566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7,555</w:t>
            </w:r>
          </w:p>
        </w:tc>
      </w:tr>
      <w:tr>
        <w:trPr>
          <w:trHeight w:val="20"/>
        </w:trPr>
        <w:tc>
          <w:tcPr>
            <w:tcW w:w="4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April 2018, we announced that our Board of Directors authorized a new $2.0 billion share repurchase program that expires on December 31, 2020. Since July 2014, our Board of Directors has approved seven share repurchase programs aggregating $13.0 billion of authority. As of September 30, 2018, there was $1.7 billion remaining authority to repurchase shares under our new $ 2.0 billion share repurchase program. Share repurchases under our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We are not obligated to repurchase any specific number of shares and our repurchase of common stock may be limited, suspended or discontinued at any time at our discretion.</w:t>
      </w:r>
    </w:p>
    <w:p>
      <w:pPr>
        <w:spacing w:after="0" w:line="1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During the nine months ended September 30, 2018, we repurchased 16.6 million shares of AAG common stock for $800 million at a weighted average cost per share of $48.15. Since the inception of our share repurchase programs in July 2014, we have repurchased 278.9 million shares of AAG common stock for $11.3 billion at a weighted average cost per share of $40.69.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Board of Directors declared a cash dividend of $0.10 per share for stockholders of record as of August 7, 2018 and paid on August 21, 2018, totaling $46 million. For the first nine months of 2018, we paid total quarterly cash dividends of $140 million.</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October 2018, we announced that our Board of Directors declared a $0.10 per share dividend for stockholders of record as of November 6, 2018, and payable on November 20, 2018.</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at any time at our discretion.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6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Collateral-Related Covenants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Certain of our debt financing agreements contain loan to value ratio covenants and require us to appraise the related collateral annually. Pursuant to such agreements, if the loan to value ratio exceeds a specified threshold, we are required, as applicable, to pledge additional qualifying collateral (which in some cases may include cash collateral), or pay down such financing, in whole or in part. As of September 30, 2018, we were in compliance with the collateral coverage tests for the 2013 Credit Facilities, the 2014 Credit Facilities, the April 2016 Credit Facilities and the December 2016 Credit Facilities as of the most recent measurement dates.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details AAG and American’s credit ratings as of September 30, 2018:</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Borders>
              <w:bottom w:val="single" w:sz="8" w:color="CCEEFF"/>
            </w:tcBorders>
          </w:tcPr>
          <w:p>
            <w:pPr>
              <w:spacing w:after="0"/>
              <w:rPr>
                <w:sz w:val="17"/>
                <w:szCs w:val="17"/>
                <w:color w:val="auto"/>
              </w:rPr>
            </w:pPr>
          </w:p>
        </w:tc>
        <w:tc>
          <w:tcPr>
            <w:tcW w:w="748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Current Rating</w:t>
            </w:r>
          </w:p>
        </w:tc>
      </w:tr>
      <w:tr>
        <w:trPr>
          <w:trHeight w:val="256"/>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S&amp;P Local Issuer Credit Rating</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BB-</w:t>
            </w:r>
          </w:p>
        </w:tc>
      </w:tr>
      <w:tr>
        <w:trPr>
          <w:trHeight w:val="250"/>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Fitch Issuer Default Credit Rating</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BB-</w:t>
            </w:r>
          </w:p>
        </w:tc>
      </w:tr>
      <w:tr>
        <w:trPr>
          <w:trHeight w:val="263"/>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Moody’s Corporate Family Rating </w:t>
            </w:r>
            <w:r>
              <w:rPr>
                <w:rFonts w:ascii="Arial" w:cs="Arial" w:eastAsia="Arial" w:hAnsi="Arial"/>
                <w:sz w:val="21"/>
                <w:szCs w:val="21"/>
                <w:color w:val="auto"/>
                <w:vertAlign w:val="superscript"/>
              </w:rPr>
              <w:t>(1)</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Ba3</w:t>
            </w:r>
          </w:p>
        </w:tc>
      </w:tr>
      <w:tr>
        <w:trPr>
          <w:trHeight w:val="257"/>
        </w:trPr>
        <w:tc>
          <w:tcPr>
            <w:tcW w:w="2120" w:type="dxa"/>
            <w:vAlign w:val="bottom"/>
            <w:tcBorders>
              <w:bottom w:val="single" w:sz="8" w:color="auto"/>
            </w:tcBorders>
          </w:tcPr>
          <w:p>
            <w:pPr>
              <w:spacing w:after="0"/>
              <w:rPr>
                <w:sz w:val="22"/>
                <w:szCs w:val="22"/>
                <w:color w:val="auto"/>
              </w:rPr>
            </w:pPr>
          </w:p>
        </w:tc>
        <w:tc>
          <w:tcPr>
            <w:tcW w:w="7480" w:type="dxa"/>
            <w:vAlign w:val="bottom"/>
          </w:tcPr>
          <w:p>
            <w:pPr>
              <w:spacing w:after="0"/>
              <w:rPr>
                <w:sz w:val="22"/>
                <w:szCs w:val="22"/>
                <w:color w:val="auto"/>
              </w:rPr>
            </w:pPr>
          </w:p>
        </w:tc>
        <w:tc>
          <w:tcPr>
            <w:tcW w:w="1820" w:type="dxa"/>
            <w:vAlign w:val="bottom"/>
          </w:tcPr>
          <w:p>
            <w:pPr>
              <w:spacing w:after="0"/>
              <w:rPr>
                <w:sz w:val="22"/>
                <w:szCs w:val="22"/>
                <w:color w:val="auto"/>
              </w:rPr>
            </w:pPr>
          </w:p>
        </w:tc>
      </w:tr>
    </w:tbl>
    <w:p>
      <w:pPr>
        <w:spacing w:after="0" w:line="260" w:lineRule="exact"/>
        <w:rPr>
          <w:sz w:val="20"/>
          <w:szCs w:val="20"/>
          <w:color w:val="auto"/>
        </w:rPr>
      </w:pPr>
    </w:p>
    <w:p>
      <w:pPr>
        <w:ind w:left="500" w:hanging="330"/>
        <w:spacing w:after="0"/>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This rating is for AAG only. The credit agency does not rate this category for American.</w:t>
      </w:r>
    </w:p>
    <w:p>
      <w:pPr>
        <w:spacing w:after="0" w:line="16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 decrease in our credit ratings could cause our borrowing costs to increase, which would increase our interest expense and could affect our net income, and our credit ratings could adversely affect our ability to obtain additional financing. If our financial performance or industry conditions worsen, we may face future downgrades, which could negatively impact our borrowing costs and the prices of our equity or debt securities. In addition, any downgrade of our credit ratings may indicate a decline in our business and in our ability to satisfy our obligations under our indebtedness.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net cash provided by operating activities was $2.8 billion and $4.3 billion for the first nine months of 2018 and 2017, respectively, a period-over-period decrease of $1.5 billion. This decrease in operating cash flows from the 2017 to the 2018 period was primarily due to lower profitability in the first nine months of 2018 driven by an increase in fuel costs, which were offset in part by higher revenues driven by strong demand and higher fares.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investing activities was $1.6 billion and $3.1 billion for the first nine months of 2018 and 2017, respectively.</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principal investing activities in the 2018 period included expenditures of $2.7 billion for property and equipment, including 11 Boeing 737-8 MAX aircraft and five Boeing 787 Family aircraft. These cash outflows were offset in part by $860 million of net proceeds primarily from aircraft sale-leaseback transactions and $226 million in net sales of short-term investments.</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principal investing activities in the 2017 period included expenditures of $4.6 billion for property and equipment, including 20 Airbus A321 aircraft, 15 Boeing 737-800 aircraft, 12 Embraer 175 aircraft, 10 Boeing 787 Family aircraft, and one Boeing 737-8 MAX aircraft. We also completed a $203 million equity investment in China Southern Airlines Company Limited (China Southern Airlines). These cash outflows were offset in part by $831 million of net proceeds primarily from aircraft sale-leaseback transactions and $621 million in net sales of short-term investments.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19" w:right="239" w:bottom="1440" w:gutter="0" w:footer="0" w:header="0"/>
        </w:sectPr>
      </w:pPr>
    </w:p>
    <w:bookmarkStart w:id="63" w:name="page64"/>
    <w:bookmarkEnd w:id="63"/>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financing activities was $1.3 billion and $1.2 billion for the first nine months of 2018 and 2017, respectively.</w:t>
      </w:r>
    </w:p>
    <w:p>
      <w:pPr>
        <w:spacing w:after="0" w:line="17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principal financing activities in the 2018 period included $2.4 billion in debt repayments, consisting of $2.0 billion in scheduled debt repayments, including the repayment of our $500 million 6.125% senior notes, and the prepayment of $454 million of secured loans. We also had $837 million in share repurchases and $140 million in dividend payments. These cash outflows were offset in part by net proceeds of $2.1 billion from the issuance of debt, primarily $1.6 billion in connection with the issuance of equipment notes related to EETCs and the financing of certain aircraft and pre-delivery purchase deposits as well as $500 million of incremental term loans under our 2014 Credit Facilities.</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principal financing activities in the 2017 period included $1.8 billion in scheduled debt repayments, $1.4 billion in share repurchases and $150 million in dividend payments. These cash outflows were offset in part by net proceeds of $2.2 billion from the issuance of debt, primarily the issuance of $1.3 billion of EETCs and $815 million borrowed in connection with the financing of certain aircraft.</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American’s net cash provided by operating activities was $ 1.3 billion and $2.7 billion for the first nine months of 2018 and 2017, respectively, a period-over-period decrease of $1.5 billion. This decrease in operating cash flows from the 2017 to the 2018 period was primarily due to lower profitability in the first nine months of 2018 driven by an increase in fuel costs, which were offset in part by higher revenues driven by strong demand and higher fares.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used in investing activities was $1.5 billion and $3.0 billion for the first nine months of 2018 and 2017, respectively.</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principal investing activities in the 2018 period included expenditures of $2.7 billion for property and equipment, including 11 Boeing 737-8 MAX aircraft and five Boeing 787 Family aircraft. These cash outflows were offset in part by $855 million of net proceeds primarily from aircraft sale-leaseback transactions and $234 million in net sales of short-term investments.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American’s principal investing activities in the 2017 period included expenditures of $ 4.5 billion for property and equipment, including 20 Airbus A321 aircraft, 15 Boeing 737-800 aircraft, 12 Embraer 175 aircraft, 10 Boeing 787 Family aircraft, and one Boeing 737-8 MAX aircraft. American also completed a $203 million equity investment in China Southern Airlines. These cash outflows were offset in part by $816 million of net proceeds primarily from aircraft sale-leaseback transactions and $621 million in net sales of short-term investments.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American’s net cash provided by financing activities was $174 million and $302 million for the first nine months of 2018 and 2017, respectively.</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American’s principal financing activities in the 2018 period included $1.9 billion in debt repayments, consisting of $ 1.5 million in scheduled debt repayments and the prepayment of $ 454 million of secured loans. These cash outflows were offset in part by net proceeds of $2.1 billion from the issuance of debt, primarily $1.6 billion in connection with the issuance of equipment notes related to EETCs and the financing of certain aircraft and pre-delivery purchase deposits as well as $500 million of incremental term loans under the 2014 Credit Facilities.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principal financing activities in the 2017 period included net proceeds of $2.2 billion from the issuance of debt, primarily the issuance of $1.3 billion of EETCs and $815 million borrowed in connection with the financing of certain aircraft. These cash inflows were offset in part by $1.8 billion in scheduled debt repayments.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23"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September 30, 2018, AAG and American had $25.0 billion and $23.7 billion, respectively, including current maturities of $2.5 billion, in long-term debt and capital leases. During the nine months ended September 30, 2018, there have been no material changes in our significant indebtedness as discussed in our 2017 Form 10-K, except as discussed in Note 6 to AAG’s Condensed Consolidated Financial Statements in Part I, Item 1A and Note 4 to American’s Condensed Consolidated Financial Statements in Part I, Item 1B.</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As of September 30, 2018, we had definitive purchase agreements with Airbus, Boeing, Embraer and Bombardier for the acquisition of the following mainline and regional aircraft: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Remainder</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2023 and</w:t>
            </w:r>
          </w:p>
        </w:tc>
        <w:tc>
          <w:tcPr>
            <w:tcW w:w="102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2018</w:t>
            </w:r>
          </w:p>
        </w:tc>
        <w:tc>
          <w:tcPr>
            <w:tcW w:w="1040" w:type="dxa"/>
            <w:vAlign w:val="bottom"/>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020" w:type="dxa"/>
            <w:vAlign w:val="bottom"/>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02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189"/>
        </w:trPr>
        <w:tc>
          <w:tcPr>
            <w:tcW w:w="3200" w:type="dxa"/>
            <w:vAlign w:val="bottom"/>
            <w:tcBorders>
              <w:top w:val="single" w:sz="8" w:color="CCEEFF"/>
            </w:tcBorders>
            <w:gridSpan w:val="7"/>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 xml:space="preserve">Airbus </w:t>
            </w:r>
            <w:r>
              <w:rPr>
                <w:rFonts w:ascii="Arial" w:cs="Arial" w:eastAsia="Arial" w:hAnsi="Arial"/>
                <w:sz w:val="21"/>
                <w:szCs w:val="21"/>
                <w:color w:val="auto"/>
                <w:vertAlign w:val="superscript"/>
              </w:rPr>
              <w:t>(1)</w:t>
            </w:r>
          </w:p>
        </w:tc>
        <w:tc>
          <w:tcPr>
            <w:tcW w:w="1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63"/>
        </w:trPr>
        <w:tc>
          <w:tcPr>
            <w:tcW w:w="3200" w:type="dxa"/>
            <w:vAlign w:val="bottom"/>
            <w:gridSpan w:val="7"/>
          </w:tcPr>
          <w:p>
            <w:pPr>
              <w:ind w:left="40"/>
              <w:spacing w:after="0"/>
              <w:rPr>
                <w:sz w:val="20"/>
                <w:szCs w:val="20"/>
                <w:color w:val="auto"/>
              </w:rPr>
            </w:pPr>
            <w:r>
              <w:rPr>
                <w:rFonts w:ascii="Arial" w:cs="Arial" w:eastAsia="Arial" w:hAnsi="Arial"/>
                <w:sz w:val="18"/>
                <w:szCs w:val="18"/>
                <w:color w:val="auto"/>
              </w:rPr>
              <w:t>A320neo Family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100</w:t>
            </w:r>
          </w:p>
        </w:tc>
      </w:tr>
      <w:tr>
        <w:trPr>
          <w:trHeight w:val="209"/>
        </w:trPr>
        <w:tc>
          <w:tcPr>
            <w:tcW w:w="3200" w:type="dxa"/>
            <w:vAlign w:val="bottom"/>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Boeing</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63"/>
        </w:trPr>
        <w:tc>
          <w:tcPr>
            <w:tcW w:w="3200" w:type="dxa"/>
            <w:vAlign w:val="bottom"/>
            <w:gridSpan w:val="7"/>
          </w:tcPr>
          <w:p>
            <w:pPr>
              <w:ind w:left="40"/>
              <w:spacing w:after="0"/>
              <w:rPr>
                <w:sz w:val="20"/>
                <w:szCs w:val="20"/>
                <w:color w:val="auto"/>
              </w:rPr>
            </w:pPr>
            <w:r>
              <w:rPr>
                <w:rFonts w:ascii="Arial" w:cs="Arial" w:eastAsia="Arial" w:hAnsi="Arial"/>
                <w:sz w:val="18"/>
                <w:szCs w:val="18"/>
                <w:color w:val="auto"/>
              </w:rPr>
              <w:t>737 MAX Family</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85</w:t>
            </w:r>
          </w:p>
        </w:tc>
      </w:tr>
      <w:tr>
        <w:trPr>
          <w:trHeight w:val="277"/>
        </w:trPr>
        <w:tc>
          <w:tcPr>
            <w:tcW w:w="32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787 Family</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03"/>
        </w:trPr>
        <w:tc>
          <w:tcPr>
            <w:tcW w:w="3200" w:type="dxa"/>
            <w:vAlign w:val="bottom"/>
            <w:gridSpan w:val="7"/>
          </w:tcPr>
          <w:p>
            <w:pPr>
              <w:ind w:left="40"/>
              <w:spacing w:after="0" w:line="203" w:lineRule="exact"/>
              <w:rPr>
                <w:sz w:val="20"/>
                <w:szCs w:val="20"/>
                <w:color w:val="auto"/>
              </w:rPr>
            </w:pPr>
            <w:r>
              <w:rPr>
                <w:rFonts w:ascii="Arial" w:cs="Arial" w:eastAsia="Arial" w:hAnsi="Arial"/>
                <w:sz w:val="18"/>
                <w:szCs w:val="18"/>
                <w:b w:val="1"/>
                <w:bCs w:val="1"/>
                <w:color w:val="auto"/>
              </w:rPr>
              <w:t xml:space="preserve">Embraer </w:t>
            </w:r>
            <w:r>
              <w:rPr>
                <w:rFonts w:ascii="Arial" w:cs="Arial" w:eastAsia="Arial" w:hAnsi="Arial"/>
                <w:sz w:val="21"/>
                <w:szCs w:val="21"/>
                <w:color w:val="auto"/>
                <w:vertAlign w:val="superscript"/>
              </w:rPr>
              <w:t>(2)</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32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E175</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r>
      <w:tr>
        <w:trPr>
          <w:trHeight w:val="203"/>
        </w:trPr>
        <w:tc>
          <w:tcPr>
            <w:tcW w:w="3200" w:type="dxa"/>
            <w:vAlign w:val="bottom"/>
            <w:gridSpan w:val="7"/>
          </w:tcPr>
          <w:p>
            <w:pPr>
              <w:ind w:left="40"/>
              <w:spacing w:after="0" w:line="203" w:lineRule="exact"/>
              <w:rPr>
                <w:sz w:val="20"/>
                <w:szCs w:val="20"/>
                <w:color w:val="auto"/>
              </w:rPr>
            </w:pPr>
            <w:r>
              <w:rPr>
                <w:rFonts w:ascii="Arial" w:cs="Arial" w:eastAsia="Arial" w:hAnsi="Arial"/>
                <w:sz w:val="18"/>
                <w:szCs w:val="18"/>
                <w:b w:val="1"/>
                <w:bCs w:val="1"/>
                <w:color w:val="auto"/>
              </w:rPr>
              <w:t xml:space="preserve">Bombardier </w:t>
            </w:r>
            <w:r>
              <w:rPr>
                <w:rFonts w:ascii="Arial" w:cs="Arial" w:eastAsia="Arial" w:hAnsi="Arial"/>
                <w:sz w:val="21"/>
                <w:szCs w:val="21"/>
                <w:color w:val="auto"/>
                <w:vertAlign w:val="superscript"/>
              </w:rPr>
              <w:t>(2)</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32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CRJ900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37"/>
        </w:trPr>
        <w:tc>
          <w:tcPr>
            <w:tcW w:w="40" w:type="dxa"/>
            <w:vAlign w:val="bottom"/>
          </w:tcPr>
          <w:p>
            <w:pPr>
              <w:spacing w:after="0"/>
              <w:rPr>
                <w:sz w:val="20"/>
                <w:szCs w:val="20"/>
                <w:color w:val="auto"/>
              </w:rPr>
            </w:pPr>
          </w:p>
        </w:tc>
        <w:tc>
          <w:tcPr>
            <w:tcW w:w="3160" w:type="dxa"/>
            <w:vAlign w:val="bottom"/>
            <w:gridSpan w:val="6"/>
          </w:tcPr>
          <w:p>
            <w:pPr>
              <w:ind w:left="14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275</w:t>
            </w:r>
          </w:p>
        </w:tc>
      </w:tr>
      <w:tr>
        <w:trPr>
          <w:trHeight w:val="270"/>
        </w:trPr>
        <w:tc>
          <w:tcPr>
            <w:tcW w:w="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bl>
    <w:p>
      <w:pPr>
        <w:spacing w:after="0" w:line="377" w:lineRule="exact"/>
        <w:rPr>
          <w:sz w:val="20"/>
          <w:szCs w:val="20"/>
          <w:color w:val="auto"/>
        </w:rPr>
      </w:pPr>
    </w:p>
    <w:p>
      <w:pPr>
        <w:jc w:val="both"/>
        <w:ind w:left="500" w:hanging="330"/>
        <w:spacing w:after="0" w:line="233" w:lineRule="auto"/>
        <w:tabs>
          <w:tab w:leader="none" w:pos="50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In July 2018, American and Airbus entered into an agreement to defer the delivery of 22 Airbus A321neo aircraft currently scheduled for delivery in 2019, 2020 and 2021. These aircraft are now scheduled to be delivered in 2024. The table above reflects this revised delivery schedule. In addition, the future payments in the Contractual Obligations table below reflect this transaction.</w:t>
      </w:r>
    </w:p>
    <w:p>
      <w:pPr>
        <w:spacing w:after="0" w:line="162"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These aircraft may be operated by wholly-owned regional subsidiaries which would operate the aircraft under capacity purchase arrangements.</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also have agreements for 41 spare engines to be delivered in 2018 and beyond.</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We have financing commitments for all of the aircraft currently on order and scheduled to be delivered through December 2018. We do not have financing commitments for the following aircraft currently on order and scheduled to be delivered through the end of 2019: 10 Embraer E175 aircraft, nine Boeing 737 MAX Family aircraft, nine Airbus A320neo Family aircraft and two Boeing 787 Family aircraft. In addition, with the exception of 22 787 Family aircraft and one Bombardier CRJ-900 aircraft, we do not have financing commitments in place for the remaining aircraft currently on order and scheduled to be delivered in 2020 and beyond. See Part II, Item 1A. Risk Factors – </w:t>
      </w:r>
      <w:r>
        <w:rPr>
          <w:rFonts w:ascii="Arial" w:cs="Arial" w:eastAsia="Arial" w:hAnsi="Arial"/>
          <w:sz w:val="18"/>
          <w:szCs w:val="18"/>
          <w:i w:val="1"/>
          <w:iCs w:val="1"/>
          <w:color w:val="auto"/>
        </w:rPr>
        <w:t>“We will need to obtain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sufficient financing or other capital to operate successfully” </w:t>
      </w:r>
      <w:r>
        <w:rPr>
          <w:rFonts w:ascii="Arial" w:cs="Arial" w:eastAsia="Arial" w:hAnsi="Arial"/>
          <w:sz w:val="18"/>
          <w:szCs w:val="18"/>
          <w:color w:val="auto"/>
        </w:rPr>
        <w:t>for additional discussion.</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2017 Form 10-K.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81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our future cash contractual obligations as of September 30, 2018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75"/>
        </w:trPr>
        <w:tc>
          <w:tcPr>
            <w:tcW w:w="2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Remainder</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2023 and</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2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of 2018</w:t>
            </w: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21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r>
      <w:tr>
        <w:trPr>
          <w:trHeight w:val="250"/>
        </w:trPr>
        <w:tc>
          <w:tcPr>
            <w:tcW w:w="38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American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21"/>
                <w:szCs w:val="21"/>
                <w:color w:val="auto"/>
                <w:vertAlign w:val="superscript"/>
              </w:rPr>
              <w:t>(a) (c)</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1,847</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13,903</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23,730</w:t>
            </w:r>
          </w:p>
        </w:tc>
      </w:tr>
      <w:tr>
        <w:trPr>
          <w:trHeight w:val="270"/>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(b) (c)</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5,356</w:t>
            </w:r>
          </w:p>
        </w:tc>
      </w:tr>
      <w:tr>
        <w:trPr>
          <w:trHeight w:val="226"/>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Aircraft and engine purchase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3880" w:type="dxa"/>
            <w:vAlign w:val="bottom"/>
            <w:gridSpan w:val="2"/>
          </w:tcPr>
          <w:p>
            <w:pPr>
              <w:ind w:left="200"/>
              <w:spacing w:after="0" w:line="233" w:lineRule="exact"/>
              <w:rPr>
                <w:sz w:val="20"/>
                <w:szCs w:val="20"/>
                <w:color w:val="auto"/>
              </w:rPr>
            </w:pPr>
            <w:r>
              <w:rPr>
                <w:rFonts w:ascii="Arial" w:cs="Arial" w:eastAsia="Arial" w:hAnsi="Arial"/>
                <w:sz w:val="18"/>
                <w:szCs w:val="18"/>
                <w:color w:val="auto"/>
              </w:rPr>
              <w:t xml:space="preserve">commitments </w:t>
            </w:r>
            <w:r>
              <w:rPr>
                <w:rFonts w:ascii="Arial" w:cs="Arial" w:eastAsia="Arial" w:hAnsi="Arial"/>
                <w:sz w:val="21"/>
                <w:szCs w:val="21"/>
                <w:color w:val="auto"/>
                <w:vertAlign w:val="superscript"/>
              </w:rPr>
              <w:t>(d)</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14,463</w:t>
            </w:r>
          </w:p>
        </w:tc>
      </w:tr>
      <w:tr>
        <w:trPr>
          <w:trHeight w:val="270"/>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21"/>
                <w:szCs w:val="21"/>
                <w:color w:val="auto"/>
                <w:vertAlign w:val="superscript"/>
              </w:rPr>
              <w:t>(e)</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6,473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14,554</w:t>
            </w:r>
          </w:p>
        </w:tc>
      </w:tr>
      <w:tr>
        <w:trPr>
          <w:trHeight w:val="270"/>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1"/>
                <w:szCs w:val="21"/>
                <w:color w:val="auto"/>
                <w:vertAlign w:val="superscript"/>
              </w:rPr>
              <w:t>(f)</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6,685</w:t>
            </w:r>
          </w:p>
        </w:tc>
      </w:tr>
      <w:tr>
        <w:trPr>
          <w:trHeight w:val="270"/>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(g)</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3,926</w:t>
            </w:r>
          </w:p>
        </w:tc>
      </w:tr>
      <w:tr>
        <w:trPr>
          <w:trHeight w:val="229"/>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Retiree medical and other postretirement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3880" w:type="dxa"/>
            <w:vAlign w:val="bottom"/>
            <w:gridSpan w:val="2"/>
          </w:tcPr>
          <w:p>
            <w:pPr>
              <w:ind w:left="200"/>
              <w:spacing w:after="0"/>
              <w:rPr>
                <w:sz w:val="20"/>
                <w:szCs w:val="20"/>
                <w:color w:val="auto"/>
              </w:rPr>
            </w:pPr>
            <w:r>
              <w:rPr>
                <w:rFonts w:ascii="Arial" w:cs="Arial" w:eastAsia="Arial" w:hAnsi="Arial"/>
                <w:sz w:val="18"/>
                <w:szCs w:val="18"/>
                <w:color w:val="auto"/>
              </w:rPr>
              <w:t>benefits</w:t>
            </w:r>
          </w:p>
        </w:tc>
        <w:tc>
          <w:tcPr>
            <w:tcW w:w="16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655</w:t>
            </w:r>
          </w:p>
        </w:tc>
      </w:tr>
      <w:tr>
        <w:trPr>
          <w:trHeight w:val="277"/>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1"/>
                <w:szCs w:val="21"/>
                <w:color w:val="auto"/>
                <w:vertAlign w:val="superscript"/>
              </w:rPr>
              <w:t>(h)</w:t>
            </w:r>
          </w:p>
        </w:tc>
        <w:tc>
          <w:tcPr>
            <w:tcW w:w="1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1,177</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5,262</w:t>
            </w:r>
          </w:p>
        </w:tc>
      </w:tr>
      <w:tr>
        <w:trPr>
          <w:trHeight w:val="243"/>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Total American Contractual Obligations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3,062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13,037</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8,984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9,664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33,385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74,631</w:t>
            </w:r>
          </w:p>
        </w:tc>
      </w:tr>
      <w:tr>
        <w:trPr>
          <w:trHeight w:val="277"/>
        </w:trPr>
        <w:tc>
          <w:tcPr>
            <w:tcW w:w="2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i w:val="1"/>
                <w:iCs w:val="1"/>
                <w:color w:val="auto"/>
              </w:rPr>
              <w:t>AAG and Other AAG Subsidiaries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2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21"/>
                <w:szCs w:val="21"/>
                <w:color w:val="auto"/>
                <w:vertAlign w:val="superscript"/>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1,279</w:t>
            </w:r>
          </w:p>
        </w:tc>
      </w:tr>
      <w:tr>
        <w:trPr>
          <w:trHeight w:val="270"/>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(b)</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112</w:t>
            </w:r>
          </w:p>
        </w:tc>
      </w:tr>
      <w:tr>
        <w:trPr>
          <w:trHeight w:val="270"/>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(g)</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64"/>
        </w:trPr>
        <w:tc>
          <w:tcPr>
            <w:tcW w:w="38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Operating lease commitments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w:t>
            </w:r>
          </w:p>
        </w:tc>
      </w:tr>
      <w:tr>
        <w:trPr>
          <w:trHeight w:val="250"/>
        </w:trPr>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AAG Contractual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33,444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76,108</w:t>
            </w:r>
          </w:p>
        </w:tc>
      </w:tr>
      <w:tr>
        <w:trPr>
          <w:trHeight w:val="20"/>
        </w:trPr>
        <w:tc>
          <w:tcPr>
            <w:tcW w:w="2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377" w:lineRule="exact"/>
        <w:rPr>
          <w:sz w:val="20"/>
          <w:szCs w:val="20"/>
          <w:color w:val="auto"/>
        </w:rPr>
      </w:pPr>
    </w:p>
    <w:p>
      <w:pPr>
        <w:jc w:val="both"/>
        <w:ind w:left="500" w:hanging="330"/>
        <w:spacing w:after="0" w:line="233" w:lineRule="auto"/>
        <w:tabs>
          <w:tab w:leader="none" w:pos="50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Amounts represent contractual amounts due. Excludes $238 million and $242 million of unamortized debt discount, premium and issuance costs as of September 30, 2018 for American and AAG, respectively. For additional information, see Note 6 and Note 4 to AAG’s and American’s Condensed Consolidated Financial Statements in Part I, Items 1A and 1B.</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For variable-rate debt, future interest obligations are estimated using the current forward rates at September 30, 2018.</w:t>
      </w:r>
    </w:p>
    <w:p>
      <w:pPr>
        <w:spacing w:after="0" w:line="161"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Includes $11.9 billion of future principal payments and $2.6 billion of future interest payments, as of September 30, 2018, related to EETC debt financings of certain aircraft.</w:t>
      </w:r>
    </w:p>
    <w:p>
      <w:pPr>
        <w:spacing w:after="0" w:line="145" w:lineRule="exact"/>
        <w:rPr>
          <w:rFonts w:ascii="Arial" w:cs="Arial" w:eastAsia="Arial" w:hAnsi="Arial"/>
          <w:sz w:val="22"/>
          <w:szCs w:val="22"/>
          <w:color w:val="auto"/>
          <w:vertAlign w:val="superscript"/>
        </w:rPr>
      </w:pPr>
    </w:p>
    <w:p>
      <w:pPr>
        <w:jc w:val="both"/>
        <w:ind w:left="500" w:hanging="330"/>
        <w:spacing w:after="0" w:line="243" w:lineRule="auto"/>
        <w:tabs>
          <w:tab w:leader="none" w:pos="50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See Part I, Item 2. Management’s Discussion and Analysis of Financial Condition and Results of Operations – “</w:t>
      </w:r>
      <w:r>
        <w:rPr>
          <w:rFonts w:ascii="Arial" w:cs="Arial" w:eastAsia="Arial" w:hAnsi="Arial"/>
          <w:sz w:val="18"/>
          <w:szCs w:val="18"/>
          <w:i w:val="1"/>
          <w:iCs w:val="1"/>
          <w:color w:val="auto"/>
        </w:rPr>
        <w:t>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for additional information about these obligations. Boeing has committed to provide sale-leaseback financing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leases) for 22 787-8 aircraft to be delivered in 2020 and 2021. This financing is reflected in the operating lease commitments line above.</w:t>
      </w:r>
    </w:p>
    <w:p>
      <w:pPr>
        <w:spacing w:after="0" w:line="159"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Includes $372 million of future minimum lease payments related to EETC leveraged lease financings of certain aircraft as of September 30, 2018.</w:t>
      </w:r>
    </w:p>
    <w:p>
      <w:pPr>
        <w:spacing w:after="0" w:line="163"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Includes minimum pension contributions based on actuarially determined estimates and is based on estimated payments through 2027.</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Includes purchase commitments for jet fuel, facility construction projects and information technology support.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819"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light of our significant financial commitments related to, among other things, new aircraft, the servicing and amortization of existing debt and equipment leasing arrangements, and future pension funding obligations,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or natural disasters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or aircraft, aircraft engines or parts, could decrease the amount of cash available to cover cash contractual obligations. Moreover, certain of our financing arrangements contain significant minimum cash balance requirements. As a result, we cannot use all of our available cash to fund operations, capital expenditures and cash obligations without violating these requirements.</w:t>
      </w:r>
    </w:p>
    <w:p>
      <w:pPr>
        <w:spacing w:after="0" w:line="15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148"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Board of Directors has from time to time authorized programs to repurchase shares of our common stock, one of which is currently in effect and may authorize additional share repurchase programs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the third quarter of 2018, there were no changes to our critical accounting policies and estimates from those disclosed in the Consolidated Financial Statements and accompanying notes contained in our 2017 Form 10-K, except as discussed below relating to the New Revenue Standard.</w:t>
      </w:r>
    </w:p>
    <w:p>
      <w:pPr>
        <w:spacing w:after="0" w:line="148"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Effective January 1, 2018, we adopted the New Revenue Standard using the full retrospective method, which resulted in the recast of the prior reporting periods. See Recent Accounting Pronouncements below for effects of adoption on our condensed consolidated statement of operations for the three and nine months ended September 30, 2017 and on our consolidated balance sheet as of December 31, 2017. Under the New Revenue Standard, revenue is recognized upon transfer of control of promised products or services to our customers in an amount that reflects the consideration we expect to receive in exchange for those products or services.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Passenger Revenue</w:t>
      </w:r>
    </w:p>
    <w:p>
      <w:pPr>
        <w:spacing w:after="0" w:line="108"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We recognize all revenues generated from transportation on American and our regional flights operated under the brand name American Eagle, including associated baggage fees, ticketing change fees and other inflight services, as passenger revenue when transportation is provided. Ticket and other related sales for transportation that has not yet been provided are initially deferred and recorded as air traffic liability on the condensed consolidated balance sheets. The air traffic liability principally represents tickets sold for future travel dates and estimated future refunds and exchanges of tickets sold for past travel dates.</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passenger revenue using estimates regarding both the timing of the revenue recognition and the amount of revenue to be recognized. These estimates are generally based on the analysis of our historical data. We have consistently applied this accounting method to estimate revenue from forfeited tickets at the date of travel. Estimated future refunds and exchanges included in the air traffic liability are routinely evaluated based on subsequent activity to validate the accuracy of our estimates. Any adjustments resulting from periodic evaluations of the estimated air traffic liability are included in passenger revenue during the period in which the evaluations are completed.</w:t>
      </w:r>
    </w:p>
    <w:p>
      <w:pPr>
        <w:spacing w:after="0" w:line="1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Various taxes and fees assessed on the sale of tickets to end customers are collected by us as an agent and remitted to taxing authorities. These taxes and fees have been presented on a net basis in the accompanying condensed consolidated statements of operations and recorded as a liability until remitted to the appropriate taxing authority.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819" w:right="239" w:bottom="1440" w:gutter="0" w:footer="0" w:header="0"/>
        </w:sectPr>
      </w:pPr>
    </w:p>
    <w:bookmarkStart w:id="67" w:name="page68"/>
    <w:bookmarkEnd w:id="67"/>
    <w:p>
      <w:pPr>
        <w:ind w:left="220"/>
        <w:spacing w:after="0"/>
        <w:rPr>
          <w:sz w:val="20"/>
          <w:szCs w:val="20"/>
          <w:color w:val="auto"/>
        </w:rPr>
      </w:pPr>
      <w:r>
        <w:rPr>
          <w:rFonts w:ascii="Arial" w:cs="Arial" w:eastAsia="Arial" w:hAnsi="Arial"/>
          <w:sz w:val="18"/>
          <w:szCs w:val="18"/>
          <w:i w:val="1"/>
          <w:iCs w:val="1"/>
          <w:u w:val="single" w:color="auto"/>
          <w:color w:val="auto"/>
        </w:rPr>
        <w:t>Loyalty Revenue</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We currently operate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the Citi and Barclays US co-branded</w:t>
      </w:r>
      <w:r>
        <w:rPr>
          <w:rFonts w:ascii="Arial" w:cs="Arial" w:eastAsia="Arial" w:hAnsi="Arial"/>
          <w:sz w:val="18"/>
          <w:szCs w:val="18"/>
          <w:b w:val="1"/>
          <w:bCs w:val="1"/>
          <w:color w:val="auto"/>
        </w:rPr>
        <w:t xml:space="preserve"> </w:t>
      </w:r>
      <w:r>
        <w:rPr>
          <w:rFonts w:ascii="Arial" w:cs="Arial" w:eastAsia="Arial" w:hAnsi="Arial"/>
          <w:sz w:val="18"/>
          <w:szCs w:val="18"/>
          <w:color w:val="auto"/>
        </w:rPr>
        <w:t>cards, hotels and car rental companies. Mileage credits can be redeemed for travel on American and other participating partner airlines as well as other non-air travel awards such as hotels and rental cars. For mileage credits earned by AAdvantage loyalty program members, we apply the deferred revenue method in accordance with the New Revenue Standard.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Mileage credits earned through travel</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mileage credits earned through travel, we apply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fares as those used to settle award redemptions. The estimated selling price of miles is adjusted for an estimate of miles that will not be redeemed based on historical redemption patterns. For the year ended December 31, 2017, a hypothetical 10% increase in the estimated selling price of miles would have decreased revenues by approximately $100 million as a result of additional amounts being deferred from passenger ticket sales.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Mileage credits sold to co-branded cards and other partners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sell mileage credits to participating airline partners and non-airline business partners including our co-branded card partners, under contracts with terms extending generally for one to nine years. Consideration received from the sale of mileage credits is variable and payment terms typically are within 30 days subsequent to the month of mileage sale. Sales of mileage credits to non-airline business partners are comprised of two components, transportation and marketing. We allocate the consideration received from these sales of mileage credits based on the relative selling price of each product or service delivered.</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most significant partner agreements are our co-branded card program agreements with Citi and Barclays US that we entered into in 2016. We identified the following revenue elements in these co-branded card agreements: the transportation component; and the use of intellectual property including the American brand and access to loyalty program member lists, which is the predominant element in the agreements, as well as advertising (collectively, the marketing component). Accordingly, we recognize the marketing component in other revenue in the period of the mileage sale following the sales-based royalty method.</w:t>
      </w:r>
    </w:p>
    <w:p>
      <w:pPr>
        <w:spacing w:after="0" w:line="15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For the portion of our outstanding mileage credits that we estimate will not be redeemed, we recognize the associated value proportionally as the remaining mileage credits are redeemed. Our estimates are based on analysis of historical redemption patterns. For the year ended December 31, 2017, a hypothetical 10% increase in our estimate of miles not expected to be redeemed would have increased revenues by approximately $100 million.</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Cargo Revenue</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Cargo revenue is recognized when we provide the transportation.</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Other revenue includes revenue associated with our loyalty program, which is comprised principally of the marketing component of mileage sales to co-branded card and other partners and other marketing related payments. The accounting and recognition for the loyalty program marketing services are discussed above in Loyalty Revenue. The remaining amounts included within other revenue relate to airport clubs, advertising and vacation-related services.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23"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Standards Effective for 2018 Reporting Periods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January 1, 2018, we adopted the accounting pronouncements described below.</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ASU 2014-09: Revenue from Contracts with Customers (Topic 606) (the New Revenue Standard)</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New Revenue Standard applies to all companies that enter into contracts with customers to transfer goods or services. We adopted the New Revenue Standard using the full retrospective method, which resulted in the recast of prior reporting periods.</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adoption of the New Revenue Standard impacted our accounting for outstanding mileage credits earned through travel by AAdvantage loyalty program members. There was no change in accounting for sales of mileage credits to co-branded card or other partners. Prior to the adoption of the New Revenue Standard, we used the incremental cost method to account for the portion of our loyalty program liability related to mileage credits earned through travel, which were valued based on the estimated incremental cost of carrying one additional passenger. The New Revenue Standard required us to change our policy to the deferred revenue method and apply a relative selling price approach whereby a portion of each passenger ticket sale attributable to mileage credits earned is deferred and recognized in passenger revenue upon future mileage redemption. The value of the earned mileage credits is materially greater under the deferred revenue method than the value attributed to these mileage credits under the incremental cost method.</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New Revenue Standard also required certain reclassifications, principally the reclassification of certain ancillary revenues previously classified and reported as other revenue to passenger revenue and as applicable to cargo revenue. Additionally, the New Revenue Standard required a gross presentation on the face of our condensed consolidated statement of operations for certain revenues and expenses that had previously been presented on a net basis.</w:t>
      </w:r>
    </w:p>
    <w:p>
      <w:pPr>
        <w:spacing w:after="0" w:line="150" w:lineRule="exact"/>
        <w:rPr>
          <w:sz w:val="20"/>
          <w:szCs w:val="20"/>
          <w:color w:val="auto"/>
        </w:rPr>
      </w:pPr>
    </w:p>
    <w:p>
      <w:pPr>
        <w:jc w:val="both"/>
        <w:ind w:firstLine="230"/>
        <w:spacing w:after="0" w:line="262" w:lineRule="auto"/>
        <w:rPr>
          <w:sz w:val="20"/>
          <w:szCs w:val="20"/>
          <w:color w:val="auto"/>
        </w:rPr>
      </w:pPr>
      <w:r>
        <w:rPr>
          <w:rFonts w:ascii="Arial" w:cs="Arial" w:eastAsia="Arial" w:hAnsi="Arial"/>
          <w:sz w:val="18"/>
          <w:szCs w:val="18"/>
          <w:color w:val="auto"/>
        </w:rPr>
        <w:t>See recast condensed consolidated statement of operations data for the three and nine months ended September 30, 2017 and recast consolidated balance sheet data as of December 31, 2017 presented below for the effects of adoption.</w:t>
      </w:r>
    </w:p>
    <w:p>
      <w:pPr>
        <w:spacing w:after="0" w:line="201"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ASU 2017-07: Compensation - Retirement Benefits (Topic 715): Improving the Presentation of Net Periodic Pension Cost and Net Periodic Postretirement Benefit Cost (the New Retirement Standard)</w:t>
      </w:r>
    </w:p>
    <w:p>
      <w:pPr>
        <w:spacing w:after="0" w:line="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New Retirement Standard required all components of our net periodic benefit cost (income), with the exception of service cost, previously reported within operating expenses as salaries, wages and benefits, to be reclassified and reported within nonoperating income (expense). The New Retirement Standard was applied retrospectively, which resulted in the recast of each prior reporting period presented. The adoption of the New Retirement Standard had no impact on pre-tax income or net income reported.</w:t>
      </w:r>
    </w:p>
    <w:p>
      <w:pPr>
        <w:spacing w:after="0" w:line="150" w:lineRule="exact"/>
        <w:rPr>
          <w:sz w:val="20"/>
          <w:szCs w:val="20"/>
          <w:color w:val="auto"/>
        </w:rPr>
      </w:pPr>
    </w:p>
    <w:p>
      <w:pPr>
        <w:jc w:val="both"/>
        <w:ind w:firstLine="230"/>
        <w:spacing w:after="0" w:line="262" w:lineRule="auto"/>
        <w:rPr>
          <w:sz w:val="20"/>
          <w:szCs w:val="20"/>
          <w:color w:val="auto"/>
        </w:rPr>
      </w:pPr>
      <w:r>
        <w:rPr>
          <w:rFonts w:ascii="Arial" w:cs="Arial" w:eastAsia="Arial" w:hAnsi="Arial"/>
          <w:sz w:val="18"/>
          <w:szCs w:val="18"/>
          <w:color w:val="auto"/>
        </w:rPr>
        <w:t>See recast condensed consolidated statement of operations data for the three and nine months ended September 30, 2017 presented below for the effects of adoption.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819" w:right="239" w:bottom="1440" w:gutter="0" w:footer="0" w:header="0"/>
        </w:sectPr>
      </w:pPr>
    </w:p>
    <w:bookmarkStart w:id="69" w:name="page70"/>
    <w:bookmarkEnd w:id="69"/>
    <w:p>
      <w:pPr>
        <w:ind w:left="260"/>
        <w:spacing w:after="0"/>
        <w:rPr>
          <w:sz w:val="20"/>
          <w:szCs w:val="20"/>
          <w:color w:val="auto"/>
        </w:rPr>
      </w:pPr>
      <w:r>
        <w:rPr>
          <w:rFonts w:ascii="Arial" w:cs="Arial" w:eastAsia="Arial" w:hAnsi="Arial"/>
          <w:sz w:val="18"/>
          <w:szCs w:val="18"/>
          <w:b w:val="1"/>
          <w:bCs w:val="1"/>
          <w:i w:val="1"/>
          <w:iCs w:val="1"/>
          <w:color w:val="auto"/>
        </w:rPr>
        <w:t>Impacts to Prior Period Results</w:t>
      </w:r>
    </w:p>
    <w:p>
      <w:pPr>
        <w:spacing w:after="0" w:line="112"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The effects of adoption of the New Revenue Standard and New Retirement Standard to our condensed consolidated statement of operations for the three and nine months ended September 30, 2017 were as follows (in millions, except per share amounts):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New Retirement</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New Revenue Standard</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Standard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4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ind w:right="152"/>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Ancillary Revenue</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Versus Net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 Method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Presentation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As Recast</w:t>
            </w:r>
          </w:p>
        </w:tc>
        <w:tc>
          <w:tcPr>
            <w:tcW w:w="0" w:type="dxa"/>
            <w:vAlign w:val="bottom"/>
          </w:tcPr>
          <w:p>
            <w:pPr>
              <w:spacing w:after="0"/>
              <w:rPr>
                <w:sz w:val="1"/>
                <w:szCs w:val="1"/>
                <w:color w:val="auto"/>
              </w:rPr>
            </w:pPr>
          </w:p>
        </w:tc>
      </w:tr>
      <w:tr>
        <w:trPr>
          <w:trHeight w:val="27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Passenger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9,377</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27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10,878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10,965</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9,646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29"/>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Total nonoperating expense,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624</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 earnings per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840" w:type="dxa"/>
            <w:vAlign w:val="bottom"/>
            <w:gridSpan w:val="2"/>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2"/>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common share</w:t>
            </w:r>
          </w:p>
        </w:tc>
        <w:tc>
          <w:tcPr>
            <w:tcW w:w="1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New Retirement</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New Revenue Standard</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Standard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4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ind w:right="152"/>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Ancillary Revenue</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Versus Net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 Method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Presentation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As Recast</w:t>
            </w:r>
          </w:p>
        </w:tc>
        <w:tc>
          <w:tcPr>
            <w:tcW w:w="0" w:type="dxa"/>
            <w:vAlign w:val="bottom"/>
          </w:tcPr>
          <w:p>
            <w:pPr>
              <w:spacing w:after="0"/>
              <w:rPr>
                <w:sz w:val="1"/>
                <w:szCs w:val="1"/>
                <w:color w:val="auto"/>
              </w:rPr>
            </w:pPr>
          </w:p>
        </w:tc>
      </w:tr>
      <w:tr>
        <w:trPr>
          <w:trHeight w:val="27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Passenger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27,114</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328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29,447</w:t>
            </w:r>
          </w:p>
        </w:tc>
        <w:tc>
          <w:tcPr>
            <w:tcW w:w="0" w:type="dxa"/>
            <w:vAlign w:val="bottom"/>
          </w:tcPr>
          <w:p>
            <w:pPr>
              <w:spacing w:after="0"/>
              <w:rPr>
                <w:sz w:val="1"/>
                <w:szCs w:val="1"/>
                <w:color w:val="auto"/>
              </w:rPr>
            </w:pPr>
          </w:p>
        </w:tc>
      </w:tr>
      <w:tr>
        <w:trPr>
          <w:trHeight w:val="27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3,924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31,606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32,011</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28,238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28,419</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29"/>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Total nonoperating expense,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1,661</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 earnings per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840" w:type="dxa"/>
            <w:vAlign w:val="bottom"/>
            <w:gridSpan w:val="2"/>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2"/>
        </w:trPr>
        <w:tc>
          <w:tcPr>
            <w:tcW w:w="2840" w:type="dxa"/>
            <w:vAlign w:val="bottom"/>
            <w:gridSpan w:val="2"/>
          </w:tcPr>
          <w:p>
            <w:pPr>
              <w:ind w:left="380"/>
              <w:spacing w:after="0"/>
              <w:rPr>
                <w:sz w:val="20"/>
                <w:szCs w:val="20"/>
                <w:color w:val="auto"/>
              </w:rPr>
            </w:pPr>
            <w:r>
              <w:rPr>
                <w:rFonts w:ascii="Arial" w:cs="Arial" w:eastAsia="Arial" w:hAnsi="Arial"/>
                <w:sz w:val="18"/>
                <w:szCs w:val="18"/>
                <w:color w:val="auto"/>
              </w:rPr>
              <w:t>common share</w:t>
            </w:r>
          </w:p>
        </w:tc>
        <w:tc>
          <w:tcPr>
            <w:tcW w:w="1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0" w:type="dxa"/>
            <w:vAlign w:val="bottom"/>
            <w:gridSpan w:val="3"/>
            <w:vMerge w:val="restart"/>
          </w:tcPr>
          <w:p>
            <w:pPr>
              <w:ind w:left="14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1440" w:gutter="0" w:footer="0" w:header="0"/>
        </w:sectPr>
      </w:pPr>
    </w:p>
    <w:bookmarkStart w:id="70" w:name="page71"/>
    <w:bookmarkEnd w:id="70"/>
    <w:p>
      <w:pPr>
        <w:ind w:left="220"/>
        <w:spacing w:after="0"/>
        <w:rPr>
          <w:sz w:val="20"/>
          <w:szCs w:val="20"/>
          <w:color w:val="auto"/>
        </w:rPr>
      </w:pPr>
      <w:r>
        <w:rPr>
          <w:rFonts w:ascii="Arial" w:cs="Arial" w:eastAsia="Arial" w:hAnsi="Arial"/>
          <w:sz w:val="18"/>
          <w:szCs w:val="18"/>
          <w:color w:val="auto"/>
        </w:rPr>
        <w:t>The effects of adoption of the New Revenue Standard to our December 31, 2017 consolidated balance sheet are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Reported</w:t>
            </w:r>
          </w:p>
        </w:tc>
        <w:tc>
          <w:tcPr>
            <w:tcW w:w="1940" w:type="dxa"/>
            <w:vAlign w:val="bottom"/>
            <w:gridSpan w:val="3"/>
          </w:tcPr>
          <w:p>
            <w:pPr>
              <w:ind w:left="120"/>
              <w:spacing w:after="0"/>
              <w:rPr>
                <w:sz w:val="20"/>
                <w:szCs w:val="20"/>
                <w:color w:val="auto"/>
              </w:rPr>
            </w:pPr>
            <w:r>
              <w:rPr>
                <w:rFonts w:ascii="Arial" w:cs="Arial" w:eastAsia="Arial" w:hAnsi="Arial"/>
                <w:sz w:val="14"/>
                <w:szCs w:val="14"/>
                <w:b w:val="1"/>
                <w:bCs w:val="1"/>
                <w:color w:val="auto"/>
              </w:rPr>
              <w:t>New Revenue Standard</w:t>
            </w:r>
          </w:p>
        </w:tc>
        <w:tc>
          <w:tcPr>
            <w:tcW w:w="360" w:type="dxa"/>
            <w:vAlign w:val="bottom"/>
          </w:tcPr>
          <w:p>
            <w:pPr>
              <w:spacing w:after="0"/>
              <w:rPr>
                <w:sz w:val="17"/>
                <w:szCs w:val="17"/>
                <w:color w:val="auto"/>
              </w:rPr>
            </w:pPr>
          </w:p>
        </w:tc>
        <w:tc>
          <w:tcPr>
            <w:tcW w:w="1480" w:type="dxa"/>
            <w:vAlign w:val="bottom"/>
          </w:tcPr>
          <w:p>
            <w:pPr>
              <w:jc w:val="right"/>
              <w:ind w:right="493"/>
              <w:spacing w:after="0"/>
              <w:rPr>
                <w:sz w:val="20"/>
                <w:szCs w:val="20"/>
                <w:color w:val="auto"/>
              </w:rPr>
            </w:pPr>
            <w:r>
              <w:rPr>
                <w:rFonts w:ascii="Arial" w:cs="Arial" w:eastAsia="Arial" w:hAnsi="Arial"/>
                <w:sz w:val="14"/>
                <w:szCs w:val="14"/>
                <w:b w:val="1"/>
                <w:bCs w:val="1"/>
                <w:color w:val="auto"/>
              </w:rPr>
              <w:t>As Recast</w:t>
            </w:r>
          </w:p>
        </w:tc>
      </w:tr>
      <w:tr>
        <w:trPr>
          <w:trHeight w:val="256"/>
        </w:trPr>
        <w:tc>
          <w:tcPr>
            <w:tcW w:w="5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427</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1,389</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1,816</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Air traffic liability</w:t>
            </w:r>
          </w:p>
        </w:tc>
        <w:tc>
          <w:tcPr>
            <w:tcW w:w="300" w:type="dxa"/>
            <w:vAlign w:val="bottom"/>
          </w:tcPr>
          <w:p>
            <w:pPr>
              <w:spacing w:after="0"/>
              <w:rPr>
                <w:sz w:val="22"/>
                <w:szCs w:val="22"/>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4,042</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loyalty program liability</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3,121</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Noncurrent loyalty program liability</w:t>
            </w:r>
          </w:p>
        </w:tc>
        <w:tc>
          <w:tcPr>
            <w:tcW w:w="30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5,701</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 (deficit)</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3,926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bl>
    <w:p>
      <w:pPr>
        <w:spacing w:after="0" w:line="24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See Note 1 to AAG's Condensed Consolidated Financial Statements in Part I, Item 1A and Note 1 to American's Condensed Consolidated Financial Statements in Part I, Item 1B for further information on recent accounting pronouncements.</w:t>
      </w:r>
    </w:p>
    <w:p>
      <w:pPr>
        <w:spacing w:after="0" w:line="201" w:lineRule="exact"/>
        <w:rPr>
          <w:sz w:val="20"/>
          <w:szCs w:val="20"/>
          <w:color w:val="auto"/>
        </w:rPr>
      </w:pPr>
    </w:p>
    <w:p>
      <w:pPr>
        <w:ind w:right="4420"/>
        <w:spacing w:after="0" w:line="35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u w:val="single" w:color="auto"/>
          <w:color w:val="auto"/>
        </w:rPr>
        <w:t>AAG and American’s Market Risk Sensitive Instruments and Positions</w:t>
      </w:r>
    </w:p>
    <w:p>
      <w:pPr>
        <w:jc w:val="both"/>
        <w:ind w:firstLine="216"/>
        <w:spacing w:after="0" w:line="262"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2017 Form 10-K except as updated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of September 30, 2018,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Based on our 2018 forecasted fuel consumption, we estimate that a one cent per gallon increase in aviation fuel price would increase our 2018 annual fuel expense by $45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operating revenues and expenses. Our largest exposure comes from the British pound, Euro, Canadian dollar and various Latin American currencies, primarily the Brazilian real. We do not currently have a foreign currency hedge program.</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 rate debt instruments and our interest income from short-term, interest bearing investments. If annual interest rates increase 100 basis points, based on our September 30, 2018 variable-rate debt and short term investments balances, annual interest expense on variable rate debt would increase by approximately $100 million and annual interest income on short-term investments would increase by approximately $50 million.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6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 An evaluation of the effectiveness of AAG’s and American’s disclosure controls and procedures as of September 30, 2018 was performed under the supervision and with the participation of AAG’s and American’s management, including AAG’s and American’s Chief Executive Officer (CEO) and Chief Financial Officer (CFO). Based on that evaluation, AAG’s and American’s management, including AAG’s and American’s CEO and CFO, concluded that AAG’s and American’s disclosure controls and procedures were effective as of September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On December 9, 2013, AAG acquired US Airways Group and its subsidiaries. We are still in the process of integrating certain processes, technology and operations for the post-Merger combined company, and we will continue to evaluate the impact of any related changes to our internal control over financial reporting. In connection with the adoption of the New Revenue Standard on January 1, 2018, we materially modified certain processes related to our loyalty program. The operating effectiveness of these changes will be evaluated as part of our annual assessment of internal control over financial reporting. For the quarter ended September 30, 2018, there have been no changes in AAG’s or American’s internal control over financial reporting that has materially affected, or is reasonably likely to materially affect, AAG’s and American’s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the CEO and CFO of AAG and American believe that our disclosure controls and procedures were effective at the “reasonable assurance” level as of September 30, 2018.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819"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As of September 30, 2018, there were approximately 24.5 million shares of AAG common stock remaining in the Disputed Claims Reserve. As disputed claims are resolved, the claimants will receive distributions of shares from the Disputed Claims Reserve.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w:t>
      </w:r>
    </w:p>
    <w:p>
      <w:pPr>
        <w:spacing w:after="0" w:line="135"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i w:val="1"/>
          <w:iCs w:val="1"/>
          <w:color w:val="auto"/>
        </w:rPr>
        <w:t>DOJ Antitrust Civil Investigative Demand</w:t>
      </w:r>
      <w:r>
        <w:rPr>
          <w:rFonts w:ascii="Arial" w:cs="Arial" w:eastAsia="Arial" w:hAnsi="Arial"/>
          <w:sz w:val="18"/>
          <w:szCs w:val="18"/>
          <w:color w:val="auto"/>
        </w:rPr>
        <w:t>. In June 2015, we received a Civil Investigative Demand (CID) from the United States Department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Justice (DOJ) as 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w:t>
      </w:r>
    </w:p>
    <w:p>
      <w:pPr>
        <w:spacing w:after="0" w:line="126"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 xml:space="preserve">Private Party Antitrust Action. </w:t>
      </w:r>
      <w:r>
        <w:rPr>
          <w:rFonts w:ascii="Arial" w:cs="Arial" w:eastAsia="Arial" w:hAnsi="Arial"/>
          <w:sz w:val="18"/>
          <w:szCs w:val="18"/>
          <w:color w:val="auto"/>
        </w:rPr>
        <w:t>Subsequent to announcement of the delivery of CIDs by the DOJ, we, along with Delta Air Lines, Inc.,</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Airlines Co., United 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On June 15, 2018, we reached a preliminary settlement agreement with the plaintiffs in the amount of $45 million that, once approved, will resolve all claims in the U.S. lawsuits. That settlement received preliminary approval from the Court on June 18, 2018. We expect the Court to issue final approval of the settlement later this year.</w:t>
      </w:r>
    </w:p>
    <w:p>
      <w:pPr>
        <w:spacing w:after="0" w:line="12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United States Bankruptcy Court for the Southern District of New York. The complaint named as defendants US Airways Group,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Court denied in part defendants' motion for summary judgment, and fully denied plaintiffs' cross-motion for summary judgment. A bench trial is expected to be scheduled in the next few months. We believe this lawsuit is without merit and intend to vigorously defend against the allegations.</w:t>
      </w:r>
    </w:p>
    <w:p>
      <w:pPr>
        <w:spacing w:after="0" w:line="135"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us of an inquiry regarding American’s 2009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2011 contracts with 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13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 the normal course of business or</w:t>
      </w:r>
      <w:r>
        <w:rPr>
          <w:rFonts w:ascii="Arial" w:cs="Arial" w:eastAsia="Arial" w:hAnsi="Arial"/>
          <w:sz w:val="18"/>
          <w:szCs w:val="18"/>
          <w:color w:val="auto"/>
        </w:rPr>
        <w:t xml:space="preserve"> </w:t>
      </w:r>
      <w:r>
        <w:rPr>
          <w:rFonts w:ascii="Arial" w:cs="Arial" w:eastAsia="Arial" w:hAnsi="Arial"/>
          <w:sz w:val="18"/>
          <w:szCs w:val="18"/>
          <w:i w:val="1"/>
          <w:iCs w:val="1"/>
          <w:color w:val="auto"/>
        </w:rPr>
        <w:t>otherwise, which could affect our financial position and liquidity</w:t>
      </w:r>
      <w:r>
        <w:rPr>
          <w:rFonts w:ascii="Arial" w:cs="Arial" w:eastAsia="Arial" w:hAnsi="Arial"/>
          <w:sz w:val="18"/>
          <w:szCs w:val="18"/>
          <w:color w:val="auto"/>
        </w:rPr>
        <w:t>” for additional discussion.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76"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1A. RISK FACTORS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See also </w:t>
      </w:r>
      <w:r>
        <w:rPr>
          <w:rFonts w:ascii="Arial" w:cs="Arial" w:eastAsia="Arial" w:hAnsi="Arial"/>
          <w:sz w:val="18"/>
          <w:szCs w:val="18"/>
          <w:i w:val="1"/>
          <w:iCs w:val="1"/>
          <w:color w:val="auto"/>
        </w:rPr>
        <w:t>“The airline industry is intensely competitive and dynamic”</w:t>
      </w:r>
      <w:r>
        <w:rPr>
          <w:rFonts w:ascii="Arial" w:cs="Arial" w:eastAsia="Arial" w:hAnsi="Arial"/>
          <w:sz w:val="18"/>
          <w:szCs w:val="18"/>
          <w:color w:val="auto"/>
        </w:rPr>
        <w:t xml:space="preserve"> below.</w:t>
      </w:r>
    </w:p>
    <w:p>
      <w:pPr>
        <w:spacing w:after="0" w:line="211"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our operating results and liquidity.</w:t>
      </w:r>
    </w:p>
    <w:p>
      <w:pPr>
        <w:spacing w:after="0" w:line="5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 to be highly volatile.</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Any of these factors or events could cause a disruption in oil production, refinery operations or pipeline capacity and possibly result in significant increases in the price of aircraft fuel and diminished availability of aircraft fuel supply.</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September 30, 2018, we did not have any fuel hedging contracts outstanding. As such, and assuming we do not enter into any future transactions to hedge our fuel consumption, we will continue to be fully exposed to fluctuations in fuel prices.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air carrier. Our revenues are sensitive to the actions of other carriers in many areas including pricing, scheduling, capacity, amenities, loyalty benefits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819" w:right="239" w:bottom="1440" w:gutter="0" w:footer="0" w:header="0"/>
        </w:sectPr>
      </w:pPr>
    </w:p>
    <w:bookmarkStart w:id="74" w:name="page75"/>
    <w:bookmarkEnd w:id="74"/>
    <w:p>
      <w:pPr>
        <w:jc w:val="both"/>
        <w:ind w:firstLine="216"/>
        <w:spacing w:after="0" w:line="251"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and are price sensitive and tend not to be loyal to any one particular carrier. While historically these carriers have provided competition in domestic markets, we have recently experienced new competition from low-cost carriers on international routes. A number of these low-cost carriers have announced growth strategies including commitments to acquire significant numbers of new aircraft for delivery in the next few years. These low-cost carriers are attempting to continue to increase their market share through growth and, potentially, consolidation, and could continue to have an impact on our revenues and overall performance. In addition, we and several other large network carriers have announced “basic economy” fares designed to compete against low-cost carriers and we cannot predict whether these initiatives will be successful or the competitive reaction of the low-cost carriers. Additionally, competition is also increasing from low cost airlines executing international long-haul expansion strategies, including, for example, Icelandair, Norwegian Air Shuttle and Wow Air. The actions of the low-cost carriers, including those described above, could have a material adverse effect on our operations and financial performance.</w:t>
      </w:r>
    </w:p>
    <w:p>
      <w:pPr>
        <w:spacing w:after="0" w:line="157"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Our presence in international markets, such as Asia, is not as extensive as that of some of our competitors. In providing international air transportation, we compete to provide scheduled passenger and cargo service between the U.S. and various overseas locations with U.S. airlines, foreign investor-owned airlines and foreign state-owned or state-affiliated airlines. Competition is increasing from foreign state-owned and state-affiliated airlines in the Gulf region, including Emirates, Etihad Airways and Qatar Airways. These carriers have large numbers of international widebody aircraft in service and on order and are increasing service to the U.S. from locations both in and outside the Middle East. We believe these carriers benefit from significant government subsidies, which has allowed them to grow quickly, reinvest in their product and expand their global presence. Our international service exposes us to foreign economies and the potential for reduced demand, such as we have recently experienced in Venezuela, when any foreign country we serve suffers adverse local economic conditions. In addition, open skies agreements with an increasing number of countries around the world provide international airlines with open access to U.S. markets. See also </w:t>
      </w:r>
      <w:r>
        <w:rPr>
          <w:rFonts w:ascii="Arial" w:cs="Arial" w:eastAsia="Arial" w:hAnsi="Arial"/>
          <w:sz w:val="18"/>
          <w:szCs w:val="18"/>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5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5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have established antitrust-immunized joint business agreements (JBAs) with British Airways, Iberia and Finnair, and separately with Japan Airlines. In October 2017, American and its transatlantic partners executed an amended and restated JBA which, among other things, extends the term of the agreement. This relationship benefits from a grant of antitrust immunity from the U.S. Department of Transportation (DOT) and was reviewed by the European Commission (EC) in July 2010. In connection with this review, we provided certain commitments to the EC regarding, among other things, the availability of take-off and landing slots at London Heathrow (LHR) or London Gatwick airports. The commitments accepted by the EC are binding for 10 years with the possibility of renewal. In light of Brexit and the related possibility that the EC would no longer have responsibility for the United Kingdom when the commitments expire in July 2020, the United Kingdom Competition and Markets Authority (CMA) in October 2018 opened an investigation into the transatlantic JBA. We are cooperating fully with this investigation. Also, we had previously signed a revised JBA with Qantas Airways and applied for antitrust immunity with the DOT for the revised relationship, but we withdrew that application in November 2016 after it was tentatively denied by the DOT. In February 2018, we filed a new application for antitrust immunity with the DOT, which, if granted, would allow us to further expand our relationship with Qantas Airways. In addition, we have signed JBAs with certain air carriers of the LATAM Airlines Group and have applied for antitrust immunity in the relevant jurisdictions affected by such agreements, which applications have been approved in some jurisdictions, but are still pending in other jurisdictions, including the United States and Chile. The foregoing arrangements are important aspects of our international network and we are dependent on the performance of the other airlines party to those agreements. No assurances can be given as to any benefits that we may derive from such arrangements or any other arrangements that may ultimately be implemented.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60" w:right="239" w:bottom="1440" w:gutter="0" w:footer="0" w:header="0"/>
        </w:sectPr>
      </w:pPr>
    </w:p>
    <w:bookmarkStart w:id="75" w:name="page76"/>
    <w:bookmarkEnd w:id="75"/>
    <w:p>
      <w:pPr>
        <w:jc w:val="both"/>
        <w:ind w:firstLine="216"/>
        <w:spacing w:after="0" w:line="252"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15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These competitive factors affect our ability to attract and retain customers, increase usage of our loyalty program and maximize the revenue generated by our loyalty program.</w:t>
      </w:r>
    </w:p>
    <w:p>
      <w:pPr>
        <w:spacing w:after="0" w:line="211"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5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business requires the secure processing and storage of sensitive information relating to our customers, employees, business partners and others. However, like any global enterprise operating in today’s digital business environment, we are subject to threats to the security of our networks and data, including threats potentially involving criminal hackers, hacktivists, state-sponsored actors, corporate espionage, employee malfeasance, and human or technological error. These threats continue to increase as the frequency, intensity and sophistication of attempted attacks and intrusions increase around the world. We have been the target of cybersecurity attacks in the past and expect that we will continue to be in the future.</w:t>
      </w:r>
    </w:p>
    <w:p>
      <w:pPr>
        <w:spacing w:after="0" w:line="15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Furthermore, in response to these threats there has been heightened legislative and regulatory focus on data privacy and security in the U.S., the European Union (EU) and elsewhere, particularly with respect to critical infrastructure providers, including those in the transportation sector. As a result, we must comply with a growing and fast-evolving set of legal requirements in this area, including substantive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new General Data Protection Regulation, commonly referred to as GDPR, came into effect, which imposes a host of new data privacy and security requirements, imposing significant costs on us and carrying substantial penalties for non-compliance.</w:t>
      </w:r>
    </w:p>
    <w:p>
      <w:pPr>
        <w:spacing w:after="0" w:line="1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may not be able to prevent all data security breaches or misuse of data.</w:t>
      </w:r>
    </w:p>
    <w:p>
      <w:pPr>
        <w:spacing w:after="0" w:line="15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the costs and operational consequences of defending from, preparing for, responding to and remediating an incident may be substantial. As cybersecurity threats become more frequent, intense and sophisticated, costs of proactive defense measures may increase. Further, we could be exposed to litigation, regulatory enforcement or other legal action as a result of an incident, carrying the potential for damages, fines, sanctions or other penalties, as well injunctive relief requiring costly compliance measures. A cybersecurity incident could also impact our brand, harm our reputation and adversely impact our relationship with our customers, employees and stockholders. Failure to appropriately address these issues could also give rise to potentially material legal risks and liabilities.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60" w:right="239" w:bottom="1440" w:gutter="0" w:footer="0" w:header="0"/>
        </w:sectPr>
      </w:pPr>
    </w:p>
    <w:bookmarkStart w:id="76" w:name="page77"/>
    <w:bookmarkEnd w:id="76"/>
    <w:p>
      <w:pPr>
        <w:jc w:val="both"/>
        <w:ind w:left="260" w:right="20"/>
        <w:spacing w:after="0" w:line="269"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and substantial non-cancelable obligations under aircraft and related spare engine purchase agreements. Moreover, currently a substantial portion of our assets are pledged to secure our indebtedness. Our substantial indebtedness and other obligations could have important consequences. For example, they:</w:t>
      </w:r>
    </w:p>
    <w:p>
      <w:pPr>
        <w:spacing w:after="0" w:line="150"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142"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contain restrictive covenants that could:</w:t>
      </w:r>
    </w:p>
    <w:p>
      <w:pPr>
        <w:spacing w:after="0" w:line="171" w:lineRule="exact"/>
        <w:rPr>
          <w:rFonts w:ascii="Arial" w:cs="Arial" w:eastAsia="Arial" w:hAnsi="Arial"/>
          <w:sz w:val="18"/>
          <w:szCs w:val="18"/>
          <w:color w:val="auto"/>
        </w:rPr>
      </w:pPr>
    </w:p>
    <w:p>
      <w:pPr>
        <w:ind w:left="1620" w:right="20" w:hanging="315"/>
        <w:spacing w:after="0" w:line="262"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w:t>
      </w:r>
    </w:p>
    <w:p>
      <w:pPr>
        <w:spacing w:after="0" w:line="142" w:lineRule="exact"/>
        <w:rPr>
          <w:rFonts w:ascii="Arial" w:cs="Arial" w:eastAsia="Arial" w:hAnsi="Arial"/>
          <w:sz w:val="18"/>
          <w:szCs w:val="18"/>
          <w:color w:val="auto"/>
        </w:rPr>
      </w:pPr>
    </w:p>
    <w:p>
      <w:pPr>
        <w:jc w:val="both"/>
        <w:ind w:left="1620" w:hanging="315"/>
        <w:spacing w:after="0" w:line="256"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47" w:lineRule="exact"/>
        <w:rPr>
          <w:rFonts w:ascii="Arial" w:cs="Arial" w:eastAsia="Arial" w:hAnsi="Arial"/>
          <w:sz w:val="18"/>
          <w:szCs w:val="18"/>
          <w:color w:val="auto"/>
        </w:rPr>
      </w:pPr>
    </w:p>
    <w:p>
      <w:pPr>
        <w:ind w:left="1620" w:hanging="315"/>
        <w:spacing w:after="0" w:line="262"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 and</w:t>
      </w:r>
    </w:p>
    <w:p>
      <w:pPr>
        <w:spacing w:after="0" w:line="142" w:lineRule="exact"/>
        <w:rPr>
          <w:rFonts w:ascii="Arial" w:cs="Arial" w:eastAsia="Arial" w:hAnsi="Arial"/>
          <w:sz w:val="18"/>
          <w:szCs w:val="18"/>
          <w:color w:val="auto"/>
        </w:rPr>
      </w:pPr>
    </w:p>
    <w:p>
      <w:pPr>
        <w:ind w:left="1620" w:hanging="315"/>
        <w:spacing w:after="0"/>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result in an event of default under our indebtedness.</w:t>
      </w:r>
    </w:p>
    <w:p>
      <w:pPr>
        <w:spacing w:after="0" w:line="17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Further, a substantial portion of our long-term indebtedness bears interest at fluctuating interest rates, primarily based on the London interbank offered rate (LIBOR) for deposits of U.S. dollars. LIBOR tends to fluctuate based on general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On July 27, 2017, the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The U.S. Federal Reserve, in conjunction with the Alternative Reference Rates Committee, is considering replacing U.S. dollar LIBOR with a newly created index, calculated based on repurchase agreements backed by treasury securities. It is not possible to predict the effect of these changes, other reforms or the establishment of alternative reference rates in the United Kingdom, the United States or elsewhere. To the extent these interest rates increase, our interest expense will increase, in which event we may have difficulties making interest payments and funding our other fixed costs, and our available cash flow for general corporate requirements may be adversely affected. See also the discussion of interest rate risk in Part I, Item 3. Quantitative and Qualitative Disclosures About Market Risk –</w:t>
      </w:r>
      <w:r>
        <w:rPr>
          <w:rFonts w:ascii="Arial" w:cs="Arial" w:eastAsia="Arial" w:hAnsi="Arial"/>
          <w:sz w:val="18"/>
          <w:szCs w:val="18"/>
          <w:i w:val="1"/>
          <w:iCs w:val="1"/>
          <w:color w:val="auto"/>
        </w:rPr>
        <w:t>“Interest.”</w:t>
      </w:r>
    </w:p>
    <w:p>
      <w:pPr>
        <w:spacing w:after="0" w:line="15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819" w:right="239" w:bottom="1440" w:gutter="0" w:footer="0" w:header="0"/>
        </w:sectPr>
      </w:pPr>
    </w:p>
    <w:bookmarkStart w:id="77" w:name="page78"/>
    <w:bookmarkEnd w:id="77"/>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Our business plan contemplates continued significant investments related to modernizing our fleet, improving the experience of our customers and updating our facilities. Significant capital resources will be required to execute this plan. We estimate that, based on our commitments as of September 30, 2018, our planned aggregate expenditures for aircraft purchase commitments and certain engines on a consolidated basis for calendar years 2018-2022 would be approximately $8.4 billion. Accordingly, we will need substantial financing or other capital resources to finance such aircraft and engines. If we are unable to arrange financing for such aircraft at customary advance rates and on terms and conditions acceptable to us, we may need to use cash from operations or cash on hand to purchase such aircraft or may seek to negotiate deferrals for such aircraft with the aircraft manufacturers. Depending on numerous factors, many of which are out of our control, such as the state of the domestic and global economies, the capital and credit markets’ view of our prospects and the airline industry in general, and the general availability of debt and equity capital at the time we seek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16"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The minimum funding obligation applicable to our pension plans was subject to favorable temporary funding rules that expired at the end of 2017. Our minimum pension funding obligations are likely to increase materially beginning in 2019, when we will be required to make cash contributions corresponding to determinations made regarding the 2018 fiscal year. In addition, we may have significant obligations for other postretirement benefits, retiree medical and other postretirement benefits.</w:t>
      </w:r>
    </w:p>
    <w:p>
      <w:pPr>
        <w:spacing w:after="0" w:line="214"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credit card processor, but for which we have not yet provided the air transportation. We are not currently required to maintain any holdbacks pursuant to these requirements. These holdback requirements can be modified at the discretion of the credit card processing companies upon the occurrence of specific events, including material adverse changes in our financial condition. An increase in the current holdbacks, up to and including 100% of relevant advanced ticket sales, could materially reduce our liquidity. Likewise, other of our commercial agreements contain provisions that allow other entities to impose less-favorable terms, including the acceleration of amounts due, in the event of material adverse changes in our financial condition.</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w:t>
      </w:r>
    </w:p>
    <w:p>
      <w:pPr>
        <w:spacing w:after="0" w:line="112" w:lineRule="exact"/>
        <w:rPr>
          <w:sz w:val="20"/>
          <w:szCs w:val="20"/>
          <w:color w:val="auto"/>
        </w:rPr>
      </w:pPr>
    </w:p>
    <w:p>
      <w:pPr>
        <w:jc w:val="both"/>
        <w:ind w:right="20" w:firstLine="216"/>
        <w:spacing w:after="0" w:line="253"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2017 Form 10-K.</w:t>
      </w:r>
    </w:p>
    <w:p>
      <w:pPr>
        <w:spacing w:after="0" w:line="15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819" w:right="239" w:bottom="1440" w:gutter="0" w:footer="0" w:header="0"/>
        </w:sectPr>
      </w:pPr>
    </w:p>
    <w:bookmarkStart w:id="78" w:name="page79"/>
    <w:bookmarkEnd w:id="78"/>
    <w:p>
      <w:pPr>
        <w:jc w:val="both"/>
        <w:ind w:firstLine="216"/>
        <w:spacing w:after="0" w:line="254"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See also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2017 Form 10-K.</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inability to maintain labor costs at competitive levels would harm our financial performance.</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Currently, we believe our labor costs are competitive relative to the other large network carriers. However, we cannot provide assurance that labor costs going forward will remain competitive because we are in negotiations for some new agreements now and other agreements may become amendable, competitors may significantly reduce their labor costs or we may agree to higher-cost provisions unilaterally or in connection with our current or future labor negotiations, such as the employee profit sharing program we instituted effective January 1, 2016, the mid-contract adjustment we provided to our flight attendants and pilots in 2017 and the $1,000 per employee one-time bonus we announced on January 2, 2018. As of December 31, 2017, approximately 85% of our employees were represented for collective bargaining purposes by labor unions. Some of our unions have brought and may continue to bring grievances to binding arbitration, including those related to wages. Unions may also bring court actions and may seek to compel us to engage in bargaining processes where we believe we have no such obligation. If successful, there is a risk these judicial or arbitral avenues could create material additional costs that we did not anticipate.</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operate principally through hubs in Charlotte, Chicago, Dallas/Fort Worth, Los Angeles, Miami, New York, Philadelphia, Phoenix and Washington, D.C. Substantially all of our flights either originate in or fly into one of these locations. A significant interruption or disruption in service at one of our hubs or other airports where we have a significant presence, such as LHR, resulting from air traffic control (ATC) delays, weather conditions, natural disasters, growth constraints, relations with third-party service providers (such as electric utility or telecommunications providers), failure of computer systems, disruptions at airport facilities or other key facilities used by us to manage our operations, labor relations, power supplies, fuel supplies, terrorist activities, or otherwise could result in the cancellation or delay of a significant portion of our flights and, as a result, could have a severe impact on our business, results of operations and financial condition. We have minimal control over the operation, quality or maintenance of these services or whether vendors will improve or continue to provide services that are essential to our business.</w:t>
      </w:r>
    </w:p>
    <w:p>
      <w:pPr>
        <w:spacing w:after="0" w:line="218"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we are not always able to ensure that our plans for new service can be implemented in a commercially viable manner, given operating constraints at airports throughout our network, including due to inadequate facilities at desirable airports. Further, our operating costs at airports at which we operate, including our hubs, may increase significantly because of capital improvements at such airports that we may be required to fund, directly or indirectly. Additionally, there is presently a significant amount of capital spending underway at major airports in the United States that we serve, and that spending is expected to result in increased costs to airlines and the traveling public that use those facilities as the airports seek to recover these investments through increased rental, landing and other facility costs. In some circumstances, such costs could be imposed by the relevant airport authority without our approval.</w:t>
      </w:r>
    </w:p>
    <w:p>
      <w:pPr>
        <w:spacing w:after="0" w:line="15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served by us are regulated by governmental entities through the use of slots or similar regulatory mechanisms that limit the rights of carriers to conduct operations at those airports. Each slot represents the authorization to land at or take off from the particular airport during a specified time period and may have other operational restrictions as well. In the U.S., the DOT and the Federal Aviation Administration (FAA) currently regulate the allocation of slots or slot exemptions at Ronald Reagan Washington National Airport (DCA) and two New York City airports: John F. Kennedy International Airport (JFK) and La Guardia Airport (LGA). In addition to slot restrictions, operations at LGA and DCA are also limited based on the stage length of the flight. Our operations at these airports generally require the allocation of slots or similar regulatory authority. Similarly, our operations at international airports in Beijing, Frankfurt, LHR, Paris, Tokyo and other airports outside the U.S. are regulated by local slot authorities pursuant to the International Airline Trade Association (IATA)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760" w:right="239" w:bottom="1440" w:gutter="0" w:footer="0" w:header="0"/>
        </w:sectPr>
      </w:pPr>
    </w:p>
    <w:bookmarkStart w:id="79" w:name="page80"/>
    <w:bookmarkEnd w:id="79"/>
    <w:p>
      <w:pPr>
        <w:jc w:val="both"/>
        <w:spacing w:after="0" w:line="252" w:lineRule="auto"/>
        <w:rPr>
          <w:sz w:val="20"/>
          <w:szCs w:val="20"/>
          <w:color w:val="auto"/>
        </w:rPr>
      </w:pPr>
      <w:r>
        <w:rPr>
          <w:rFonts w:ascii="Arial" w:cs="Arial" w:eastAsia="Arial" w:hAnsi="Arial"/>
          <w:sz w:val="18"/>
          <w:szCs w:val="18"/>
          <w:color w:val="auto"/>
        </w:rPr>
        <w:t>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We cannot provide any assurance that regulatory changes regarding the allocation of slots or similar regulatory authority will not have a material adverse impact on our operations.</w:t>
      </w:r>
    </w:p>
    <w:p>
      <w:pPr>
        <w:spacing w:after="0" w:line="15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ability to provide service can also be impaired at airports, such as Chicago O'Hare International Airport (ORD) and Los Angeles International Airport, where the airport gate and other facilities are inadequate to accommodate all of the service that we would like to provide, or airports such as Dallas Love Field Airport where we have no access to gates at all.</w:t>
      </w:r>
    </w:p>
    <w:p>
      <w:pPr>
        <w:spacing w:after="0" w:line="14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201"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primarily under capacity purchase agreements. Due to our reliance on third parties to provide these essential services, we are subject to the risk of disruptions to their operations, which may result from many of the same risk factors disclosed in this report, such as the impact of adverse economic conditions, the inability of third parties to hire or retain necessary personnel, including in particular pilots, and other risk factors, such as an out-of-court or bankruptcy restructuring of any of our regional operators. Many of these third-party regional operators provide significant regional capacity that we would be unable to replace in a short period of time should that operator fail to perform its obligations to us. Volatility in fuel prices, disruptions to capital markets and adverse economic conditions in general have subjected certain of these third-party regional operators to significant financial pressures, which have in the past and may in the future lead to bankruptcies among these operators. We may also experience disruption to our regional operations if we terminate the capacity purchase agreement with one or more of our current operators and transition the services to another provider. Any significant disruption to our regional operations would have a material adverse effect on our business, results of operations and financial condition.</w:t>
      </w:r>
    </w:p>
    <w:p>
      <w:pPr>
        <w:spacing w:after="0" w:line="15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provision of information technology and services, regional operations, aircraft maintenance, ground services and facilities, reservations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211"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The commercial relationships that we have with airlines, including any related equity investment, may not produce the returns or results we expect.</w:t>
      </w:r>
    </w:p>
    <w:p>
      <w:pPr>
        <w:spacing w:after="0" w:line="4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An important part of our strategy to expand our network has been to expand our commercial relationships with other airlines, such as global alliance, joint business and code share relationships, and, in one recent instance, make a significant equity investment in another airline in connection with initiating such a commercial relationship. We may explore similar non-controlling investments in, and joint ventures and strategic alliances with, other carriers as part of our global business strategy. We face competition in forming these commercial relationships since there are a limited number of potential arrangements and other airlines are looking to enter into similar relationships. Any such existing or future investment could involve significant challenges and risks, including that we may not realize a satisfactory return on our investment or that they may not generate the expected revenue synergies. These events could have a material adverse effect on our business, results of operations and financial condition.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60" w:right="239" w:bottom="1440" w:gutter="0" w:footer="0" w:header="0"/>
        </w:sectPr>
      </w:pPr>
    </w:p>
    <w:bookmarkStart w:id="80" w:name="page81"/>
    <w:bookmarkEnd w:id="80"/>
    <w:p>
      <w:pPr>
        <w:ind w:left="22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We rely on third-party distribution channels, including those provided by or through global distribution systems (GDSs) (e.g., Amadeus, Sabre and Travelport), conventional travel agents and online travel agents (OTAs) (e.g., Expedia, including its booking sites Orbitz and Travelocity, and The Priceline Group), to distribute a significant portion of our airline tickets, and we expect in the future to continue to rely on these channels and hope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our distribution channels, while maintaining an industry-competitive cost structure. These imperatives may affect our relationships with GDSs and OTAs, including as consolidation of OTAs continues or is proposed to continue. Further, as distribution technology changes we will need to continue to update our technology either by acquiring new technology from third parties, building the functionality ourselves, or a combination, which in any event will likely entail significant technological and commercial risk and involve potentially material investments.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16"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the DOT, the FAA, the Transportation Security Administration (TSA) and the Department of Homeland Security have issued a number of directives and other regulations, that affect the airline industry. These requirements impose substantial costs on us and restrict the ways we may conduct our business.</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The FAA also exercises comprehensive 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w:t>
      </w:r>
    </w:p>
    <w:p>
      <w:pPr>
        <w:spacing w:after="0" w:line="1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DOT consumer rules that took effect in 2010 require procedures for customer handling during long onboard delays, further regulate airline interactions with passengers through the ticketing process, at the airport, and onboard the aircraft, and require disclosures concerning airline fares and ancillary fees such as baggage fees. Other DOT rules apply to post-ticket purchase price increases and an expansion of tarmac delay regulations to international airlines.</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42" w:lineRule="exact"/>
        <w:rPr>
          <w:sz w:val="20"/>
          <w:szCs w:val="20"/>
          <w:color w:val="auto"/>
        </w:rPr>
      </w:pPr>
    </w:p>
    <w:p>
      <w:pPr>
        <w:ind w:left="1300" w:hanging="644"/>
        <w:spacing w:after="0" w:line="262"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fees that can be charged to passengers;</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819" w:right="239" w:bottom="1440" w:gutter="0" w:footer="0" w:header="0"/>
        </w:sectPr>
      </w:pPr>
    </w:p>
    <w:bookmarkStart w:id="81" w:name="page82"/>
    <w:bookmarkEnd w:id="81"/>
    <w:p>
      <w:pPr>
        <w:ind w:left="1300" w:right="20" w:hanging="644"/>
        <w:spacing w:after="0" w:line="262"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United States National Airspace System (the ATC system) is not successfully modernizing to meet the growing demand for U.S. air travel. Air traffic controllers rely on outdated procedures and technologies that routinely compel airlines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159"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ATC modernization, generally referred to as “NextGen,” has been plagued by delays and cost overruns, and it remains uncertain when the full array of benefits expected from ATC modernization will be available to the public and the airlines. Failure to update the ATC system in a timely manner and the substantial funding requirements that may be imposed on airlines of a modernized ATC system may have a material adverse effect on our business.</w:t>
      </w:r>
    </w:p>
    <w:p>
      <w:pPr>
        <w:spacing w:after="0" w:line="15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Bilateral and multilateral agreements among the U.S. and various foreign governments of countries we serve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routes, such an event could have a material adverse impact on us and could result in the impairment of material amounts of our related tangible and intangible assets. In addition, competition from revenue-sharing joint ventures, JBAs, and other alliance arrangements by and among other airlines could impair the value of our business and assets on the open skies routes.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LHR. As a result of the agreement, we face increased competition in these markets, including LHR. The pending withdrawal of the United Kingdom from the EU, commonly referred to as Brexit, will mandate further modification in the current regulatory regime. Among other things, Brexit will likely require a transition arrangement or new air services agreement involving the U.S. and United Kingdom, and the United Kingdom and EU, to permit our current air services (including those involving our joint business and code share partners) to continue as we currently conduct them. More generally, changes in U.S. or foreign government aviation policies could result in the alteration or termination of such agreements, diminish the value of route authorities, slots or other assets located abroad, or otherwise adversely affect our international operations. The U.S. government has negotiated “open skies” agreements with many countries, which allow unrestricted route authority access between the U.S. and the foreign markets. While the U.S. has worked to increase the number of countries with which open skies agreements are in effect, a number of markets important to us, including China, do not have open skies agreements.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60" w:right="239" w:bottom="1440" w:gutter="0" w:footer="0" w:header="0"/>
        </w:sectPr>
      </w:pPr>
    </w:p>
    <w:bookmarkStart w:id="82" w:name="page83"/>
    <w:bookmarkEnd w:id="82"/>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operating expenses, they represent an additional cost to our customers. There are continuing efforts in Congress and in other countries to raise different portions of the various taxes, fees, and charges imposed on airlines and their passengers, and we may not be able to recover all of these charges from our customers. Increases in such taxes, fees and charges could negatively impact our business, results of operations and financial condition.</w:t>
      </w:r>
    </w:p>
    <w:p>
      <w:pPr>
        <w:spacing w:after="0" w:line="15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U.S. tax legislation may adversely affect our financial condition, results of operations and cash flows.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Recently enacted U.S. tax legislation has significantly changed the U.S. federal income taxation of U.S. corporations, including by reducing the U.S. corporate income tax rate, limiting interest deductions, permitting immediate expensing of certain capital expenditures, adopting elements of a territorial tax system, revising the rules governing NOLs and the rules governing foreign tax credits and introducing new anti-base erosion provisions. Many of these changes became effective immediately, without any transition periods or grandfathering for existing transactions. The legislation is unclear in many respects and could be subject to potential amendments and technical corrections, as well as interpretations and implementation regulations by the Treasury and Internal Revenue Service, any of which could materially affect the impacts of the legislation. In addition, it is unclear how these U.S. federal income tax changes will affect state and local taxation, which often uses federal taxable income as a starting point for computing state and local tax liabilities. While some of the changes made by the tax legislation may adversely affect us in one or more reporting periods and prospectively, other changes may be beneficial on a going forward basis. We continue to work with our tax advisors to determine the full impact of this legislation on us.</w:t>
      </w:r>
    </w:p>
    <w:p>
      <w:pPr>
        <w:spacing w:after="0" w:line="15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See Note 7 to AAG’s Condensed Consolidated Financial Statements in Part I, Item 1A and Note 5 to American’s Condensed Consolidated Financial Statements in Part I, Item 1B for additional information on income taxes.</w:t>
      </w:r>
    </w:p>
    <w:p>
      <w:pPr>
        <w:spacing w:after="0" w:line="201"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have recently instituted, and intend to institute in the future, changes to our business model to increase revenues and offset costs. These measures include premium economy service, basic economy service and other low-cost fares, enhancements to our AAdvantage loyalty program, charging separately for services that had previously been included within the price of a ticket and increasing other pre-existing fees. We may introduce additional initiatives in the future; however, as time goes on, we expect that it will be more difficult to identify and implement additional initiatives. We cannot assure you that these measures or any future initiatives will be successful in increasing our revenues. Additionally, the implementation of these initiatives may create logistical challenges that could harm the operational performance of our airline. Also, any new and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18"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819" w:right="239" w:bottom="1440" w:gutter="0" w:footer="0" w:header="0"/>
        </w:sectPr>
      </w:pPr>
    </w:p>
    <w:bookmarkStart w:id="83" w:name="page84"/>
    <w:bookmarkEnd w:id="83"/>
    <w:p>
      <w:pPr>
        <w:ind w:left="260"/>
        <w:spacing w:after="0" w:line="287"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215"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United Kingdom held a referendum in June 2016 regarding its membership in the EU in which a majority of the United Kingdom electorate voted in favor of the British government taking the necessary action for the United Kingdom to leave the EU, commonly referred to as Brexit. In March 2017, the United Kingdom served notice of its decision to withdraw to the EU, formally initiating the withdrawal process. Serving this notice began the two-year period for the United Kingdom to negotiate the terms for its withdrawal from the EU. At this time, it is not certain what steps may be taken to facilitate the United Kingdom’s exit from the EU. The implications of the United Kingdom withdrawing from the EU are similarly unclear at present because it is unclear what relationship the United Kingdom will have with the EU after withdrawal. We face risks associated with the uncertainty following the referendum and the consequences that may flow from the decision to exit the EU, notably given the extent of our passenger and cargo traffic and that of our joint business partners that flows through LHR in the United Kingdom. Among other things, Brexit will likely require a transition arrangement or new air services agreement involving the U.S. and United Kingdom, and the United Kingdom and EU, to permit our current air services (including those involving our joint business and code share partners) to continue as we currently conduct them. Moreover, the exit of the United Kingdom from the EU could adversely affect European or worldwide economic or market conditions and could contribute to further instability in global financial markets. In addition, the exit of the United Kingdom from the EU has created uncertainty as to the future trade relationship between the EU and the United Kingdom, including as to air traffic services. The exit of the United Kingdom could also lead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819" w:right="239" w:bottom="1440" w:gutter="0" w:footer="0" w:header="0"/>
        </w:sectPr>
      </w:pPr>
    </w:p>
    <w:bookmarkStart w:id="84" w:name="page85"/>
    <w:bookmarkEnd w:id="84"/>
    <w:p>
      <w:pPr>
        <w:jc w:val="both"/>
        <w:spacing w:after="0" w:line="252" w:lineRule="auto"/>
        <w:rPr>
          <w:sz w:val="20"/>
          <w:szCs w:val="20"/>
          <w:color w:val="auto"/>
        </w:rPr>
      </w:pPr>
      <w:r>
        <w:rPr>
          <w:rFonts w:ascii="Arial" w:cs="Arial" w:eastAsia="Arial" w:hAnsi="Arial"/>
          <w:sz w:val="18"/>
          <w:szCs w:val="18"/>
          <w:color w:val="auto"/>
        </w:rPr>
        <w:t>aviation, labor, environmental, data protection/privacy, competition and other matters applicable to the provision of air transportation services by us or our alliance, joint business or codeshare partners. For example, in light of Brexit and the related possibility that the EC would no longer have responsibility for the United Kingdom when existing regulatory commitments are scheduled to expire in 2020, the United Kingdom CMA in October 2018 opened an investigation into our transatlantic JBA. The impact on our business of any treaties, laws and regulations that replace the existing EU counterparts cannot be predicted. Any of these effects, and others we cannot anticipate, could materially adversely affect our business, results of operations and financial condition.</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 directly attributable to us. We have liability for investigation and remediation costs at various sites, although such costs currently are not expected to have a material adverse effect on our business.</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in some cases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to reduce emissions of greenhouse gases.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There is increasing global regulatory focus on climate change and greenhouse gas (GHG) emissions. Efforts by the EU in 2009 to regulate flights arriving from or departing for airports outside of the EU have been postponed as members of the International Civil Aviation Organization (ICAO) are negotiating a global agreement on GHG emissions from the aviation sector. On October 6, 2016, the ICAO passed a resolution adopting the Carbon Offsetting and Reduction Scheme for International Aviation (CORSIA), which is a global, market-based emissions offset program to encourage carbon-neutral growth beyond 2020. The CORSIA was supported by the board of Airlines for America (the principal U.S. airline trade association) and IATA (the principal international airline trade association), and by American and many other U.S. and foreign airlines. On June 27, 2018, the ICAO adopted standards pertaining to the collection and sharing of information on international aviation emissions beginning in 2019. The CORSIA will increase operating costs for American and most other airlines, including other U.S. airlines that operate internationally, but the implementation of a global program, as compared to regional emission reduction schemes, should ensure that these costs will be more evenly applied to American and its competitors since there will be a common global regulatory regime. The CORSIA is expected to be implemented in phases, with information collection and sharing beginning in 2019 and phase I beginning in 2021. Certain details still need to be developed and the impact of the CORSIA cannot be fully predicted. While we do not anticipate any significant emissions allowance expenditures in 2018, compliance with the CORSIA or similar emissions-related requirements could significantly increase our operating costs beginning in 2019 and beyond. The potential impact of the CORSIA or other emissions-related requirements on our costs will ultimately depend on a number of factors, including baseline emissions, the price of emission allowances or offsets that American would need to acquire, the GHG efficiency of the American fleet, and the number of future American flights subject to such emissions-related requirements. These costs have not been completely defined and could fluctuate.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60" w:right="239" w:bottom="1440" w:gutter="0" w:footer="0" w:header="0"/>
        </w:sectPr>
      </w:pPr>
    </w:p>
    <w:bookmarkStart w:id="85" w:name="page86"/>
    <w:bookmarkEnd w:id="85"/>
    <w:p>
      <w:pPr>
        <w:jc w:val="both"/>
        <w:ind w:firstLine="216"/>
        <w:spacing w:after="0" w:line="253" w:lineRule="auto"/>
        <w:rPr>
          <w:sz w:val="20"/>
          <w:szCs w:val="20"/>
          <w:color w:val="auto"/>
        </w:rPr>
      </w:pPr>
      <w:r>
        <w:rPr>
          <w:rFonts w:ascii="Arial" w:cs="Arial" w:eastAsia="Arial" w:hAnsi="Arial"/>
          <w:sz w:val="18"/>
          <w:szCs w:val="18"/>
          <w:color w:val="auto"/>
        </w:rPr>
        <w:t>In addition, in December 2015, at the 21st Conference of the Parties to the United Nations Framework Convention on Climate Change, over 190 countries, including the United States, reached an agreement (the Paris Agreement) to reduce GHG emissions. While the United States has since announced that it will withdraw from the Paris Agreement and there is no express reference to aviation in that agreement, to the extent countries implement that Agreement or impose other climate change regulations, either with respect to the aviation industry or with respect to related industries such as the aviation fuel industry, it could have an adverse direct or indirect effect on our business.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2018 or potentially 2019, the Environmental Protection Agency (EPA) is expected to finalize a rule implementing aircraft engine GHG emission standards developed initially through ICAO. It is anticipated that the EPA rule will closely align with recent ICAO carbon dioxide emission standards. The new standards, which were supported by the airline industry and manufacturers, would apply to new type aircraft certified beginning in 2020, and would be phased in for newly manufactured existing aircraft type designs starting in 2023.</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addition, several states have adopted or are considering initiatives to regulate emissions of GHGs, primarily through the planned development of GHG emissions inventories, regional GHG cap and trade programs or low carbon fuels programs. Depending on the scope of such regulation, certain of our facilities and operations, or the operations of our suppliers, may be subject to additional operating and other permit requirements, likely resulting in increased operating costs.</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These regulatory efforts, both internationally and in the U.S. at the federal and state levels, are still developing, and we cannot yet determine what the final regulatory programs or their impact will be in the U.S., the EU or in other areas in which we do business. 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Among the principal risks of integrating our businesses and operations are the risks relating to integrating various computer, communications and other technology systems that are necessary to operate US Airways and American as a single integrated business and to achieve cost synergies by eliminating redundancies. While we have to date successfully integrated several of our systems, including our customer reservations system and our pilot and fleet scheduling system, we still have to complete several additional important system integration projects. The integration of these systems in a number of prior airline mergers has taken longer, been more disruptive and cost more than originally forecast. The implementation process to integrate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5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cannot assure you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09"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60" w:right="239" w:bottom="1440" w:gutter="0" w:footer="0" w:header="0"/>
        </w:sectPr>
      </w:pPr>
    </w:p>
    <w:bookmarkStart w:id="86" w:name="page87"/>
    <w:bookmarkEnd w:id="86"/>
    <w:p>
      <w:pPr>
        <w:jc w:val="both"/>
        <w:ind w:firstLine="216"/>
        <w:spacing w:after="0" w:line="252" w:lineRule="auto"/>
        <w:rPr>
          <w:sz w:val="20"/>
          <w:szCs w:val="20"/>
          <w:color w:val="auto"/>
        </w:rPr>
      </w:pPr>
      <w:r>
        <w:rPr>
          <w:rFonts w:ascii="Arial" w:cs="Arial" w:eastAsia="Arial" w:hAnsi="Arial"/>
          <w:sz w:val="18"/>
          <w:szCs w:val="18"/>
          <w:color w:val="auto"/>
        </w:rPr>
        <w:t>Our technologies and automated systems cannot be completely protected against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you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14" w:lineRule="exact"/>
        <w:rPr>
          <w:sz w:val="20"/>
          <w:szCs w:val="20"/>
          <w:color w:val="auto"/>
        </w:rPr>
      </w:pPr>
    </w:p>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 modern world where news can be captured and travel rapidly, we are at risk of adverse publicity stemming from any public incident involving our company, our people or our brand. Such an incident could involve the alleged behavior of any of our more than 100,000 employees. Further, if our personnel or one of our aircraft, or personnel of, or an aircraft that is operated under our brand by, one of our regional operators or an airline with which we have a marketing alliance, joint business or codeshare relationship, were to be involved in a public incident, accident or catastrophe, we could be exposed to significant reputational harm and potential legal liability. The insurance we carry may be inapplicable or inadequate to cover any such incident, accident or catastrophe. In the event that our insurance is inapplicable or not adequate, we may be forced to bear substantial losses from an incident or accident. In addition, any such incident, accident or catastrophe involving our personnel or one of our aircraft (or personnel and aircraft of our regional operators and our codeshare partners)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7"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4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These suppliers continue to consolidate as evidenced by the pending United Technologies acquisition of Rockwell Collins, the recently completed transaction involving Airbus and Bombardier and the recently announced transaction involving Boeing and Embraer. Due to the limited number of these suppliers, we are vulnerable to any problems associated with the performance of their obligation to supply key aircraft, parts and engines, including design defects, mechanical problems, contractual performance by suppliers, or adverse perception by the public that would result in customer avoidance or in actions by the FAA resulting in an inability to operate our aircraft.</w:t>
      </w:r>
    </w:p>
    <w:p>
      <w:pPr>
        <w:spacing w:after="0" w:line="214" w:lineRule="exact"/>
        <w:rPr>
          <w:sz w:val="20"/>
          <w:szCs w:val="20"/>
          <w:color w:val="auto"/>
        </w:rPr>
      </w:pPr>
    </w:p>
    <w:p>
      <w:pPr>
        <w:jc w:val="both"/>
        <w:ind w:left="260"/>
        <w:spacing w:after="0" w:line="287"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40"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142" w:lineRule="exact"/>
        <w:rPr>
          <w:sz w:val="20"/>
          <w:szCs w:val="20"/>
          <w:color w:val="auto"/>
        </w:rPr>
      </w:pPr>
    </w:p>
    <w:p>
      <w:pPr>
        <w:ind w:left="1300" w:hanging="644"/>
        <w:spacing w:after="0" w:line="262"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760" w:right="239" w:bottom="1440" w:gutter="0" w:footer="0" w:header="0"/>
        </w:sectPr>
      </w:pPr>
    </w:p>
    <w:bookmarkStart w:id="87" w:name="page88"/>
    <w:bookmarkEnd w:id="87"/>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actual or potential disruptions to the ATC systems;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particular, an outbreak of a contagious disease such as the Ebola virus, Middle East Respiratory Syndrome, Severe Acute Respiratory Syndrome, H1N1 influenza virus, avian flu, Zika virus or any other similar illness, if it were to become associated with air travel or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14" w:lineRule="exact"/>
        <w:rPr>
          <w:sz w:val="20"/>
          <w:szCs w:val="20"/>
          <w:color w:val="auto"/>
        </w:rPr>
      </w:pPr>
    </w:p>
    <w:p>
      <w:pPr>
        <w:jc w:val="both"/>
        <w:ind w:left="260" w:right="20"/>
        <w:spacing w:after="0" w:line="269"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requirements for commercial airline pilots, reductions in the number of military pilots entering the commercial workforce and other factors have caused a shortage of pilots that could materially adversely affect our business.</w:t>
      </w:r>
    </w:p>
    <w:p>
      <w:pPr>
        <w:spacing w:after="0" w:line="5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currently have a higher than normal number of pilots eligible for retirement. Large numbers of pilots in the industry are approaching the FAA’s mandatory retirement age of 65. Further, in July 2013, the FAA issued regulations that increased the flight hours required for pilots working for airlines certificated under Part 121 of the Federal Aviation Regulations. In addition, on January 4, 2014, more stringent pilot flight and duty time requirements under Part 117 of the Federal Aviation Regulations took effect. These and other factors, including reductions in the number of military pilots being trained by the U.S. armed forces and available as commercial pilots upon their retirement from military service,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760" w:right="239" w:bottom="1440" w:gutter="0" w:footer="0" w:header="0"/>
        </w:sectPr>
      </w:pPr>
    </w:p>
    <w:bookmarkStart w:id="88" w:name="page89"/>
    <w:bookmarkEnd w:id="88"/>
    <w:p>
      <w:pPr>
        <w:ind w:left="260" w:right="20"/>
        <w:spacing w:after="0" w:line="287"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II, Item 1. Legal Proceedings.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NOLs carried over from prior taxable years (NOL Carryforwards). As of December 31, 2017, we had available NOL Carryforwards of approximately $10.0 billion for regular federal income tax purposes that will expire, if unused, beginning in 2022, and approximately $3.4 billion for state income tax purposes that will expire, if unused, between 2018 and 2037. Our NOL Carryforwards are subject to adjustment on audit by the Internal Revenue Service and the respective state taxing authorities.</w:t>
      </w:r>
    </w:p>
    <w:p>
      <w:pPr>
        <w:spacing w:after="0" w:line="15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We experienced an ownership change in connection with our emergence from the Chapter 11 Cases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$8.4 billion of unlimited NOL still remaining at December 31, 2017) of our federal NOL Carryforwards to be utilized without regard to the annual limitation generally imposed by Section 382. If the special rules are determined not to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5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Restated Certificate of Incorporation (Certificate of Incorporation) contains transfer restrictions applicable to certain substantial stockholders.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w:t>
      </w:r>
    </w:p>
    <w:p>
      <w:pPr>
        <w:spacing w:after="0" w:line="155"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819" w:right="239" w:bottom="1440" w:gutter="0" w:footer="0" w:header="0"/>
        </w:sectPr>
      </w:pPr>
    </w:p>
    <w:bookmarkStart w:id="89" w:name="page90"/>
    <w:bookmarkEnd w:id="89"/>
    <w:p>
      <w:pPr>
        <w:ind w:left="260"/>
        <w:spacing w:after="0" w:line="287"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price of AAG common stock has recently been and may in the future be volatile.</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market price of AAG common stock may fluctuate substantially due to a variety of factors, many of which are beyond our control, including:</w:t>
      </w:r>
    </w:p>
    <w:p>
      <w:pPr>
        <w:spacing w:after="0" w:line="142"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AAG’s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movements in fuel prices;</w:t>
      </w:r>
    </w:p>
    <w:p>
      <w:pPr>
        <w:spacing w:after="0" w:line="171"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existing or potential future share repurchase programs and any future dividend payments that may be declared by our Board of Directors, or any determination to cease repurchasing stock or paying dividends;</w:t>
      </w:r>
    </w:p>
    <w:p>
      <w:pPr>
        <w:spacing w:after="0" w:line="147"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distributions of shares of AAG common stock pursuant to the Plan, including distributions from the disputed claims reserve established under the plan of reorganization upon the resolution of the underlying claims;</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convertible securities, options, warrants, restricted stock unit awards, stock appreciation rights, or similar rights;</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819" w:right="239" w:bottom="1440" w:gutter="0" w:footer="0" w:header="0"/>
        </w:sectPr>
      </w:pPr>
    </w:p>
    <w:bookmarkStart w:id="90" w:name="page91"/>
    <w:bookmarkEnd w:id="90"/>
    <w:p>
      <w:pPr>
        <w:jc w:val="both"/>
        <w:ind w:left="260"/>
        <w:spacing w:after="0" w:line="269" w:lineRule="auto"/>
        <w:rPr>
          <w:sz w:val="20"/>
          <w:szCs w:val="20"/>
          <w:color w:val="auto"/>
        </w:rPr>
      </w:pPr>
      <w:r>
        <w:rPr>
          <w:rFonts w:ascii="Arial" w:cs="Arial" w:eastAsia="Arial" w:hAnsi="Arial"/>
          <w:sz w:val="18"/>
          <w:szCs w:val="18"/>
          <w:b w:val="1"/>
          <w:bCs w:val="1"/>
          <w:i w:val="1"/>
          <w:iCs w:val="1"/>
          <w:color w:val="auto"/>
        </w:rPr>
        <w:t>We cannot guarantee that we will continue to repurchase our common stock or pay dividends on our common stock or that our capital deployment program will enhance long-term stockholder value. Our capital deployment program could increase the volatility of the price of our common stock and diminish our cash reserves.</w:t>
      </w:r>
    </w:p>
    <w:p>
      <w:pPr>
        <w:spacing w:after="0" w:line="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Since July 2014, as part of our capital deployment program, our Board of Directors has approved seven share repurchase programs aggregating $13.0 billion of authority. As of September 30, 2018, there was $1.7 billion remaining authority to repurchase shares under our share repurchase programs. Share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at any time at our discretion. The timing and amount of repurchases, if any, will be subject to market and economic conditions, applicable legal requirements and other relevant factors. Our repurchase of common stock may be limited, suspended or discontinued at any time without prior notice.</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Although our Board of Directors commenced declaring quarterly cash dividends in July 2014 as part of our capital deployment program,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at any time at our discretion.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be able to pay dividends in the future.</w:t>
      </w:r>
    </w:p>
    <w:p>
      <w:pPr>
        <w:spacing w:after="0" w:line="153"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addition, any future repurchases of AAG common stock or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common stock or dividends will diminish our cash reserves, which may impact our ability to finance future growth and to pursue possible future strategic opportunities and acquisitions. Further, our repurchase of common stock may fluctuate such that our cash flow may be insufficient to fully cover our share repurchases. Although our share repurchase programs are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211"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provisions of our Certificate of Incorporation and Second Amended and Restated Bylaws (Bylaws)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48"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holders are restricted from calling a special meeting unless they hold at least 20% of our outstanding shares and follow the procedures provided for in the amended Bylaws;</w:t>
      </w:r>
    </w:p>
    <w:p>
      <w:pPr>
        <w:spacing w:after="0" w:line="142"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819" w:right="239" w:bottom="1440" w:gutter="0" w:footer="0" w:header="0"/>
        </w:sectPr>
      </w:pPr>
    </w:p>
    <w:bookmarkStart w:id="91" w:name="page92"/>
    <w:bookmarkEnd w:id="91"/>
    <w:p>
      <w:pPr>
        <w:jc w:val="both"/>
        <w:ind w:firstLine="216"/>
        <w:spacing w:after="0" w:line="252"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12"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4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Certificate of Incorporation and Bylaws include certain provisions that limit voting and ownership and disposition of our equity interests.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2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r>
      <w:tr>
        <w:trPr>
          <w:trHeight w:val="21"/>
        </w:trPr>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Fifth Amendment to the Amended and Restated Credit and Guaranty Agreement, dated as of September 17, 2018, amending the</w:t>
              </w:r>
            </w:hyperlink>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w:anchor="page94">
              <w:r>
                <w:rPr>
                  <w:rFonts w:ascii="Arial" w:cs="Arial" w:eastAsia="Arial" w:hAnsi="Arial"/>
                  <w:sz w:val="18"/>
                  <w:szCs w:val="18"/>
                  <w:color w:val="0000FF"/>
                </w:rPr>
                <w:t>Amended and Restated Credit and Guaranty Agreement, dated as of April 20, 2015, among American Airlines, Inc., American</w:t>
              </w:r>
            </w:hyperlink>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40" w:type="dxa"/>
            <w:vAlign w:val="bottom"/>
            <w:gridSpan w:val="13"/>
          </w:tcPr>
          <w:p>
            <w:pPr>
              <w:spacing w:after="0" w:line="182" w:lineRule="exact"/>
              <w:rPr>
                <w:rFonts w:ascii="Arial" w:cs="Arial" w:eastAsia="Arial" w:hAnsi="Arial"/>
                <w:sz w:val="18"/>
                <w:szCs w:val="18"/>
                <w:color w:val="0000FF"/>
              </w:rPr>
            </w:pPr>
            <w:hyperlink w:anchor="page94">
              <w:r>
                <w:rPr>
                  <w:rFonts w:ascii="Arial" w:cs="Arial" w:eastAsia="Arial" w:hAnsi="Arial"/>
                  <w:sz w:val="18"/>
                  <w:szCs w:val="18"/>
                  <w:color w:val="0000FF"/>
                </w:rPr>
                <w:t>Airlines Group Inc., the lenders from time to time party thereto, Citibank N.A., as administrative agent, and certain other parties</w:t>
              </w:r>
            </w:hyperlink>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94">
              <w:r>
                <w:rPr>
                  <w:rFonts w:ascii="Arial" w:cs="Arial" w:eastAsia="Arial" w:hAnsi="Arial"/>
                  <w:sz w:val="18"/>
                  <w:szCs w:val="18"/>
                  <w:color w:val="0000FF"/>
                </w:rPr>
                <w:t>thereto.</w:t>
              </w:r>
            </w:hyperlink>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Amendment No. 10, dated as of July 16, 2018, to the A320 Family Aircraft Purchase Agreement, dated as of July 20, 2011,</w:t>
              </w:r>
            </w:hyperlink>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105">
              <w:r>
                <w:rPr>
                  <w:rFonts w:ascii="Arial" w:cs="Arial" w:eastAsia="Arial" w:hAnsi="Arial"/>
                  <w:sz w:val="18"/>
                  <w:szCs w:val="18"/>
                  <w:color w:val="0000FF"/>
                </w:rPr>
                <w:t>between American Airlines, Inc. and Airbus S.A.S.</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Computation of ratio of earnings to fixed charges of American Airlines Group Inc. for the nine months ended September 30, 2018.</w:t>
              </w:r>
            </w:hyperlink>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0"/>
                <w:szCs w:val="20"/>
                <w:color w:val="auto"/>
              </w:rPr>
            </w:pPr>
          </w:p>
        </w:tc>
        <w:tc>
          <w:tcPr>
            <w:tcW w:w="10280" w:type="dxa"/>
            <w:vAlign w:val="bottom"/>
            <w:tcBorders>
              <w:top w:val="single" w:sz="8" w:color="0000FF"/>
            </w:tcBorders>
            <w:gridSpan w:val="11"/>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Computation of ratio of earnings to fixed charges of American Airlines, Inc. for the nine months ended September 30, 2018.</w:t>
              </w:r>
            </w:hyperlink>
          </w:p>
        </w:tc>
        <w:tc>
          <w:tcPr>
            <w:tcW w:w="160" w:type="dxa"/>
            <w:vAlign w:val="bottom"/>
            <w:gridSpan w:val="2"/>
          </w:tcPr>
          <w:p>
            <w:pPr>
              <w:spacing w:after="0"/>
              <w:rPr>
                <w:sz w:val="20"/>
                <w:szCs w:val="20"/>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0"/>
                <w:szCs w:val="20"/>
                <w:color w:val="auto"/>
              </w:rPr>
            </w:pPr>
          </w:p>
        </w:tc>
        <w:tc>
          <w:tcPr>
            <w:tcW w:w="9780" w:type="dxa"/>
            <w:vAlign w:val="bottom"/>
            <w:tcBorders>
              <w:top w:val="single" w:sz="8" w:color="0000FF"/>
            </w:tcBorders>
            <w:gridSpan w:val="10"/>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Certification of AAG Chief Executive Officer pursuant to Rule 13a-14(a).</w:t>
              </w:r>
            </w:hyperlink>
          </w:p>
        </w:tc>
        <w:tc>
          <w:tcPr>
            <w:tcW w:w="660" w:type="dxa"/>
            <w:vAlign w:val="bottom"/>
            <w:gridSpan w:val="3"/>
          </w:tcPr>
          <w:p>
            <w:pPr>
              <w:spacing w:after="0"/>
              <w:rPr>
                <w:sz w:val="20"/>
                <w:szCs w:val="20"/>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0"/>
                <w:szCs w:val="20"/>
                <w:color w:val="auto"/>
              </w:rPr>
            </w:pPr>
          </w:p>
        </w:tc>
        <w:tc>
          <w:tcPr>
            <w:tcW w:w="5700" w:type="dxa"/>
            <w:vAlign w:val="bottom"/>
            <w:tcBorders>
              <w:top w:val="single" w:sz="8" w:color="0000FF"/>
            </w:tcBorders>
            <w:gridSpan w:val="7"/>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Certification of AAG Chief Financial Officer pursuant to Rule 13a-14(a).</w:t>
              </w:r>
            </w:hyperlink>
          </w:p>
        </w:tc>
        <w:tc>
          <w:tcPr>
            <w:tcW w:w="4740" w:type="dxa"/>
            <w:vAlign w:val="bottom"/>
            <w:gridSpan w:val="6"/>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31.3</w:t>
            </w:r>
          </w:p>
        </w:tc>
        <w:tc>
          <w:tcPr>
            <w:tcW w:w="4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Certification of American Chief Executive Officer pursuant to Rule 13a-14(a).</w:t>
              </w:r>
            </w:hyperlink>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31.4</w:t>
            </w:r>
          </w:p>
        </w:tc>
        <w:tc>
          <w:tcPr>
            <w:tcW w:w="40" w:type="dxa"/>
            <w:vAlign w:val="bottom"/>
          </w:tcPr>
          <w:p>
            <w:pPr>
              <w:spacing w:after="0"/>
              <w:rPr>
                <w:sz w:val="20"/>
                <w:szCs w:val="20"/>
                <w:color w:val="auto"/>
              </w:rPr>
            </w:pPr>
          </w:p>
        </w:tc>
        <w:tc>
          <w:tcPr>
            <w:tcW w:w="6080" w:type="dxa"/>
            <w:vAlign w:val="bottom"/>
            <w:tcBorders>
              <w:top w:val="single" w:sz="8" w:color="0000FF"/>
            </w:tcBorders>
            <w:gridSpan w:val="9"/>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Certification of American Chief Financial Officer pursuant to Rule 13a-14(a).</w:t>
              </w:r>
            </w:hyperlink>
          </w:p>
        </w:tc>
        <w:tc>
          <w:tcPr>
            <w:tcW w:w="4360" w:type="dxa"/>
            <w:vAlign w:val="bottom"/>
            <w:gridSpan w:val="4"/>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0"/>
                <w:szCs w:val="20"/>
                <w:color w:val="auto"/>
              </w:rPr>
            </w:pPr>
          </w:p>
        </w:tc>
        <w:tc>
          <w:tcPr>
            <w:tcW w:w="10440" w:type="dxa"/>
            <w:vAlign w:val="bottom"/>
            <w:gridSpan w:val="13"/>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AAG Certification pursuant to Rule 13a-14(b) and section 906 of the Sarbanes-Oxley Act of 2002 (subsections (a) and (b) of</w:t>
              </w:r>
            </w:hyperlink>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2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w:anchor="page122">
              <w:r>
                <w:rPr>
                  <w:rFonts w:ascii="Arial" w:cs="Arial" w:eastAsia="Arial" w:hAnsi="Arial"/>
                  <w:sz w:val="18"/>
                  <w:szCs w:val="18"/>
                  <w:color w:val="0000FF"/>
                  <w:w w:val="99"/>
                </w:rPr>
                <w:t>section 1350, chapter 63 of title 18, United States Code).</w:t>
              </w:r>
            </w:hyperlink>
          </w:p>
        </w:tc>
        <w:tc>
          <w:tcPr>
            <w:tcW w:w="590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20"/>
                <w:szCs w:val="20"/>
                <w:color w:val="auto"/>
              </w:rPr>
            </w:pPr>
          </w:p>
        </w:tc>
        <w:tc>
          <w:tcPr>
            <w:tcW w:w="10440" w:type="dxa"/>
            <w:vAlign w:val="bottom"/>
            <w:tcBorders>
              <w:bottom w:val="single" w:sz="8" w:color="0000FF"/>
            </w:tcBorders>
            <w:gridSpan w:val="13"/>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American Certification pursuant to Rule 13a-14(b) and section 906 of the Sarbanes-Oxley Act of 2002 (subsections (a) and (b) of</w:t>
              </w:r>
            </w:hyperlink>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2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w:anchor="page123">
              <w:r>
                <w:rPr>
                  <w:rFonts w:ascii="Arial" w:cs="Arial" w:eastAsia="Arial" w:hAnsi="Arial"/>
                  <w:sz w:val="18"/>
                  <w:szCs w:val="18"/>
                  <w:color w:val="0000FF"/>
                  <w:w w:val="99"/>
                </w:rPr>
                <w:t>section 1350, chapter 63 of title 18, United States Code).</w:t>
              </w:r>
            </w:hyperlink>
          </w:p>
        </w:tc>
        <w:tc>
          <w:tcPr>
            <w:tcW w:w="5920" w:type="dxa"/>
            <w:vAlign w:val="bottom"/>
            <w:gridSpan w:val="10"/>
          </w:tcPr>
          <w:p>
            <w:pPr>
              <w:spacing w:after="0"/>
              <w:rPr>
                <w:sz w:val="15"/>
                <w:szCs w:val="15"/>
                <w:color w:val="auto"/>
              </w:rPr>
            </w:pPr>
          </w:p>
        </w:tc>
      </w:tr>
      <w:tr>
        <w:trPr>
          <w:trHeight w:val="277"/>
        </w:trPr>
        <w:tc>
          <w:tcPr>
            <w:tcW w:w="920" w:type="dxa"/>
            <w:vAlign w:val="bottom"/>
          </w:tcPr>
          <w:p>
            <w:pPr>
              <w:ind w:left="40"/>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24"/>
                <w:szCs w:val="24"/>
                <w:color w:val="auto"/>
              </w:rPr>
            </w:pPr>
          </w:p>
        </w:tc>
        <w:tc>
          <w:tcPr>
            <w:tcW w:w="10440" w:type="dxa"/>
            <w:vAlign w:val="bottom"/>
            <w:gridSpan w:val="13"/>
          </w:tcPr>
          <w:p>
            <w:pPr>
              <w:spacing w:after="0"/>
              <w:rPr>
                <w:sz w:val="20"/>
                <w:szCs w:val="20"/>
                <w:color w:val="auto"/>
              </w:rPr>
            </w:pPr>
            <w:r>
              <w:rPr>
                <w:rFonts w:ascii="Arial" w:cs="Arial" w:eastAsia="Arial" w:hAnsi="Arial"/>
                <w:sz w:val="18"/>
                <w:szCs w:val="18"/>
                <w:color w:val="auto"/>
              </w:rPr>
              <w:t>Interactive data files pursuant to Rule 405 of Regulation S-T.</w:t>
            </w:r>
          </w:p>
        </w:tc>
      </w:tr>
    </w:tbl>
    <w:p>
      <w:pPr>
        <w:spacing w:after="0" w:line="200" w:lineRule="exact"/>
        <w:rPr>
          <w:sz w:val="20"/>
          <w:szCs w:val="20"/>
          <w:color w:val="auto"/>
        </w:rPr>
      </w:pPr>
    </w:p>
    <w:p>
      <w:pPr>
        <w:spacing w:after="0" w:line="353" w:lineRule="exact"/>
        <w:rPr>
          <w:sz w:val="20"/>
          <w:szCs w:val="20"/>
          <w:color w:val="auto"/>
        </w:rPr>
      </w:pPr>
    </w:p>
    <w:p>
      <w:pPr>
        <w:ind w:left="5620" w:right="3960" w:hanging="5612"/>
        <w:spacing w:after="0" w:line="490" w:lineRule="auto"/>
        <w:tabs>
          <w:tab w:leader="none" w:pos="86"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Confidential treatment has been requested with respect to certain portions of this agreement. 91</w:t>
      </w:r>
    </w:p>
    <w:p>
      <w:pPr>
        <w:sectPr>
          <w:pgSz w:w="11900" w:h="16838" w:orient="portrait"/>
          <w:cols w:equalWidth="0" w:num="1">
            <w:col w:w="11420"/>
          </w:cols>
          <w:pgMar w:left="240" w:top="760"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American Airlines Group Inc.</w:t>
      </w:r>
    </w:p>
    <w:p>
      <w:pPr>
        <w:spacing w:after="0" w:line="396" w:lineRule="exact"/>
        <w:rPr>
          <w:sz w:val="20"/>
          <w:szCs w:val="20"/>
          <w:color w:val="auto"/>
        </w:rPr>
      </w:pPr>
    </w:p>
    <w:p>
      <w:pPr>
        <w:ind w:left="40"/>
        <w:spacing w:after="0"/>
        <w:tabs>
          <w:tab w:leader="none" w:pos="4900" w:val="left"/>
          <w:tab w:leader="none" w:pos="5540" w:val="left"/>
        </w:tabs>
        <w:rPr>
          <w:sz w:val="20"/>
          <w:szCs w:val="20"/>
          <w:color w:val="auto"/>
        </w:rPr>
      </w:pPr>
      <w:r>
        <w:rPr>
          <w:rFonts w:ascii="Arial" w:cs="Arial" w:eastAsia="Arial" w:hAnsi="Arial"/>
          <w:sz w:val="18"/>
          <w:szCs w:val="18"/>
          <w:color w:val="auto"/>
        </w:rPr>
        <w:t>Date: October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14605</wp:posOffset>
            </wp:positionV>
            <wp:extent cx="34988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39"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American Airlines, Inc.</w:t>
      </w:r>
    </w:p>
    <w:p>
      <w:pPr>
        <w:spacing w:after="0" w:line="396" w:lineRule="exact"/>
        <w:rPr>
          <w:sz w:val="20"/>
          <w:szCs w:val="20"/>
          <w:color w:val="auto"/>
        </w:rPr>
      </w:pPr>
    </w:p>
    <w:p>
      <w:pPr>
        <w:ind w:left="40"/>
        <w:spacing w:after="0"/>
        <w:tabs>
          <w:tab w:leader="none" w:pos="4900" w:val="left"/>
          <w:tab w:leader="none" w:pos="5540" w:val="left"/>
        </w:tabs>
        <w:rPr>
          <w:sz w:val="20"/>
          <w:szCs w:val="20"/>
          <w:color w:val="auto"/>
        </w:rPr>
      </w:pPr>
      <w:r>
        <w:rPr>
          <w:rFonts w:ascii="Arial" w:cs="Arial" w:eastAsia="Arial" w:hAnsi="Arial"/>
          <w:sz w:val="18"/>
          <w:szCs w:val="18"/>
          <w:color w:val="auto"/>
        </w:rPr>
        <w:t>Date: October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14605</wp:posOffset>
            </wp:positionV>
            <wp:extent cx="34988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576" w:right="25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FIFTH AMENDMENT TO AMENDED AND RESTATED CREDIT AND GUARANTY AGREEMENT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FIFTH AMENDMENT TO AMENDED AND RESTATED CREDIT AND GUARANTY AGREEMENT (this “</w:t>
      </w:r>
      <w:r>
        <w:rPr>
          <w:rFonts w:ascii="Arial" w:cs="Arial" w:eastAsia="Arial" w:hAnsi="Arial"/>
          <w:sz w:val="22"/>
          <w:szCs w:val="22"/>
          <w:u w:val="single" w:color="auto"/>
          <w:color w:val="auto"/>
        </w:rPr>
        <w:t>Fifth Amendment</w:t>
      </w:r>
      <w:r>
        <w:rPr>
          <w:rFonts w:ascii="Arial" w:cs="Arial" w:eastAsia="Arial" w:hAnsi="Arial"/>
          <w:sz w:val="22"/>
          <w:szCs w:val="22"/>
          <w:color w:val="auto"/>
        </w:rPr>
        <w:t>”), dated as of September 17, 2018 among American Airlines,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American Airlines Group Inc., a Delaware corporation (the “</w:t>
      </w:r>
      <w:r>
        <w:rPr>
          <w:rFonts w:ascii="Arial" w:cs="Arial" w:eastAsia="Arial" w:hAnsi="Arial"/>
          <w:sz w:val="22"/>
          <w:szCs w:val="22"/>
          <w:u w:val="single" w:color="auto"/>
          <w:color w:val="auto"/>
        </w:rPr>
        <w:t>Parent</w:t>
      </w:r>
      <w:r>
        <w:rPr>
          <w:rFonts w:ascii="Arial" w:cs="Arial" w:eastAsia="Arial" w:hAnsi="Arial"/>
          <w:sz w:val="22"/>
          <w:szCs w:val="22"/>
          <w:color w:val="auto"/>
        </w:rPr>
        <w:t>” or the “</w:t>
      </w:r>
      <w:r>
        <w:rPr>
          <w:rFonts w:ascii="Arial" w:cs="Arial" w:eastAsia="Arial" w:hAnsi="Arial"/>
          <w:sz w:val="22"/>
          <w:szCs w:val="22"/>
          <w:u w:val="single" w:color="auto"/>
          <w:color w:val="auto"/>
        </w:rPr>
        <w:t>Guarantor</w:t>
      </w:r>
      <w:r>
        <w:rPr>
          <w:rFonts w:ascii="Arial" w:cs="Arial" w:eastAsia="Arial" w:hAnsi="Arial"/>
          <w:sz w:val="22"/>
          <w:szCs w:val="22"/>
          <w:color w:val="auto"/>
        </w:rPr>
        <w:t>”), the lenders party hereto and Citibank N.A. (“</w:t>
      </w:r>
      <w:r>
        <w:rPr>
          <w:rFonts w:ascii="Arial" w:cs="Arial" w:eastAsia="Arial" w:hAnsi="Arial"/>
          <w:sz w:val="22"/>
          <w:szCs w:val="22"/>
          <w:u w:val="single" w:color="auto"/>
          <w:color w:val="auto"/>
        </w:rPr>
        <w:t>Citi</w:t>
      </w:r>
      <w:r>
        <w:rPr>
          <w:rFonts w:ascii="Arial" w:cs="Arial" w:eastAsia="Arial" w:hAnsi="Arial"/>
          <w:sz w:val="22"/>
          <w:szCs w:val="22"/>
          <w:color w:val="auto"/>
        </w:rPr>
        <w:t>”), as administrative agent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Unless otherwise indicated, all capitalized terms used herein and not otherwise defined shall have the respective meanings provided such terms in the Credit Agreement referred to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WHEREAS, the Borrower, the Guarantor, the lenders from time to time party thereto, the Administrative Agent and certain other parties thereto are parties to that certain Amended and Restated Credit and Guaranty Agreement, dated as of April 20, 2015 (as amended by that certain First Amendment to Amended and Restated Credit and Guaranty Agreement, dated as of October 26, 2015, as further amended by that certain Second Amendment to Amended and Restated Credit and Guaranty Agreement, dated as of September 22, 2016, as further amended by that certain Third Amendment to Amended and Restated Credit and Guaranty Agreement, dated as of June 14, 2017, as further amended by that certain Fourth Amendment to Amended and Restated Credit and Guaranty Agreement, dated as of August 21, 2017, and as further amended, amended and restated, supplemented or otherwise modified to but not including the Fifth Amendment Effective Date (as defined below),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w:t>
      </w:r>
    </w:p>
    <w:p>
      <w:pPr>
        <w:spacing w:after="0" w:line="373"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WHEREAS, pursuant to Section 2.27 of the Credit Agreement, the Borrower may request the establishment of one or more Incremental Term Loan Commitments, subject to and on the terms and conditions provided therein;</w:t>
      </w:r>
    </w:p>
    <w:p>
      <w:pPr>
        <w:spacing w:after="0" w:line="36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WHEREAS, the Borrower hereby notifies the Administrative Agent of its request for Incremental Term Loan Commitments (the “</w:t>
      </w:r>
      <w:r>
        <w:rPr>
          <w:rFonts w:ascii="Arial" w:cs="Arial" w:eastAsia="Arial" w:hAnsi="Arial"/>
          <w:sz w:val="21"/>
          <w:szCs w:val="21"/>
          <w:u w:val="single" w:color="auto"/>
          <w:color w:val="auto"/>
        </w:rPr>
        <w:t>2018 Incremental Term Loan Commitment</w:t>
      </w:r>
      <w:r>
        <w:rPr>
          <w:rFonts w:ascii="Arial" w:cs="Arial" w:eastAsia="Arial" w:hAnsi="Arial"/>
          <w:sz w:val="21"/>
          <w:szCs w:val="21"/>
          <w:color w:val="auto"/>
        </w:rPr>
        <w:t>”) for $500,000,000 of Incremental Term Loans (the “</w:t>
      </w:r>
      <w:r>
        <w:rPr>
          <w:rFonts w:ascii="Arial" w:cs="Arial" w:eastAsia="Arial" w:hAnsi="Arial"/>
          <w:sz w:val="21"/>
          <w:szCs w:val="21"/>
          <w:u w:val="single" w:color="auto"/>
          <w:color w:val="auto"/>
        </w:rPr>
        <w:t>2018</w:t>
      </w:r>
      <w:r>
        <w:rPr>
          <w:rFonts w:ascii="Arial" w:cs="Arial" w:eastAsia="Arial" w:hAnsi="Arial"/>
          <w:sz w:val="21"/>
          <w:szCs w:val="21"/>
          <w:color w:val="auto"/>
        </w:rPr>
        <w:t xml:space="preserve"> </w:t>
      </w:r>
      <w:r>
        <w:rPr>
          <w:rFonts w:ascii="Arial" w:cs="Arial" w:eastAsia="Arial" w:hAnsi="Arial"/>
          <w:sz w:val="21"/>
          <w:szCs w:val="21"/>
          <w:u w:val="single" w:color="auto"/>
          <w:color w:val="auto"/>
        </w:rPr>
        <w:t>Incremental Term Loans</w:t>
      </w:r>
      <w:r>
        <w:rPr>
          <w:rFonts w:ascii="Arial" w:cs="Arial" w:eastAsia="Arial" w:hAnsi="Arial"/>
          <w:sz w:val="21"/>
          <w:szCs w:val="21"/>
          <w:color w:val="auto"/>
        </w:rPr>
        <w:t>”) to be made available by the 2018 Incremental Term Loan Lender (as defined below) with respect to such 2018 Incremental Term Loans in the amount specified therefor on Schedule 1 hereto and requests that the Administrative Agent waive any applicable notice period otherwise required by Section 2.27(a)(i) of the Credit Agreement;</w:t>
      </w:r>
    </w:p>
    <w:p>
      <w:pPr>
        <w:spacing w:after="0" w:line="17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2018 Incremental Term Loan Lender (as defined below) is willing to provide the 2018 Incremental Term Loan Commitment in the amount set forth opposite its name in Schedule 1 hereto, subject to and on the terms and conditions set forth herein and in the Credit Agreement;</w:t>
      </w:r>
    </w:p>
    <w:p>
      <w:pPr>
        <w:spacing w:after="0" w:line="200" w:lineRule="exact"/>
        <w:rPr>
          <w:sz w:val="20"/>
          <w:szCs w:val="20"/>
          <w:color w:val="auto"/>
        </w:rPr>
      </w:pPr>
    </w:p>
    <w:p>
      <w:pPr>
        <w:spacing w:after="0" w:line="20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WHEREAS, the Borrower wishes to (a) incur the 2018 Incremental Term Loans and (b) make certain amendments to the Credit Agreement to provide for the incurrence of the 2018 Incremental Term Loans; and</w:t>
      </w:r>
    </w:p>
    <w:p>
      <w:pPr>
        <w:sectPr>
          <w:pgSz w:w="11900" w:h="16838" w:orient="portrait"/>
          <w:cols w:equalWidth="0" w:num="1">
            <w:col w:w="11420"/>
          </w:cols>
          <w:pgMar w:left="240" w:top="333" w:right="239" w:bottom="1440" w:gutter="0" w:footer="0" w:header="0"/>
        </w:sectPr>
      </w:pPr>
    </w:p>
    <w:bookmarkStart w:id="94" w:name="page95"/>
    <w:bookmarkEnd w:id="94"/>
    <w:p>
      <w:pPr>
        <w:ind w:right="20" w:firstLine="1297"/>
        <w:spacing w:after="0" w:line="26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391"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SECTION ONE - Credit Agreement Amendments</w:t>
      </w:r>
      <w:r>
        <w:rPr>
          <w:rFonts w:ascii="Arial" w:cs="Arial" w:eastAsia="Arial" w:hAnsi="Arial"/>
          <w:sz w:val="19"/>
          <w:szCs w:val="19"/>
          <w:color w:val="auto"/>
        </w:rPr>
        <w:t>. Effective as of the Fifth Amendment Effective Date (as defined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00" w:lineRule="exact"/>
        <w:rPr>
          <w:sz w:val="20"/>
          <w:szCs w:val="20"/>
          <w:color w:val="auto"/>
        </w:rPr>
      </w:pPr>
    </w:p>
    <w:p>
      <w:pPr>
        <w:spacing w:after="0" w:line="218"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Credit Agreement is hereby amended as follows:</w:t>
      </w:r>
    </w:p>
    <w:p>
      <w:pPr>
        <w:spacing w:after="0" w:line="200" w:lineRule="exact"/>
        <w:rPr>
          <w:sz w:val="20"/>
          <w:szCs w:val="20"/>
          <w:color w:val="auto"/>
        </w:rPr>
      </w:pPr>
    </w:p>
    <w:p>
      <w:pPr>
        <w:spacing w:after="0" w:line="249" w:lineRule="exact"/>
        <w:rPr>
          <w:sz w:val="20"/>
          <w:szCs w:val="20"/>
          <w:color w:val="auto"/>
        </w:rPr>
      </w:pPr>
    </w:p>
    <w:p>
      <w:pPr>
        <w:ind w:left="1780" w:hanging="475"/>
        <w:spacing w:after="0"/>
        <w:tabs>
          <w:tab w:leader="none" w:pos="1780" w:val="left"/>
        </w:tabs>
        <w:numPr>
          <w:ilvl w:val="0"/>
          <w:numId w:val="53"/>
        </w:numPr>
        <w:rPr>
          <w:rFonts w:ascii="Arial" w:cs="Arial" w:eastAsia="Arial" w:hAnsi="Arial"/>
          <w:sz w:val="19"/>
          <w:szCs w:val="19"/>
          <w:color w:val="auto"/>
        </w:rPr>
      </w:pPr>
      <w:r>
        <w:rPr>
          <w:rFonts w:ascii="Arial" w:cs="Arial" w:eastAsia="Arial" w:hAnsi="Arial"/>
          <w:sz w:val="19"/>
          <w:szCs w:val="19"/>
          <w:color w:val="auto"/>
        </w:rPr>
        <w:t>Section 1.01 of the Credit Agreement is hereby amended by inserting the following definitions in appropriate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alphabetical order:</w:t>
      </w:r>
    </w:p>
    <w:p>
      <w:pPr>
        <w:spacing w:after="0" w:line="215" w:lineRule="exact"/>
        <w:rPr>
          <w:sz w:val="20"/>
          <w:szCs w:val="20"/>
          <w:color w:val="auto"/>
        </w:rPr>
      </w:pPr>
    </w:p>
    <w:p>
      <w:pPr>
        <w:jc w:val="both"/>
        <w:ind w:left="1300" w:firstLine="621"/>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2018 Incremental Term Loan Commitment</w:t>
      </w:r>
      <w:r>
        <w:rPr>
          <w:rFonts w:ascii="Arial" w:cs="Arial" w:eastAsia="Arial" w:hAnsi="Arial"/>
          <w:sz w:val="22"/>
          <w:szCs w:val="22"/>
          <w:color w:val="auto"/>
        </w:rPr>
        <w:t>” shall mean the Term Loan Commitment of the 2018 Incremental Term Loan Lender to make the 2018 Incremental Term Loans.</w:t>
      </w:r>
    </w:p>
    <w:p>
      <w:pPr>
        <w:spacing w:after="0" w:line="175" w:lineRule="exact"/>
        <w:rPr>
          <w:sz w:val="20"/>
          <w:szCs w:val="20"/>
          <w:color w:val="auto"/>
        </w:rPr>
      </w:pPr>
    </w:p>
    <w:p>
      <w:pPr>
        <w:jc w:val="both"/>
        <w:ind w:left="1300" w:firstLine="621"/>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2018 Incremental Term Loan Commitment Schedule</w:t>
      </w:r>
      <w:r>
        <w:rPr>
          <w:rFonts w:ascii="Arial" w:cs="Arial" w:eastAsia="Arial" w:hAnsi="Arial"/>
          <w:sz w:val="22"/>
          <w:szCs w:val="22"/>
          <w:color w:val="auto"/>
        </w:rPr>
        <w:t>” shall mean the schedule of 2018 Incremental Term Loan Commitments of the 2018 Incremental Term Lender provided to the Borrower on the Fifth Amendment Effective Date by the Administrative Agent pursuant to the Fifth Amendment.</w:t>
      </w:r>
    </w:p>
    <w:p>
      <w:pPr>
        <w:spacing w:after="0" w:line="186"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2018 Incremental Term Loan Lender</w:t>
      </w:r>
      <w:r>
        <w:rPr>
          <w:rFonts w:ascii="Arial" w:cs="Arial" w:eastAsia="Arial" w:hAnsi="Arial"/>
          <w:sz w:val="22"/>
          <w:szCs w:val="22"/>
          <w:color w:val="auto"/>
        </w:rPr>
        <w:t>” means JPMORGAN CHASE BANK, N.A.</w:t>
      </w:r>
    </w:p>
    <w:p>
      <w:pPr>
        <w:spacing w:after="0" w:line="220"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2018 Incremental Term Loans</w:t>
      </w:r>
      <w:r>
        <w:rPr>
          <w:rFonts w:ascii="Arial" w:cs="Arial" w:eastAsia="Arial" w:hAnsi="Arial"/>
          <w:sz w:val="21"/>
          <w:szCs w:val="21"/>
          <w:color w:val="auto"/>
        </w:rPr>
        <w:t>” shall be the Term Loans incurred pursuant to the Fifth Amendment.</w:t>
      </w:r>
    </w:p>
    <w:p>
      <w:pPr>
        <w:spacing w:after="0" w:line="200" w:lineRule="exact"/>
        <w:rPr>
          <w:sz w:val="20"/>
          <w:szCs w:val="20"/>
          <w:color w:val="auto"/>
        </w:rPr>
      </w:pPr>
    </w:p>
    <w:p>
      <w:pPr>
        <w:spacing w:after="0" w:line="247" w:lineRule="exact"/>
        <w:rPr>
          <w:sz w:val="20"/>
          <w:szCs w:val="20"/>
          <w:color w:val="auto"/>
        </w:rPr>
      </w:pPr>
    </w:p>
    <w:p>
      <w:pPr>
        <w:jc w:val="both"/>
        <w:ind w:left="130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Fifth Amendment</w:t>
      </w:r>
      <w:r>
        <w:rPr>
          <w:rFonts w:ascii="Arial" w:cs="Arial" w:eastAsia="Arial" w:hAnsi="Arial"/>
          <w:sz w:val="21"/>
          <w:szCs w:val="21"/>
          <w:color w:val="auto"/>
        </w:rPr>
        <w:t>” shall mean the Fifth Amendment to Amended and Restated Credit and Guaranty Agreement, dated as of September 17, 2018, by and among Parent, the Borrower, the Administrative Agent, the 2018 Incremental Term Loan Lender and Citibank N.A., in its capacity as the Administrative Agent.</w:t>
      </w:r>
    </w:p>
    <w:p>
      <w:pPr>
        <w:spacing w:after="0" w:line="38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Fifth Amendment Effective Date</w:t>
      </w:r>
      <w:r>
        <w:rPr>
          <w:rFonts w:ascii="Arial" w:cs="Arial" w:eastAsia="Arial" w:hAnsi="Arial"/>
          <w:sz w:val="22"/>
          <w:szCs w:val="22"/>
          <w:color w:val="auto"/>
        </w:rPr>
        <w:t>” shall have the meaning provided in the Fifth Amendment.</w:t>
      </w:r>
    </w:p>
    <w:p>
      <w:pPr>
        <w:spacing w:after="0" w:line="200" w:lineRule="exact"/>
        <w:rPr>
          <w:sz w:val="20"/>
          <w:szCs w:val="20"/>
          <w:color w:val="auto"/>
        </w:rPr>
      </w:pPr>
    </w:p>
    <w:p>
      <w:pPr>
        <w:spacing w:after="0" w:line="236" w:lineRule="exact"/>
        <w:rPr>
          <w:sz w:val="20"/>
          <w:szCs w:val="20"/>
          <w:color w:val="auto"/>
        </w:rPr>
      </w:pPr>
    </w:p>
    <w:p>
      <w:pPr>
        <w:ind w:right="20" w:firstLine="1305"/>
        <w:spacing w:after="0" w:line="276" w:lineRule="auto"/>
        <w:tabs>
          <w:tab w:leader="none" w:pos="1922"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2017 Replacement Term Loans</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jc w:val="both"/>
        <w:ind w:left="130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2017 Replacement Term Loans</w:t>
      </w:r>
      <w:r>
        <w:rPr>
          <w:rFonts w:ascii="Arial" w:cs="Arial" w:eastAsia="Arial" w:hAnsi="Arial"/>
          <w:sz w:val="22"/>
          <w:szCs w:val="22"/>
          <w:color w:val="auto"/>
        </w:rPr>
        <w:t>” shall be the Term Loans incurred pursuant to the Third Amendment on the Third Amendment Effective date and after the Fifth Amendment Effective Date, shall include the 2018 Incremental Term Loans. The aggregate principal amount of 2017 Replacement Term Loans outstanding immediately after giving effect to the 2018 Incremental Term Loans incurred and funded on the Fifth Amendment Effective Date is $1,227,500,000.00.</w:t>
      </w:r>
    </w:p>
    <w:p>
      <w:pPr>
        <w:sectPr>
          <w:pgSz w:w="11900" w:h="16838" w:orient="portrait"/>
          <w:cols w:equalWidth="0" w:num="1">
            <w:col w:w="11420"/>
          </w:cols>
          <w:pgMar w:left="240" w:top="1280" w:right="239" w:bottom="1440" w:gutter="0" w:footer="0" w:header="0"/>
        </w:sectPr>
      </w:pPr>
    </w:p>
    <w:bookmarkStart w:id="95" w:name="page96"/>
    <w:bookmarkEnd w:id="95"/>
    <w:p>
      <w:pPr>
        <w:ind w:left="-1200" w:firstLine="1305"/>
        <w:spacing w:after="0" w:line="276" w:lineRule="auto"/>
        <w:tabs>
          <w:tab w:leader="none" w:pos="629"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Class</w:t>
      </w:r>
      <w:r>
        <w:rPr>
          <w:rFonts w:ascii="Arial" w:cs="Arial" w:eastAsia="Arial" w:hAnsi="Arial"/>
          <w:sz w:val="22"/>
          <w:szCs w:val="22"/>
          <w:color w:val="auto"/>
        </w:rPr>
        <w:t>” appearing in Section 1.01 of the Credit Agreement is hereby amended by inserting the following sentence at the end of such definition:</w:t>
      </w:r>
    </w:p>
    <w:p>
      <w:pPr>
        <w:spacing w:after="0" w:line="377" w:lineRule="exact"/>
        <w:rPr>
          <w:sz w:val="20"/>
          <w:szCs w:val="20"/>
          <w:color w:val="auto"/>
        </w:rPr>
      </w:pPr>
    </w:p>
    <w:p>
      <w:pPr>
        <w:ind w:left="100" w:right="20"/>
        <w:spacing w:after="0" w:line="258" w:lineRule="auto"/>
        <w:rPr>
          <w:sz w:val="20"/>
          <w:szCs w:val="20"/>
          <w:color w:val="auto"/>
        </w:rPr>
      </w:pPr>
      <w:r>
        <w:rPr>
          <w:rFonts w:ascii="Arial" w:cs="Arial" w:eastAsia="Arial" w:hAnsi="Arial"/>
          <w:sz w:val="22"/>
          <w:szCs w:val="22"/>
          <w:color w:val="auto"/>
        </w:rPr>
        <w:t xml:space="preserve">For the avoidance of doubt, </w:t>
      </w:r>
      <w:r>
        <w:rPr>
          <w:rFonts w:ascii="Arial" w:cs="Arial" w:eastAsia="Arial" w:hAnsi="Arial"/>
          <w:sz w:val="19"/>
          <w:szCs w:val="19"/>
          <w:color w:val="auto"/>
        </w:rPr>
        <w:t>on and after the Fifth Amendment Effective Date, the 2018 Incremental Term Loans shall be</w:t>
      </w:r>
      <w:r>
        <w:rPr>
          <w:rFonts w:ascii="Arial" w:cs="Arial" w:eastAsia="Arial" w:hAnsi="Arial"/>
          <w:sz w:val="22"/>
          <w:szCs w:val="22"/>
          <w:color w:val="auto"/>
        </w:rPr>
        <w:t xml:space="preserve"> </w:t>
      </w:r>
      <w:r>
        <w:rPr>
          <w:rFonts w:ascii="Arial" w:cs="Arial" w:eastAsia="Arial" w:hAnsi="Arial"/>
          <w:sz w:val="19"/>
          <w:szCs w:val="19"/>
          <w:color w:val="auto"/>
        </w:rPr>
        <w:t>considered part of the same Class as the 2017 Replacement Term Loans.</w:t>
      </w:r>
    </w:p>
    <w:p>
      <w:pPr>
        <w:spacing w:after="0" w:line="200" w:lineRule="exact"/>
        <w:rPr>
          <w:sz w:val="20"/>
          <w:szCs w:val="20"/>
          <w:color w:val="auto"/>
        </w:rPr>
      </w:pPr>
    </w:p>
    <w:p>
      <w:pPr>
        <w:spacing w:after="0" w:line="215" w:lineRule="exact"/>
        <w:rPr>
          <w:sz w:val="20"/>
          <w:szCs w:val="20"/>
          <w:color w:val="auto"/>
        </w:rPr>
      </w:pPr>
    </w:p>
    <w:p>
      <w:pPr>
        <w:ind w:left="-1200" w:right="20" w:firstLine="1305"/>
        <w:spacing w:after="0" w:line="276" w:lineRule="auto"/>
        <w:tabs>
          <w:tab w:leader="none" w:pos="65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Term Loan Commitment</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jc w:val="both"/>
        <w:ind w:left="100" w:firstLine="648"/>
        <w:spacing w:after="0" w:line="287" w:lineRule="auto"/>
        <w:rPr>
          <w:sz w:val="20"/>
          <w:szCs w:val="20"/>
          <w:color w:val="auto"/>
        </w:rPr>
      </w:pPr>
      <w:r>
        <w:rPr>
          <w:rFonts w:ascii="Arial" w:cs="Arial" w:eastAsia="Arial" w:hAnsi="Arial"/>
          <w:sz w:val="19"/>
          <w:szCs w:val="19"/>
          <w:i w:val="1"/>
          <w:iCs w:val="1"/>
          <w:color w:val="auto"/>
        </w:rPr>
        <w:t xml:space="preserve">“Term Loan Commitment” </w:t>
      </w:r>
      <w:r>
        <w:rPr>
          <w:rFonts w:ascii="Arial" w:cs="Arial" w:eastAsia="Arial" w:hAnsi="Arial"/>
          <w:sz w:val="19"/>
          <w:szCs w:val="19"/>
          <w:color w:val="auto"/>
        </w:rPr>
        <w:t>shall mean the commitment of each Term Lender to make Term Loans hereunder</w:t>
      </w:r>
      <w:r>
        <w:rPr>
          <w:rFonts w:ascii="Arial" w:cs="Arial" w:eastAsia="Arial" w:hAnsi="Arial"/>
          <w:sz w:val="19"/>
          <w:szCs w:val="19"/>
          <w:i w:val="1"/>
          <w:iCs w:val="1"/>
          <w:color w:val="auto"/>
        </w:rPr>
        <w:t xml:space="preserve"> </w:t>
      </w:r>
      <w:r>
        <w:rPr>
          <w:rFonts w:ascii="Arial" w:cs="Arial" w:eastAsia="Arial" w:hAnsi="Arial"/>
          <w:sz w:val="19"/>
          <w:szCs w:val="19"/>
          <w:color w:val="auto"/>
        </w:rPr>
        <w:t>and, (i) in the case of the 2017 Replacement Term Loans issued on the Third Amendment Effective Date, in an aggregate principal amount not to exceed the amount set forth under the heading “2017 Replacement Term Loan Commitment” opposite its name in the 2017 Replacement Term Loan Commitment Schedule or in the Assignment and Acceptance pursuant to which such Term Lender became a party hereto, as the same may be changed from time to time pursuant to the terms hereof and (ii) in the case of the 2018 Incremental Term Loans, in an aggregate principal amount not to exceed the amount set forth under the heading “2018 Incremental Term Loan Commitment” opposite its name in the 2018 Incremental Term Loan Commitment Schedule or in the Assignment and Acceptance pursuant to which such Term Lender became a party hereto, as the same may be changed from time to time pursuant to the terms hereof. The aggregate amount of the 2017 Replacement Term Loan Commitments as of the Third Amendment Effective Date was $735,000,000. The aggregate amount of the 2018 Incremental Term Loan Commitments as of the Fifth Amendment Effective Date is $500,000,000.</w:t>
      </w:r>
    </w:p>
    <w:p>
      <w:pPr>
        <w:spacing w:after="0" w:line="376" w:lineRule="exact"/>
        <w:rPr>
          <w:sz w:val="20"/>
          <w:szCs w:val="20"/>
          <w:color w:val="auto"/>
        </w:rPr>
      </w:pPr>
    </w:p>
    <w:p>
      <w:pPr>
        <w:ind w:left="100"/>
        <w:spacing w:after="0"/>
        <w:tabs>
          <w:tab w:leader="none" w:pos="580" w:val="left"/>
        </w:tabs>
        <w:rPr>
          <w:sz w:val="20"/>
          <w:szCs w:val="20"/>
          <w:color w:val="auto"/>
        </w:rPr>
      </w:pPr>
      <w:r>
        <w:rPr>
          <w:rFonts w:ascii="Arial" w:cs="Arial" w:eastAsia="Arial" w:hAnsi="Arial"/>
          <w:sz w:val="22"/>
          <w:szCs w:val="22"/>
          <w:color w:val="auto"/>
        </w:rPr>
        <w:t>(vi)</w:t>
      </w:r>
      <w:r>
        <w:rPr>
          <w:sz w:val="20"/>
          <w:szCs w:val="20"/>
          <w:color w:val="auto"/>
        </w:rPr>
        <w:tab/>
      </w:r>
      <w:r>
        <w:rPr>
          <w:rFonts w:ascii="Arial" w:cs="Arial" w:eastAsia="Arial" w:hAnsi="Arial"/>
          <w:sz w:val="19"/>
          <w:szCs w:val="19"/>
          <w:color w:val="auto"/>
        </w:rPr>
        <w:t>Section 2.01(b) is hereby amended and restated in its entirety as follows:</w:t>
      </w:r>
    </w:p>
    <w:p>
      <w:pPr>
        <w:spacing w:after="0" w:line="200" w:lineRule="exact"/>
        <w:rPr>
          <w:sz w:val="20"/>
          <w:szCs w:val="20"/>
          <w:color w:val="auto"/>
        </w:rPr>
      </w:pPr>
    </w:p>
    <w:p>
      <w:pPr>
        <w:spacing w:after="0" w:line="249" w:lineRule="exact"/>
        <w:rPr>
          <w:sz w:val="20"/>
          <w:szCs w:val="20"/>
          <w:color w:val="auto"/>
        </w:rPr>
      </w:pPr>
    </w:p>
    <w:p>
      <w:pPr>
        <w:jc w:val="both"/>
        <w:ind w:left="100" w:firstLine="648"/>
        <w:spacing w:after="0" w:line="250" w:lineRule="auto"/>
        <w:rPr>
          <w:sz w:val="20"/>
          <w:szCs w:val="20"/>
          <w:color w:val="auto"/>
        </w:rPr>
      </w:pPr>
      <w:r>
        <w:rPr>
          <w:rFonts w:ascii="Arial" w:cs="Arial" w:eastAsia="Arial" w:hAnsi="Arial"/>
          <w:sz w:val="22"/>
          <w:szCs w:val="22"/>
          <w:i w:val="1"/>
          <w:iCs w:val="1"/>
          <w:color w:val="auto"/>
        </w:rPr>
        <w:t>Term Loan Commitments</w:t>
      </w:r>
      <w:r>
        <w:rPr>
          <w:rFonts w:ascii="Arial" w:cs="Arial" w:eastAsia="Arial" w:hAnsi="Arial"/>
          <w:sz w:val="22"/>
          <w:szCs w:val="22"/>
          <w:color w:val="auto"/>
        </w:rPr>
        <w:t>. On the Fifth Amendment Effective Date, the 2018 Incremental Term Loan Lender</w:t>
      </w:r>
      <w:r>
        <w:rPr>
          <w:rFonts w:ascii="Arial" w:cs="Arial" w:eastAsia="Arial" w:hAnsi="Arial"/>
          <w:sz w:val="22"/>
          <w:szCs w:val="22"/>
          <w:i w:val="1"/>
          <w:iCs w:val="1"/>
          <w:color w:val="auto"/>
        </w:rPr>
        <w:t xml:space="preserve"> </w:t>
      </w:r>
      <w:r>
        <w:rPr>
          <w:rFonts w:ascii="Arial" w:cs="Arial" w:eastAsia="Arial" w:hAnsi="Arial"/>
          <w:sz w:val="22"/>
          <w:szCs w:val="22"/>
          <w:color w:val="auto"/>
        </w:rPr>
        <w:t>agrees to make to the Borrower the 2018 Incremental Term Loans denominated in Dollars in an aggregate principal amount equal to the 2018 Incremental Term Loan Lender’s Incremental Term Loan Commitment in accordance with the terms and conditions of the Fifth Amendment.</w:t>
      </w:r>
    </w:p>
    <w:p>
      <w:pPr>
        <w:spacing w:after="0" w:line="200" w:lineRule="exact"/>
        <w:rPr>
          <w:sz w:val="20"/>
          <w:szCs w:val="20"/>
          <w:color w:val="auto"/>
        </w:rPr>
      </w:pPr>
    </w:p>
    <w:p>
      <w:pPr>
        <w:spacing w:after="0" w:line="205"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22"/>
          <w:szCs w:val="22"/>
          <w:color w:val="auto"/>
        </w:rPr>
        <w:t>(vii)</w:t>
      </w:r>
      <w:r>
        <w:rPr>
          <w:sz w:val="20"/>
          <w:szCs w:val="20"/>
          <w:color w:val="auto"/>
        </w:rPr>
        <w:tab/>
      </w:r>
      <w:r>
        <w:rPr>
          <w:rFonts w:ascii="Arial" w:cs="Arial" w:eastAsia="Arial" w:hAnsi="Arial"/>
          <w:sz w:val="19"/>
          <w:szCs w:val="19"/>
          <w:color w:val="auto"/>
        </w:rPr>
        <w:t>Section 2.10(b) is hereby amended and restated in its entirety as follows:</w:t>
      </w:r>
    </w:p>
    <w:p>
      <w:pPr>
        <w:spacing w:after="0" w:line="200" w:lineRule="exact"/>
        <w:rPr>
          <w:sz w:val="20"/>
          <w:szCs w:val="20"/>
          <w:color w:val="auto"/>
        </w:rPr>
      </w:pPr>
    </w:p>
    <w:p>
      <w:pPr>
        <w:spacing w:after="0" w:line="249" w:lineRule="exact"/>
        <w:rPr>
          <w:sz w:val="20"/>
          <w:szCs w:val="20"/>
          <w:color w:val="auto"/>
        </w:rPr>
      </w:pPr>
    </w:p>
    <w:p>
      <w:pPr>
        <w:jc w:val="both"/>
        <w:ind w:left="100" w:firstLine="648"/>
        <w:spacing w:after="0" w:line="253" w:lineRule="auto"/>
        <w:rPr>
          <w:sz w:val="20"/>
          <w:szCs w:val="20"/>
          <w:color w:val="auto"/>
        </w:rPr>
      </w:pPr>
      <w:r>
        <w:rPr>
          <w:rFonts w:ascii="Arial" w:cs="Arial" w:eastAsia="Arial" w:hAnsi="Arial"/>
          <w:sz w:val="22"/>
          <w:szCs w:val="22"/>
          <w:color w:val="auto"/>
        </w:rPr>
        <w:t>The principal amounts of the 2017 Replacement Term Loans shall be repaid in consecutive annual installments (each, an “</w:t>
      </w:r>
      <w:r>
        <w:rPr>
          <w:rFonts w:ascii="Arial" w:cs="Arial" w:eastAsia="Arial" w:hAnsi="Arial"/>
          <w:sz w:val="22"/>
          <w:szCs w:val="22"/>
          <w:i w:val="1"/>
          <w:iCs w:val="1"/>
          <w:color w:val="auto"/>
        </w:rPr>
        <w:t>Installment</w:t>
      </w:r>
      <w:r>
        <w:rPr>
          <w:rFonts w:ascii="Arial" w:cs="Arial" w:eastAsia="Arial" w:hAnsi="Arial"/>
          <w:sz w:val="22"/>
          <w:szCs w:val="22"/>
          <w:color w:val="auto"/>
        </w:rPr>
        <w:t>”) as follows on each anniversary of the Closing Date occurring prior to the Term Loan Maturity Date with respect to such 2017 Replacement Term Loans:</w:t>
      </w:r>
    </w:p>
    <w:p>
      <w:pPr>
        <w:sectPr>
          <w:pgSz w:w="11900" w:h="16838" w:orient="portrait"/>
          <w:cols w:equalWidth="0" w:num="1">
            <w:col w:w="10220"/>
          </w:cols>
          <w:pgMar w:left="1440" w:top="591" w:right="239" w:bottom="1440" w:gutter="0" w:footer="0" w:header="0"/>
        </w:sectPr>
      </w:pPr>
    </w:p>
    <w:bookmarkStart w:id="96" w:name="page97"/>
    <w:bookmarkEnd w:id="96"/>
    <w:tbl>
      <w:tblPr>
        <w:tblLayout w:type="fixed"/>
        <w:tblInd w:w="2080" w:type="dxa"/>
        <w:tblCellMar>
          <w:top w:w="0" w:type="dxa"/>
          <w:left w:w="0" w:type="dxa"/>
          <w:bottom w:w="0" w:type="dxa"/>
          <w:right w:w="0" w:type="dxa"/>
        </w:tblCellMar>
      </w:tblPr>
      <w:tr>
        <w:trPr>
          <w:trHeight w:val="250"/>
        </w:trPr>
        <w:tc>
          <w:tcPr>
            <w:tcW w:w="1940" w:type="dxa"/>
            <w:vAlign w:val="bottom"/>
          </w:tcPr>
          <w:p>
            <w:pPr>
              <w:spacing w:after="0"/>
              <w:rPr>
                <w:sz w:val="20"/>
                <w:szCs w:val="20"/>
                <w:color w:val="auto"/>
              </w:rPr>
            </w:pPr>
            <w:r>
              <w:rPr>
                <w:rFonts w:ascii="Arial" w:cs="Arial" w:eastAsia="Arial" w:hAnsi="Arial"/>
                <w:sz w:val="20"/>
                <w:szCs w:val="20"/>
                <w:color w:val="auto"/>
              </w:rPr>
              <w:t>Date</w:t>
            </w:r>
          </w:p>
        </w:tc>
        <w:tc>
          <w:tcPr>
            <w:tcW w:w="2200" w:type="dxa"/>
            <w:vAlign w:val="bottom"/>
          </w:tcPr>
          <w:p>
            <w:pPr>
              <w:ind w:left="1560"/>
              <w:spacing w:after="0"/>
              <w:rPr>
                <w:sz w:val="20"/>
                <w:szCs w:val="20"/>
                <w:color w:val="auto"/>
              </w:rPr>
            </w:pPr>
            <w:r>
              <w:rPr>
                <w:rFonts w:ascii="Arial" w:cs="Arial" w:eastAsia="Arial" w:hAnsi="Arial"/>
                <w:sz w:val="20"/>
                <w:szCs w:val="20"/>
                <w:color w:val="auto"/>
                <w:w w:val="89"/>
              </w:rPr>
              <w:t>Amount</w:t>
            </w:r>
          </w:p>
        </w:tc>
      </w:tr>
    </w:tbl>
    <w:p>
      <w:pPr>
        <w:spacing w:after="0" w:line="2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1443990</wp:posOffset>
            </wp:positionH>
            <wp:positionV relativeFrom="page">
              <wp:posOffset>328930</wp:posOffset>
            </wp:positionV>
            <wp:extent cx="4528185" cy="14236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28185" cy="142367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20"/>
          <w:szCs w:val="20"/>
          <w:color w:val="auto"/>
        </w:rPr>
        <w:t>Each October 10, prior to October 10, $7,500,000.00</w:t>
      </w:r>
    </w:p>
    <w:p>
      <w:pPr>
        <w:spacing w:after="0" w:line="16" w:lineRule="exact"/>
        <w:rPr>
          <w:sz w:val="20"/>
          <w:szCs w:val="20"/>
          <w:color w:val="auto"/>
        </w:rPr>
      </w:pPr>
    </w:p>
    <w:p>
      <w:pPr>
        <w:ind w:left="2080"/>
        <w:spacing w:after="0"/>
        <w:rPr>
          <w:sz w:val="20"/>
          <w:szCs w:val="20"/>
          <w:color w:val="auto"/>
        </w:rPr>
      </w:pPr>
      <w:r>
        <w:rPr>
          <w:rFonts w:ascii="Arial" w:cs="Arial" w:eastAsia="Arial" w:hAnsi="Arial"/>
          <w:sz w:val="20"/>
          <w:szCs w:val="20"/>
          <w:color w:val="auto"/>
        </w:rPr>
        <w:t>2018.</w:t>
      </w:r>
    </w:p>
    <w:p>
      <w:pPr>
        <w:spacing w:after="0" w:line="267" w:lineRule="exact"/>
        <w:rPr>
          <w:sz w:val="20"/>
          <w:szCs w:val="20"/>
          <w:color w:val="auto"/>
        </w:rPr>
      </w:pPr>
    </w:p>
    <w:p>
      <w:pPr>
        <w:ind w:left="2080"/>
        <w:spacing w:after="0"/>
        <w:rPr>
          <w:sz w:val="20"/>
          <w:szCs w:val="20"/>
          <w:color w:val="auto"/>
        </w:rPr>
      </w:pPr>
      <w:r>
        <w:rPr>
          <w:rFonts w:ascii="Arial" w:cs="Arial" w:eastAsia="Arial" w:hAnsi="Arial"/>
          <w:sz w:val="20"/>
          <w:szCs w:val="20"/>
          <w:color w:val="auto"/>
        </w:rPr>
        <w:t>Each October 10 prior to the Term Loan $12,654,639.18</w:t>
      </w:r>
    </w:p>
    <w:p>
      <w:pPr>
        <w:spacing w:after="0" w:line="1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Maturity Date, beginning with October 10,</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20"/>
          <w:szCs w:val="20"/>
          <w:color w:val="auto"/>
        </w:rPr>
        <w:t>2018.</w:t>
      </w:r>
    </w:p>
    <w:p>
      <w:pPr>
        <w:spacing w:after="0" w:line="200" w:lineRule="exact"/>
        <w:rPr>
          <w:sz w:val="20"/>
          <w:szCs w:val="20"/>
          <w:color w:val="auto"/>
        </w:rPr>
      </w:pPr>
    </w:p>
    <w:p>
      <w:pPr>
        <w:spacing w:after="0" w:line="265" w:lineRule="exact"/>
        <w:rPr>
          <w:sz w:val="20"/>
          <w:szCs w:val="20"/>
          <w:color w:val="auto"/>
        </w:rPr>
      </w:pPr>
    </w:p>
    <w:p>
      <w:pPr>
        <w:jc w:val="both"/>
        <w:ind w:left="1300" w:firstLine="648"/>
        <w:spacing w:after="0" w:line="265" w:lineRule="auto"/>
        <w:rPr>
          <w:sz w:val="20"/>
          <w:szCs w:val="20"/>
          <w:color w:val="auto"/>
        </w:rPr>
      </w:pPr>
      <w:r>
        <w:rPr>
          <w:rFonts w:ascii="Arial" w:cs="Arial" w:eastAsia="Arial" w:hAnsi="Arial"/>
          <w:sz w:val="21"/>
          <w:szCs w:val="21"/>
          <w:color w:val="auto"/>
        </w:rPr>
        <w:t>Notwithstanding the foregoing, (1) such Installments shall be reduced in connection with any mandatory or voluntary prepayments of the 2017 Replacement Term Loans in accordance with Sections 2.12 and 2.13, as applicable, and (2) the Term Loans, together with all other amounts owed hereunder with respect thereto, shall, in any event, be paid in full no later than the applicable Term Loan Termination Date.</w:t>
      </w:r>
    </w:p>
    <w:p>
      <w:pPr>
        <w:spacing w:after="0" w:line="392" w:lineRule="exact"/>
        <w:rPr>
          <w:sz w:val="20"/>
          <w:szCs w:val="20"/>
          <w:color w:val="auto"/>
        </w:rPr>
      </w:pPr>
    </w:p>
    <w:p>
      <w:pPr>
        <w:ind w:right="20" w:firstLine="1305"/>
        <w:spacing w:after="0" w:line="276" w:lineRule="auto"/>
        <w:tabs>
          <w:tab w:leader="none" w:pos="1976" w:val="left"/>
        </w:tabs>
        <w:numPr>
          <w:ilvl w:val="0"/>
          <w:numId w:val="57"/>
        </w:numPr>
        <w:rPr>
          <w:rFonts w:ascii="Arial" w:cs="Arial" w:eastAsia="Arial" w:hAnsi="Arial"/>
          <w:sz w:val="22"/>
          <w:szCs w:val="22"/>
          <w:color w:val="auto"/>
        </w:rPr>
      </w:pPr>
      <w:r>
        <w:rPr>
          <w:rFonts w:ascii="Arial" w:cs="Arial" w:eastAsia="Arial" w:hAnsi="Arial"/>
          <w:sz w:val="22"/>
          <w:szCs w:val="22"/>
          <w:color w:val="auto"/>
        </w:rPr>
        <w:t>Section 2.13(d) is hereby amended by replacing “Third Amendment Effective Date” where it appears with “Fifth Amendment Effective Date”.</w:t>
      </w:r>
    </w:p>
    <w:p>
      <w:pPr>
        <w:spacing w:after="0" w:line="37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Notwithstanding anything in this Fifth Amendment or the Credit Agreement to the contrary, the Administrative Agent hereby waives the minimum notice required by Section 2.27(a) of the Credit Agreement in connection with the establishment of the 2018 Incremental Term Loan Commitment.</w:t>
      </w:r>
    </w:p>
    <w:p>
      <w:pPr>
        <w:spacing w:after="0" w:line="200" w:lineRule="exact"/>
        <w:rPr>
          <w:sz w:val="20"/>
          <w:szCs w:val="20"/>
          <w:color w:val="auto"/>
        </w:rPr>
      </w:pPr>
    </w:p>
    <w:p>
      <w:pPr>
        <w:spacing w:after="0" w:line="20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SECTION TWO - Titles and Roles</w:t>
      </w:r>
      <w:r>
        <w:rPr>
          <w:rFonts w:ascii="Arial" w:cs="Arial" w:eastAsia="Arial" w:hAnsi="Arial"/>
          <w:sz w:val="22"/>
          <w:szCs w:val="22"/>
          <w:color w:val="auto"/>
        </w:rPr>
        <w:t>. The parties hereto agree that, as of the Fifth Amendment Effective Date and in connection with the Fifth Amendment:</w:t>
      </w:r>
    </w:p>
    <w:p>
      <w:pPr>
        <w:spacing w:after="0" w:line="175" w:lineRule="exact"/>
        <w:rPr>
          <w:sz w:val="20"/>
          <w:szCs w:val="20"/>
          <w:color w:val="auto"/>
        </w:rPr>
      </w:pPr>
    </w:p>
    <w:p>
      <w:pPr>
        <w:jc w:val="both"/>
        <w:ind w:firstLine="1305"/>
        <w:spacing w:after="0" w:line="248" w:lineRule="auto"/>
        <w:tabs>
          <w:tab w:leader="none" w:pos="2185"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JPMCB, Citi, Barclays, CS, DBSI, GS, ICBC, ML, MS, BNP Securities, CA-CIB, Standard, SMBC, US Bank and TCB (each as defined in the Engagement Letter dated September 4, 2018, by and between, </w:t>
      </w:r>
      <w:r>
        <w:rPr>
          <w:rFonts w:ascii="Arial" w:cs="Arial" w:eastAsia="Arial" w:hAnsi="Arial"/>
          <w:sz w:val="22"/>
          <w:szCs w:val="22"/>
          <w:i w:val="1"/>
          <w:iCs w:val="1"/>
          <w:color w:val="auto"/>
        </w:rPr>
        <w:t>inter alios</w:t>
      </w:r>
      <w:r>
        <w:rPr>
          <w:rFonts w:ascii="Arial" w:cs="Arial" w:eastAsia="Arial" w:hAnsi="Arial"/>
          <w:sz w:val="22"/>
          <w:szCs w:val="22"/>
          <w:color w:val="auto"/>
        </w:rPr>
        <w:t>, the Borrower and the Lead Arrangers (as defined below) (the “</w:t>
      </w:r>
      <w:r>
        <w:rPr>
          <w:rFonts w:ascii="Arial" w:cs="Arial" w:eastAsia="Arial" w:hAnsi="Arial"/>
          <w:sz w:val="22"/>
          <w:szCs w:val="22"/>
          <w:u w:val="single" w:color="auto"/>
          <w:color w:val="auto"/>
        </w:rPr>
        <w:t>Engagement Letter</w:t>
      </w:r>
      <w:r>
        <w:rPr>
          <w:rFonts w:ascii="Arial" w:cs="Arial" w:eastAsia="Arial" w:hAnsi="Arial"/>
          <w:sz w:val="22"/>
          <w:szCs w:val="22"/>
          <w:color w:val="auto"/>
        </w:rPr>
        <w:t>”)) and any permitted assignees under the Engagement Letter, shall be designated as, and perform the roles associated with, a lead arranger and bookrunner (in such capacity, collectively, the “</w:t>
      </w:r>
      <w:r>
        <w:rPr>
          <w:rFonts w:ascii="Arial" w:cs="Arial" w:eastAsia="Arial" w:hAnsi="Arial"/>
          <w:sz w:val="22"/>
          <w:szCs w:val="22"/>
          <w:u w:val="single" w:color="auto"/>
          <w:color w:val="auto"/>
        </w:rPr>
        <w:t>Lead</w:t>
      </w:r>
      <w:r>
        <w:rPr>
          <w:rFonts w:ascii="Arial" w:cs="Arial" w:eastAsia="Arial" w:hAnsi="Arial"/>
          <w:sz w:val="22"/>
          <w:szCs w:val="22"/>
          <w:color w:val="auto"/>
        </w:rPr>
        <w:t xml:space="preserve"> </w:t>
      </w:r>
      <w:r>
        <w:rPr>
          <w:rFonts w:ascii="Arial" w:cs="Arial" w:eastAsia="Arial" w:hAnsi="Arial"/>
          <w:sz w:val="22"/>
          <w:szCs w:val="22"/>
          <w:u w:val="single" w:color="auto"/>
          <w:color w:val="auto"/>
        </w:rPr>
        <w:t>Arrangers</w:t>
      </w:r>
      <w:r>
        <w:rPr>
          <w:rFonts w:ascii="Arial" w:cs="Arial" w:eastAsia="Arial" w:hAnsi="Arial"/>
          <w:sz w:val="22"/>
          <w:szCs w:val="22"/>
          <w:color w:val="auto"/>
        </w:rPr>
        <w:t>”).</w:t>
      </w:r>
    </w:p>
    <w:p>
      <w:pPr>
        <w:spacing w:after="0" w:line="19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For the avoidance of doubt, the provisions of Section 10.04 of the Credit Agreement shall apply to, and inure to the benefit of, each Lead Arranger in connection with their respective roles hereunder.</w:t>
      </w:r>
    </w:p>
    <w:p>
      <w:pPr>
        <w:spacing w:after="0" w:line="39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SECTION THREE - Conditions to Effectiveness</w:t>
      </w:r>
      <w:r>
        <w:rPr>
          <w:rFonts w:ascii="Arial" w:cs="Arial" w:eastAsia="Arial" w:hAnsi="Arial"/>
          <w:sz w:val="22"/>
          <w:szCs w:val="22"/>
          <w:color w:val="auto"/>
        </w:rPr>
        <w:t>. The provisions of Section One of this Fifth Amendment shall become effective on the date (the “</w:t>
      </w:r>
      <w:r>
        <w:rPr>
          <w:rFonts w:ascii="Arial" w:cs="Arial" w:eastAsia="Arial" w:hAnsi="Arial"/>
          <w:sz w:val="22"/>
          <w:szCs w:val="22"/>
          <w:u w:val="single" w:color="auto"/>
          <w:color w:val="auto"/>
        </w:rPr>
        <w:t>Fifth Amendment Effective Date</w:t>
      </w:r>
      <w:r>
        <w:rPr>
          <w:rFonts w:ascii="Arial" w:cs="Arial" w:eastAsia="Arial" w:hAnsi="Arial"/>
          <w:sz w:val="22"/>
          <w:szCs w:val="22"/>
          <w:color w:val="auto"/>
        </w:rPr>
        <w:t>”) when each of the following conditions specified below shall have been satisfied:</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78" w:lineRule="auto"/>
        <w:tabs>
          <w:tab w:leader="none" w:pos="1716"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Borrower, the Guarantor, the Administrative Agent and the 2018 Incremental Term Loan Lender shall have signed a counterpart hereof (whether the same or different counterparts) and shall have delivered the same to Milbank, Tweed, Hadley &amp; McCloy LLP, 28 Liberty Street, New York, NY 10005, attention: Joshua Forman;</w:t>
      </w:r>
    </w:p>
    <w:p>
      <w:pPr>
        <w:sectPr>
          <w:pgSz w:w="11900" w:h="16838" w:orient="portrait"/>
          <w:cols w:equalWidth="0" w:num="1">
            <w:col w:w="11420"/>
          </w:cols>
          <w:pgMar w:left="240" w:top="541" w:right="239" w:bottom="1440" w:gutter="0" w:footer="0" w:header="0"/>
        </w:sectPr>
      </w:pPr>
    </w:p>
    <w:bookmarkStart w:id="97" w:name="page98"/>
    <w:bookmarkEnd w:id="97"/>
    <w:p>
      <w:pPr>
        <w:jc w:val="both"/>
        <w:ind w:left="-1200" w:firstLine="1305"/>
        <w:spacing w:after="0" w:line="266" w:lineRule="auto"/>
        <w:tabs>
          <w:tab w:leader="none" w:pos="542" w:val="left"/>
        </w:tabs>
        <w:numPr>
          <w:ilvl w:val="0"/>
          <w:numId w:val="60"/>
        </w:numPr>
        <w:rPr>
          <w:rFonts w:ascii="Arial" w:cs="Arial" w:eastAsia="Arial" w:hAnsi="Arial"/>
          <w:sz w:val="21"/>
          <w:szCs w:val="21"/>
          <w:color w:val="auto"/>
        </w:rPr>
      </w:pPr>
      <w:r>
        <w:rPr>
          <w:rFonts w:ascii="Arial" w:cs="Arial" w:eastAsia="Arial" w:hAnsi="Arial"/>
          <w:sz w:val="21"/>
          <w:szCs w:val="21"/>
          <w:color w:val="auto"/>
        </w:rPr>
        <w:t>all reasonable invoiced out-of-pocket expenses incurred by the Lenders and the Administrative Agent pursuant to Section 10.04 of the Credit Agreement or the Engagement Letter (including the reasonable and documented fees, charges and disbursements of counsel) and all accrued and unpaid fees, owing and payable (including any fees agreed to in connection with this Fifth Amendment) shall have been paid to the extent invoiced at least two (2) Business Days prior to the Fifth Amendment Effective Date (or such shorter period as may be agreed by the Borrower);</w:t>
      </w:r>
    </w:p>
    <w:p>
      <w:pPr>
        <w:spacing w:after="0" w:line="390" w:lineRule="exact"/>
        <w:rPr>
          <w:rFonts w:ascii="Arial" w:cs="Arial" w:eastAsia="Arial" w:hAnsi="Arial"/>
          <w:sz w:val="21"/>
          <w:szCs w:val="21"/>
          <w:color w:val="auto"/>
        </w:rPr>
      </w:pPr>
    </w:p>
    <w:p>
      <w:pPr>
        <w:ind w:left="-1200" w:firstLine="1305"/>
        <w:spacing w:after="0" w:line="276" w:lineRule="auto"/>
        <w:tabs>
          <w:tab w:leader="none" w:pos="57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Administrative Agent shall have received an Officer’s Certificate certifying as to the Collateral Coverage Ratio and Liquidity in accordance with Section 2.27(b)(iii) and 4.02(d) of the Credit Agreement;</w:t>
      </w:r>
    </w:p>
    <w:p>
      <w:pPr>
        <w:spacing w:after="0" w:line="377" w:lineRule="exact"/>
        <w:rPr>
          <w:rFonts w:ascii="Arial" w:cs="Arial" w:eastAsia="Arial" w:hAnsi="Arial"/>
          <w:sz w:val="22"/>
          <w:szCs w:val="22"/>
          <w:color w:val="auto"/>
        </w:rPr>
      </w:pPr>
    </w:p>
    <w:p>
      <w:pPr>
        <w:jc w:val="both"/>
        <w:ind w:left="-1200" w:firstLine="1305"/>
        <w:spacing w:after="0" w:line="260" w:lineRule="auto"/>
        <w:tabs>
          <w:tab w:leader="none" w:pos="569"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Administrative Agent shall have received a customary written opinion of Latham &amp; Watkins LLP, special counsel for the Borrower and the Guarantor addressed to the Administrative Agent and the 2018 Incremental Term Loan Lenders party hereto, and dated the Fifth Amendment Effective Date;</w:t>
      </w:r>
    </w:p>
    <w:p>
      <w:pPr>
        <w:spacing w:after="0" w:line="393" w:lineRule="exact"/>
        <w:rPr>
          <w:rFonts w:ascii="Arial" w:cs="Arial" w:eastAsia="Arial" w:hAnsi="Arial"/>
          <w:sz w:val="22"/>
          <w:szCs w:val="22"/>
          <w:color w:val="auto"/>
        </w:rPr>
      </w:pPr>
    </w:p>
    <w:p>
      <w:pPr>
        <w:jc w:val="both"/>
        <w:ind w:left="-1200" w:firstLine="1305"/>
        <w:spacing w:after="0" w:line="290" w:lineRule="auto"/>
        <w:tabs>
          <w:tab w:leader="none" w:pos="597"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 certificate of the Secretary or Assistant Secretary (or similar Responsible Officer), dated the Fifth Amendment Effective Date (i) certifying as to the incumbency and specimen signature of each Responsible Officer of the Borrower and the Guarantor executing this Fifth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19"/>
          <w:szCs w:val="19"/>
          <w:u w:val="single" w:color="auto"/>
          <w:color w:val="auto"/>
        </w:rPr>
        <w:t>clause (e)</w:t>
      </w:r>
      <w:r>
        <w:rPr>
          <w:rFonts w:ascii="Arial" w:cs="Arial" w:eastAsia="Arial" w:hAnsi="Arial"/>
          <w:sz w:val="19"/>
          <w:szCs w:val="19"/>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Fifth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371" w:lineRule="exact"/>
        <w:rPr>
          <w:rFonts w:ascii="Arial" w:cs="Arial" w:eastAsia="Arial" w:hAnsi="Arial"/>
          <w:sz w:val="19"/>
          <w:szCs w:val="19"/>
          <w:color w:val="auto"/>
        </w:rPr>
      </w:pPr>
    </w:p>
    <w:p>
      <w:pPr>
        <w:jc w:val="both"/>
        <w:ind w:left="-1200" w:firstLine="1305"/>
        <w:spacing w:after="0" w:line="290" w:lineRule="auto"/>
        <w:tabs>
          <w:tab w:leader="none" w:pos="587"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Section 3(f), the representations and warranties contained in Sections 3.04(a) and 3.05(a) of the Credit Agreement shall be deemed to refer to the audited consolidated financial statements of Parent and its Subsidiaries for the fiscal year ended December 31, 2017, included in Parent’s Annual Report on Form 10-K for 2017 (as amended) and the unaudited consolidated</w:t>
      </w:r>
    </w:p>
    <w:p>
      <w:pPr>
        <w:sectPr>
          <w:pgSz w:w="11900" w:h="16838" w:orient="portrait"/>
          <w:cols w:equalWidth="0" w:num="1">
            <w:col w:w="10220"/>
          </w:cols>
          <w:pgMar w:left="1440" w:top="591" w:right="239" w:bottom="1440" w:gutter="0" w:footer="0" w:header="0"/>
        </w:sectPr>
      </w:pPr>
    </w:p>
    <w:bookmarkStart w:id="98" w:name="page99"/>
    <w:bookmarkEnd w:id="98"/>
    <w:p>
      <w:pPr>
        <w:jc w:val="both"/>
        <w:spacing w:after="0" w:line="263" w:lineRule="auto"/>
        <w:rPr>
          <w:sz w:val="20"/>
          <w:szCs w:val="20"/>
          <w:color w:val="auto"/>
        </w:rPr>
      </w:pPr>
      <w:r>
        <w:rPr>
          <w:rFonts w:ascii="Arial" w:cs="Arial" w:eastAsia="Arial" w:hAnsi="Arial"/>
          <w:sz w:val="21"/>
          <w:szCs w:val="21"/>
          <w:color w:val="auto"/>
        </w:rPr>
        <w:t>financial statements of Parent and its Subsidiaries for the fiscal quarters ended March 31, 2018 and June 30, 2018, Annual Report on Form 10-K for 2017 and Quarterly Reports on Form 10-Q, or Current Reports on Form 8-K that have been filed after December 31, 2017 by Parent with the SEC) shall be true and correct in all respects as of the applicable date, before and after giving effect to this Fifth Amendment and (B) as to the absence of any event occurring and continuing, or resulting from this Fifth Amendment on, the Fifth Amendment Effective Date, that constitutes a Default or Event of Default;</w:t>
      </w:r>
    </w:p>
    <w:p>
      <w:pPr>
        <w:spacing w:after="0" w:line="392" w:lineRule="exact"/>
        <w:rPr>
          <w:sz w:val="20"/>
          <w:szCs w:val="20"/>
          <w:color w:val="auto"/>
        </w:rPr>
      </w:pPr>
    </w:p>
    <w:p>
      <w:pPr>
        <w:ind w:right="20" w:firstLine="1305"/>
        <w:spacing w:after="0" w:line="276" w:lineRule="auto"/>
        <w:tabs>
          <w:tab w:leader="none" w:pos="1823"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conditions to the establishment of the 2018 Incremental Term Loan Commitment pursuant to this Fifth Amendment set forth in Section 2.27(b)(i) and (ii) of the Credit Agreement shall have been satisfied; and</w:t>
      </w:r>
    </w:p>
    <w:p>
      <w:pPr>
        <w:spacing w:after="0" w:line="377" w:lineRule="exact"/>
        <w:rPr>
          <w:rFonts w:ascii="Arial" w:cs="Arial" w:eastAsia="Arial" w:hAnsi="Arial"/>
          <w:sz w:val="22"/>
          <w:szCs w:val="22"/>
          <w:color w:val="auto"/>
        </w:rPr>
      </w:pPr>
    </w:p>
    <w:p>
      <w:pPr>
        <w:jc w:val="both"/>
        <w:ind w:firstLine="1305"/>
        <w:spacing w:after="0" w:line="260" w:lineRule="auto"/>
        <w:tabs>
          <w:tab w:leader="none" w:pos="175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Administrative Agent shall have received a Loan Request delivered in compliance with Section 2.03(b) of the Credit Agreement not later than 1:00 p.m. New York City time one (1) Business Day before the Fifth Amendment Effective Date or such shorter time as the Administrative Agent may agree.</w:t>
      </w:r>
    </w:p>
    <w:p>
      <w:pPr>
        <w:spacing w:after="0" w:line="393"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u w:val="single" w:color="auto"/>
          <w:color w:val="auto"/>
        </w:rPr>
        <w:t>SECTION FOUR - No Default; Representations and Warranties</w:t>
      </w:r>
      <w:r>
        <w:rPr>
          <w:rFonts w:ascii="Arial" w:cs="Arial" w:eastAsia="Arial" w:hAnsi="Arial"/>
          <w:sz w:val="19"/>
          <w:szCs w:val="19"/>
          <w:color w:val="auto"/>
        </w:rPr>
        <w:t xml:space="preserve">. In order to induce the 2018 Incremental Term Loan Lenders and the Administrative Agent to enter into this Fifth Amendment, the Borrower represents and warrants to the 2018 Incremental Term Loan Lender and the Administrative Agent that, on and as of the date hereof after giving effect to this Fifth Amendment, (i) no Default or Event of Default has occurred and is continuing or would result from giving effect to this Fifth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Section 4, the representations and warranties contained in Sections 3.04(a) and 3.05(a) of the Credit Agreement shall be deemed to refer to the audited consolidated financial statements of Parent and its Subsidiaries for the fiscal year ended December 31, 2017, included in Parent’s Annual Report on Form 10-K for 2017 (as amended) and the unaudited consolidated financial statements of Parent and its Subsidiaries for the fiscal quarters ended March 31, 2018 and June 30, 2018, Annual Report on Form 10-K for 2017 and Quarterly Reports on Form 10-Q, or Current Reports on Form 8-K that have been filed after December 31, 2017 by Parent with the SEC) shall be true and correct in all respects as of the applicable date, before and after giving effect to this Fifth Amendment.</w:t>
      </w:r>
    </w:p>
    <w:p>
      <w:pPr>
        <w:spacing w:after="0" w:line="384" w:lineRule="exact"/>
        <w:rPr>
          <w:sz w:val="20"/>
          <w:szCs w:val="20"/>
          <w:color w:val="auto"/>
        </w:rPr>
      </w:pPr>
    </w:p>
    <w:p>
      <w:pPr>
        <w:jc w:val="both"/>
        <w:ind w:left="80" w:firstLine="1297"/>
        <w:spacing w:after="0" w:line="312" w:lineRule="auto"/>
        <w:rPr>
          <w:sz w:val="20"/>
          <w:szCs w:val="20"/>
          <w:color w:val="auto"/>
        </w:rPr>
      </w:pPr>
      <w:r>
        <w:rPr>
          <w:rFonts w:ascii="Arial" w:cs="Arial" w:eastAsia="Arial" w:hAnsi="Arial"/>
          <w:sz w:val="19"/>
          <w:szCs w:val="19"/>
          <w:u w:val="single" w:color="auto"/>
          <w:color w:val="auto"/>
        </w:rPr>
        <w:t>SECTION FIVE - Confirmation</w:t>
      </w:r>
      <w:r>
        <w:rPr>
          <w:rFonts w:ascii="Arial" w:cs="Arial" w:eastAsia="Arial" w:hAnsi="Arial"/>
          <w:sz w:val="19"/>
          <w:szCs w:val="19"/>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w:t>
      </w:r>
    </w:p>
    <w:p>
      <w:pPr>
        <w:sectPr>
          <w:pgSz w:w="11900" w:h="16838" w:orient="portrait"/>
          <w:cols w:equalWidth="0" w:num="1">
            <w:col w:w="11420"/>
          </w:cols>
          <w:pgMar w:left="240" w:top="591" w:right="239" w:bottom="1440" w:gutter="0" w:footer="0" w:header="0"/>
        </w:sectPr>
      </w:pPr>
    </w:p>
    <w:bookmarkStart w:id="99" w:name="page100"/>
    <w:bookmarkEnd w:id="99"/>
    <w:p>
      <w:pPr>
        <w:jc w:val="both"/>
        <w:ind w:left="80"/>
        <w:spacing w:after="0" w:line="302" w:lineRule="auto"/>
        <w:rPr>
          <w:sz w:val="20"/>
          <w:szCs w:val="20"/>
          <w:color w:val="auto"/>
        </w:rPr>
      </w:pPr>
      <w:r>
        <w:rPr>
          <w:rFonts w:ascii="Arial" w:cs="Arial" w:eastAsia="Arial" w:hAnsi="Arial"/>
          <w:sz w:val="19"/>
          <w:szCs w:val="19"/>
          <w:color w:val="auto"/>
        </w:rPr>
        <w:t>shall include, without limitation, all obligations of the Borrower with respect to the 2018 Incremental Term Loans (after giving effect to this Fifth Amendment) and all obligations of the Guarantor with respect to the guarantee of such obligations, respectively, and (ii) reaffirm the grant of Liens on the Collateral to secure the Obligations (including the Obligations under the 2018 Incremental Term Loans incurred pursuant to this Fifth Amendment) pursuant to the Collateral Documents.</w:t>
      </w:r>
    </w:p>
    <w:p>
      <w:pPr>
        <w:spacing w:after="0" w:line="359" w:lineRule="exact"/>
        <w:rPr>
          <w:sz w:val="20"/>
          <w:szCs w:val="20"/>
          <w:color w:val="auto"/>
        </w:rPr>
      </w:pPr>
    </w:p>
    <w:p>
      <w:pPr>
        <w:jc w:val="both"/>
        <w:ind w:left="80" w:firstLine="1297"/>
        <w:spacing w:after="0" w:line="289" w:lineRule="auto"/>
        <w:rPr>
          <w:sz w:val="20"/>
          <w:szCs w:val="20"/>
          <w:color w:val="auto"/>
        </w:rPr>
      </w:pPr>
      <w:r>
        <w:rPr>
          <w:rFonts w:ascii="Arial" w:cs="Arial" w:eastAsia="Arial" w:hAnsi="Arial"/>
          <w:sz w:val="19"/>
          <w:szCs w:val="19"/>
          <w:u w:val="single" w:color="auto"/>
          <w:color w:val="auto"/>
        </w:rPr>
        <w:t>SECTION SIX - Reference to and Effect on the Credit Agreement</w:t>
      </w:r>
      <w:r>
        <w:rPr>
          <w:rFonts w:ascii="Arial" w:cs="Arial" w:eastAsia="Arial" w:hAnsi="Arial"/>
          <w:sz w:val="19"/>
          <w:szCs w:val="19"/>
          <w:color w:val="auto"/>
        </w:rPr>
        <w:t>. On and after the Fifth Amendment Effective Date, each reference in the Credit Agreement to “this Agreement,” “hereunder,” “hereof” or words of like import referring to the Credit Agreement, shall mean and be a reference to the Credit Agreement as amended by this Fifth Amendment. The Credit Agreement and each of the other Loan Documents, as specifically amended by this Fifth Amendment, are and shall continue to be in full force and effect and are hereby in all respects ratified and confirmed. This Fifth Amendment shall be deemed to be a “Loan Document” for all purposes of the Credit Agreement (as amended hereby) and the other Loan Documents. The execution, delivery and effectiveness of this Fifth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374" w:lineRule="exact"/>
        <w:rPr>
          <w:sz w:val="20"/>
          <w:szCs w:val="20"/>
          <w:color w:val="auto"/>
        </w:rPr>
      </w:pPr>
    </w:p>
    <w:p>
      <w:pPr>
        <w:jc w:val="both"/>
        <w:ind w:left="80" w:firstLine="1297"/>
        <w:spacing w:after="0" w:line="297" w:lineRule="auto"/>
        <w:rPr>
          <w:sz w:val="20"/>
          <w:szCs w:val="20"/>
          <w:color w:val="auto"/>
        </w:rPr>
      </w:pPr>
      <w:r>
        <w:rPr>
          <w:rFonts w:ascii="Arial" w:cs="Arial" w:eastAsia="Arial" w:hAnsi="Arial"/>
          <w:sz w:val="19"/>
          <w:szCs w:val="19"/>
          <w:u w:val="single" w:color="auto"/>
          <w:color w:val="auto"/>
        </w:rPr>
        <w:t>SECTION SEVEN - Execution in Counterparts</w:t>
      </w:r>
      <w:r>
        <w:rPr>
          <w:rFonts w:ascii="Arial" w:cs="Arial" w:eastAsia="Arial" w:hAnsi="Arial"/>
          <w:sz w:val="19"/>
          <w:szCs w:val="19"/>
          <w:color w:val="auto"/>
        </w:rPr>
        <w:t>. This Fifth Amendment may be executed in counterparts (and by different parties hereto on different counterparts), each of which shall constitute an original, but all of which when taken together shall constitute a single contract. This Fifth Amendment shall be binding upon and inure to the benefit of the parties hereto and their respective successors and assigns. Delivery of an executed counterpart of a signature page of this Fifth Amendment by facsimile or electronic .pdf copy shall be effective as delivery of a manually executed counterpart of this Fifth Amendment.</w:t>
      </w:r>
    </w:p>
    <w:p>
      <w:pPr>
        <w:spacing w:after="0" w:line="363" w:lineRule="exact"/>
        <w:rPr>
          <w:sz w:val="20"/>
          <w:szCs w:val="20"/>
          <w:color w:val="auto"/>
        </w:rPr>
      </w:pPr>
    </w:p>
    <w:p>
      <w:pPr>
        <w:jc w:val="both"/>
        <w:ind w:left="80" w:right="20" w:firstLine="1297"/>
        <w:spacing w:after="0" w:line="253" w:lineRule="auto"/>
        <w:rPr>
          <w:sz w:val="20"/>
          <w:szCs w:val="20"/>
          <w:color w:val="auto"/>
        </w:rPr>
      </w:pPr>
      <w:r>
        <w:rPr>
          <w:rFonts w:ascii="Arial" w:cs="Arial" w:eastAsia="Arial" w:hAnsi="Arial"/>
          <w:sz w:val="22"/>
          <w:szCs w:val="22"/>
          <w:u w:val="single" w:color="auto"/>
          <w:color w:val="auto"/>
        </w:rPr>
        <w:t>SECTION EIGHT - Governing Law</w:t>
      </w:r>
      <w:r>
        <w:rPr>
          <w:rFonts w:ascii="Arial" w:cs="Arial" w:eastAsia="Arial" w:hAnsi="Arial"/>
          <w:sz w:val="22"/>
          <w:szCs w:val="22"/>
          <w:color w:val="auto"/>
        </w:rPr>
        <w:t>. THIS FIFTH AMENDMENT AND THE RIGHTS AND OBLIGATIONS OF THE PARTIES UNDER THIS FIFTH AMENDMENT SHALL BE GOVERNED BY, AND CONSTRUED AND INTERPRETED IN ACCORDANCE WITH, THE LAWS OF THE STATE OF NEW YORK.</w:t>
      </w:r>
    </w:p>
    <w:p>
      <w:pPr>
        <w:spacing w:after="0" w:line="200" w:lineRule="exact"/>
        <w:rPr>
          <w:sz w:val="20"/>
          <w:szCs w:val="20"/>
          <w:color w:val="auto"/>
        </w:rPr>
      </w:pPr>
    </w:p>
    <w:p>
      <w:pPr>
        <w:spacing w:after="0" w:line="202" w:lineRule="exact"/>
        <w:rPr>
          <w:sz w:val="20"/>
          <w:szCs w:val="20"/>
          <w:color w:val="auto"/>
        </w:rPr>
      </w:pPr>
    </w:p>
    <w:p>
      <w:pPr>
        <w:jc w:val="both"/>
        <w:ind w:left="80" w:firstLine="1297"/>
        <w:spacing w:after="0" w:line="253" w:lineRule="auto"/>
        <w:rPr>
          <w:sz w:val="20"/>
          <w:szCs w:val="20"/>
          <w:color w:val="auto"/>
        </w:rPr>
      </w:pPr>
      <w:r>
        <w:rPr>
          <w:rFonts w:ascii="Arial" w:cs="Arial" w:eastAsia="Arial" w:hAnsi="Arial"/>
          <w:sz w:val="22"/>
          <w:szCs w:val="22"/>
          <w:u w:val="single" w:color="auto"/>
          <w:color w:val="auto"/>
        </w:rPr>
        <w:t>SECTION NINE - Miscellaneous</w:t>
      </w:r>
      <w:r>
        <w:rPr>
          <w:rFonts w:ascii="Arial" w:cs="Arial" w:eastAsia="Arial" w:hAnsi="Arial"/>
          <w:sz w:val="22"/>
          <w:szCs w:val="22"/>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50" w:lineRule="auto"/>
        <w:tabs>
          <w:tab w:leader="none" w:pos="1765" w:val="left"/>
        </w:tabs>
        <w:numPr>
          <w:ilvl w:val="0"/>
          <w:numId w:val="62"/>
        </w:numPr>
        <w:rPr>
          <w:rFonts w:ascii="Arial" w:cs="Arial" w:eastAsia="Arial" w:hAnsi="Arial"/>
          <w:sz w:val="22"/>
          <w:szCs w:val="22"/>
          <w:color w:val="auto"/>
        </w:rPr>
      </w:pPr>
      <w:r>
        <w:rPr>
          <w:rFonts w:ascii="Arial" w:cs="Arial" w:eastAsia="Arial" w:hAnsi="Arial"/>
          <w:sz w:val="22"/>
          <w:szCs w:val="22"/>
          <w:color w:val="auto"/>
        </w:rPr>
        <w:t>For purposes of determining withholding Taxes imposed under FATCA, from and after the effective date of this Fifth Amendment, the Borrower and the Administrative Agent shall treat (and the Lenders party hereto hereby authorize the Administrative Agent to treat) the Term Loan Facility as not qualifying as a “grandfathered obligation” within the meaning of Treasury Regulation Section 1.1471-2(b)(2)(i).</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IS LEFT BLANK INTENTIONALLY]</w:t>
      </w:r>
    </w:p>
    <w:p>
      <w:pPr>
        <w:sectPr>
          <w:pgSz w:w="11900" w:h="16838" w:orient="portrait"/>
          <w:cols w:equalWidth="0" w:num="1">
            <w:col w:w="11420"/>
          </w:cols>
          <w:pgMar w:left="240" w:top="591" w:right="239" w:bottom="1440" w:gutter="0" w:footer="0" w:header="0"/>
        </w:sectPr>
      </w:pPr>
    </w:p>
    <w:bookmarkStart w:id="100" w:name="page101"/>
    <w:bookmarkEnd w:id="100"/>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Fifth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 as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3201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Thomas T. Weir</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 as Parent and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3900"/>
        <w:spacing w:after="0"/>
        <w:tabs>
          <w:tab w:leader="none" w:pos="4460" w:val="left"/>
        </w:tabs>
        <w:rPr>
          <w:sz w:val="20"/>
          <w:szCs w:val="20"/>
          <w:color w:val="auto"/>
        </w:rPr>
      </w:pPr>
      <w:r>
        <w:rPr>
          <w:rFonts w:ascii="Arial" w:cs="Arial" w:eastAsia="Arial" w:hAnsi="Arial"/>
          <w:sz w:val="22"/>
          <w:szCs w:val="22"/>
          <w:color w:val="auto"/>
        </w:rPr>
        <w:t>By:</w:t>
        <w:tab/>
        <w:t>/s/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201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 w:lineRule="exact"/>
        <w:rPr>
          <w:sz w:val="20"/>
          <w:szCs w:val="20"/>
          <w:color w:val="auto"/>
        </w:rPr>
      </w:pPr>
    </w:p>
    <w:p>
      <w:pPr>
        <w:jc w:val="right"/>
        <w:ind w:right="5280"/>
        <w:spacing w:after="0"/>
        <w:rPr>
          <w:sz w:val="20"/>
          <w:szCs w:val="20"/>
          <w:color w:val="auto"/>
        </w:rPr>
      </w:pPr>
      <w:r>
        <w:rPr>
          <w:rFonts w:ascii="Arial" w:cs="Arial" w:eastAsia="Arial" w:hAnsi="Arial"/>
          <w:sz w:val="22"/>
          <w:szCs w:val="22"/>
          <w:color w:val="auto"/>
        </w:rPr>
        <w:t>Name: Thomas T. Weir</w:t>
      </w:r>
    </w:p>
    <w:p>
      <w:pPr>
        <w:spacing w:after="0" w:line="4"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Fifth Amendment to Amended and Restated Credit and Guaranty Agreement</w:t>
      </w:r>
      <w:r>
        <w:rPr>
          <w:rFonts w:ascii="Arial" w:cs="Arial" w:eastAsia="Arial" w:hAnsi="Arial"/>
          <w:sz w:val="18"/>
          <w:szCs w:val="18"/>
          <w:color w:val="auto"/>
        </w:rPr>
        <w:t>]</w:t>
      </w:r>
    </w:p>
    <w:p>
      <w:pPr>
        <w:sectPr>
          <w:pgSz w:w="11900" w:h="16838" w:orient="portrait"/>
          <w:cols w:equalWidth="0" w:num="1">
            <w:col w:w="11420"/>
          </w:cols>
          <w:pgMar w:left="240" w:top="591" w:right="239" w:bottom="1440" w:gutter="0" w:footer="0" w:header="0"/>
        </w:sectPr>
      </w:pPr>
    </w:p>
    <w:bookmarkStart w:id="101" w:name="page102"/>
    <w:bookmarkEnd w:id="101"/>
    <w:p>
      <w:pPr>
        <w:ind w:left="2700"/>
        <w:spacing w:after="0"/>
        <w:rPr>
          <w:sz w:val="20"/>
          <w:szCs w:val="20"/>
          <w:color w:val="auto"/>
        </w:rPr>
      </w:pPr>
      <w:r>
        <w:rPr>
          <w:rFonts w:ascii="Arial" w:cs="Arial" w:eastAsia="Arial" w:hAnsi="Arial"/>
          <w:sz w:val="22"/>
          <w:szCs w:val="22"/>
          <w:color w:val="auto"/>
        </w:rPr>
        <w:t>CITIBANK N.A.,</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/s/ Matthew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960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9603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Matthew Burke</w:t>
      </w:r>
    </w:p>
    <w:p>
      <w:pPr>
        <w:spacing w:after="0" w:line="17"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Title: Managing Director and Vice President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Fifth Amendment to Amended and Restated Credit and Guaranty Agreement</w:t>
      </w:r>
      <w:r>
        <w:rPr>
          <w:rFonts w:ascii="Arial" w:cs="Arial" w:eastAsia="Arial" w:hAnsi="Arial"/>
          <w:sz w:val="16"/>
          <w:szCs w:val="16"/>
          <w:color w:val="auto"/>
        </w:rPr>
        <w:t>]</w:t>
      </w:r>
    </w:p>
    <w:p>
      <w:pPr>
        <w:sectPr>
          <w:pgSz w:w="11900" w:h="16838" w:orient="portrait"/>
          <w:cols w:equalWidth="0" w:num="1">
            <w:col w:w="9019"/>
          </w:cols>
          <w:pgMar w:left="1440" w:top="807" w:right="1440" w:bottom="1440" w:gutter="0" w:footer="0" w:header="0"/>
        </w:sectPr>
      </w:pPr>
    </w:p>
    <w:bookmarkStart w:id="102" w:name="page103"/>
    <w:bookmarkEnd w:id="102"/>
    <w:p>
      <w:pPr>
        <w:ind w:left="2700"/>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2018 Incremental Term Loan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/s/ Cristina Caviness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4027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Cristina Caviness</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Fifth Amendment to Amended and Restated Credit and Guaranty Agreement</w:t>
      </w:r>
      <w:r>
        <w:rPr>
          <w:rFonts w:ascii="Arial" w:cs="Arial" w:eastAsia="Arial" w:hAnsi="Arial"/>
          <w:sz w:val="16"/>
          <w:szCs w:val="16"/>
          <w:color w:val="auto"/>
        </w:rPr>
        <w:t>]</w:t>
      </w:r>
    </w:p>
    <w:p>
      <w:pPr>
        <w:sectPr>
          <w:pgSz w:w="11900" w:h="16838" w:orient="portrait"/>
          <w:cols w:equalWidth="0" w:num="1">
            <w:col w:w="9019"/>
          </w:cols>
          <w:pgMar w:left="1440" w:top="807"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i w:val="1"/>
          <w:iCs w:val="1"/>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560" w:type="dxa"/>
            <w:vAlign w:val="bottom"/>
          </w:tcPr>
          <w:p>
            <w:pPr>
              <w:spacing w:after="0"/>
              <w:rPr>
                <w:sz w:val="21"/>
                <w:szCs w:val="21"/>
                <w:color w:val="auto"/>
              </w:rPr>
            </w:pPr>
          </w:p>
        </w:tc>
        <w:tc>
          <w:tcPr>
            <w:tcW w:w="6600" w:type="dxa"/>
            <w:vAlign w:val="bottom"/>
            <w:gridSpan w:val="4"/>
          </w:tcPr>
          <w:p>
            <w:pPr>
              <w:jc w:val="right"/>
              <w:ind w:right="2600"/>
              <w:spacing w:after="0"/>
              <w:rPr>
                <w:sz w:val="20"/>
                <w:szCs w:val="20"/>
                <w:color w:val="auto"/>
              </w:rPr>
            </w:pPr>
            <w:r>
              <w:rPr>
                <w:rFonts w:ascii="Arial" w:cs="Arial" w:eastAsia="Arial" w:hAnsi="Arial"/>
                <w:sz w:val="22"/>
                <w:szCs w:val="22"/>
                <w:b w:val="1"/>
                <w:bCs w:val="1"/>
                <w:color w:val="auto"/>
                <w:w w:val="90"/>
              </w:rPr>
              <w:t>2018 Incremental Term Loan Commitment</w:t>
            </w:r>
          </w:p>
        </w:tc>
      </w:tr>
      <w:tr>
        <w:trPr>
          <w:trHeight w:val="588"/>
        </w:trPr>
        <w:tc>
          <w:tcPr>
            <w:tcW w:w="256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3400" w:type="dxa"/>
            <w:vAlign w:val="bottom"/>
            <w:tcBorders>
              <w:top w:val="single" w:sz="8" w:color="auto"/>
              <w:bottom w:val="single" w:sz="8" w:color="00000A"/>
            </w:tcBorders>
          </w:tcPr>
          <w:p>
            <w:pPr>
              <w:spacing w:after="0"/>
              <w:rPr>
                <w:sz w:val="24"/>
                <w:szCs w:val="24"/>
                <w:color w:val="auto"/>
              </w:rPr>
            </w:pPr>
          </w:p>
        </w:tc>
        <w:tc>
          <w:tcPr>
            <w:tcW w:w="580" w:type="dxa"/>
            <w:vAlign w:val="bottom"/>
            <w:tcBorders>
              <w:top w:val="single" w:sz="8" w:color="auto"/>
              <w:bottom w:val="single" w:sz="8" w:color="00000A"/>
            </w:tcBorders>
          </w:tcPr>
          <w:p>
            <w:pPr>
              <w:spacing w:after="0"/>
              <w:rPr>
                <w:sz w:val="24"/>
                <w:szCs w:val="24"/>
                <w:color w:val="auto"/>
              </w:rPr>
            </w:pPr>
          </w:p>
        </w:tc>
        <w:tc>
          <w:tcPr>
            <w:tcW w:w="2600" w:type="dxa"/>
            <w:vAlign w:val="bottom"/>
            <w:tcBorders>
              <w:bottom w:val="single" w:sz="8" w:color="00000A"/>
            </w:tcBorders>
          </w:tcPr>
          <w:p>
            <w:pPr>
              <w:spacing w:after="0"/>
              <w:rPr>
                <w:sz w:val="24"/>
                <w:szCs w:val="24"/>
                <w:color w:val="auto"/>
              </w:rPr>
            </w:pPr>
          </w:p>
        </w:tc>
      </w:tr>
      <w:tr>
        <w:trPr>
          <w:trHeight w:val="236"/>
        </w:trPr>
        <w:tc>
          <w:tcPr>
            <w:tcW w:w="2560" w:type="dxa"/>
            <w:vAlign w:val="bottom"/>
            <w:tcBorders>
              <w:left w:val="single" w:sz="8" w:color="00000A"/>
            </w:tcBorders>
            <w:shd w:val="clear" w:color="auto" w:fill="D9D9D9"/>
          </w:tcPr>
          <w:p>
            <w:pPr>
              <w:ind w:left="40"/>
              <w:spacing w:after="0" w:line="237" w:lineRule="exact"/>
              <w:rPr>
                <w:sz w:val="20"/>
                <w:szCs w:val="20"/>
                <w:color w:val="auto"/>
              </w:rPr>
            </w:pPr>
            <w:r>
              <w:rPr>
                <w:rFonts w:ascii="Arial" w:cs="Arial" w:eastAsia="Arial" w:hAnsi="Arial"/>
                <w:sz w:val="22"/>
                <w:szCs w:val="22"/>
                <w:b w:val="1"/>
                <w:bCs w:val="1"/>
                <w:color w:val="auto"/>
              </w:rPr>
              <w:t>Name of Bank</w:t>
            </w:r>
          </w:p>
        </w:tc>
        <w:tc>
          <w:tcPr>
            <w:tcW w:w="20" w:type="dxa"/>
            <w:vAlign w:val="bottom"/>
            <w:shd w:val="clear" w:color="auto" w:fill="D9D9D9"/>
          </w:tcPr>
          <w:p>
            <w:pPr>
              <w:spacing w:after="0"/>
              <w:rPr>
                <w:sz w:val="20"/>
                <w:szCs w:val="20"/>
                <w:color w:val="auto"/>
              </w:rPr>
            </w:pPr>
          </w:p>
        </w:tc>
        <w:tc>
          <w:tcPr>
            <w:tcW w:w="3400" w:type="dxa"/>
            <w:vAlign w:val="bottom"/>
            <w:tcBorders>
              <w:right w:val="single" w:sz="8" w:color="00000A"/>
            </w:tcBorders>
            <w:shd w:val="clear" w:color="auto" w:fill="D9D9D9"/>
          </w:tcPr>
          <w:p>
            <w:pPr>
              <w:spacing w:after="0"/>
              <w:rPr>
                <w:sz w:val="20"/>
                <w:szCs w:val="20"/>
                <w:color w:val="auto"/>
              </w:rPr>
            </w:pPr>
          </w:p>
        </w:tc>
        <w:tc>
          <w:tcPr>
            <w:tcW w:w="3180" w:type="dxa"/>
            <w:vAlign w:val="bottom"/>
            <w:tcBorders>
              <w:right w:val="single" w:sz="8" w:color="00000A"/>
            </w:tcBorders>
            <w:gridSpan w:val="2"/>
            <w:shd w:val="clear" w:color="auto" w:fill="D9D9D9"/>
          </w:tcPr>
          <w:p>
            <w:pPr>
              <w:ind w:left="20"/>
              <w:spacing w:after="0" w:line="237" w:lineRule="exact"/>
              <w:rPr>
                <w:sz w:val="20"/>
                <w:szCs w:val="20"/>
                <w:color w:val="auto"/>
              </w:rPr>
            </w:pPr>
            <w:r>
              <w:rPr>
                <w:rFonts w:ascii="Arial" w:cs="Arial" w:eastAsia="Arial" w:hAnsi="Arial"/>
                <w:sz w:val="22"/>
                <w:szCs w:val="22"/>
                <w:b w:val="1"/>
                <w:bCs w:val="1"/>
                <w:color w:val="auto"/>
              </w:rPr>
              <w:t>2018 Incremental Term Loan</w:t>
            </w:r>
          </w:p>
        </w:tc>
      </w:tr>
      <w:tr>
        <w:trPr>
          <w:trHeight w:val="281"/>
        </w:trPr>
        <w:tc>
          <w:tcPr>
            <w:tcW w:w="2560" w:type="dxa"/>
            <w:vAlign w:val="bottom"/>
            <w:tcBorders>
              <w:left w:val="single" w:sz="8" w:color="00000A"/>
            </w:tcBorders>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3400" w:type="dxa"/>
            <w:vAlign w:val="bottom"/>
            <w:tcBorders>
              <w:right w:val="single" w:sz="8" w:color="00000A"/>
            </w:tcBorders>
            <w:shd w:val="clear" w:color="auto" w:fill="D9D9D9"/>
          </w:tcPr>
          <w:p>
            <w:pPr>
              <w:spacing w:after="0"/>
              <w:rPr>
                <w:sz w:val="24"/>
                <w:szCs w:val="24"/>
                <w:color w:val="auto"/>
              </w:rPr>
            </w:pPr>
          </w:p>
        </w:tc>
        <w:tc>
          <w:tcPr>
            <w:tcW w:w="3180" w:type="dxa"/>
            <w:vAlign w:val="bottom"/>
            <w:tcBorders>
              <w:right w:val="single" w:sz="8" w:color="00000A"/>
            </w:tcBorders>
            <w:gridSpan w:val="2"/>
            <w:shd w:val="clear" w:color="auto" w:fill="D9D9D9"/>
          </w:tcPr>
          <w:p>
            <w:pPr>
              <w:ind w:left="20"/>
              <w:spacing w:after="0"/>
              <w:rPr>
                <w:sz w:val="20"/>
                <w:szCs w:val="20"/>
                <w:color w:val="auto"/>
              </w:rPr>
            </w:pPr>
            <w:r>
              <w:rPr>
                <w:rFonts w:ascii="Arial" w:cs="Arial" w:eastAsia="Arial" w:hAnsi="Arial"/>
                <w:sz w:val="22"/>
                <w:szCs w:val="22"/>
                <w:b w:val="1"/>
                <w:bCs w:val="1"/>
                <w:color w:val="auto"/>
              </w:rPr>
              <w:t>Commitment</w:t>
            </w:r>
          </w:p>
        </w:tc>
      </w:tr>
      <w:tr>
        <w:trPr>
          <w:trHeight w:val="314"/>
        </w:trPr>
        <w:tc>
          <w:tcPr>
            <w:tcW w:w="2560" w:type="dxa"/>
            <w:vAlign w:val="bottom"/>
            <w:tcBorders>
              <w:left w:val="single" w:sz="8" w:color="00000A"/>
              <w:bottom w:val="single" w:sz="8" w:color="00000A"/>
            </w:tcBorders>
            <w:shd w:val="clear" w:color="auto" w:fill="D9D9D9"/>
          </w:tcPr>
          <w:p>
            <w:pPr>
              <w:spacing w:after="0"/>
              <w:rPr>
                <w:sz w:val="24"/>
                <w:szCs w:val="24"/>
                <w:color w:val="auto"/>
              </w:rPr>
            </w:pPr>
          </w:p>
        </w:tc>
        <w:tc>
          <w:tcPr>
            <w:tcW w:w="20" w:type="dxa"/>
            <w:vAlign w:val="bottom"/>
            <w:tcBorders>
              <w:bottom w:val="single" w:sz="8" w:color="00000A"/>
            </w:tcBorders>
            <w:shd w:val="clear" w:color="auto" w:fill="D9D9D9"/>
          </w:tcPr>
          <w:p>
            <w:pPr>
              <w:spacing w:after="0"/>
              <w:rPr>
                <w:sz w:val="24"/>
                <w:szCs w:val="24"/>
                <w:color w:val="auto"/>
              </w:rPr>
            </w:pPr>
          </w:p>
        </w:tc>
        <w:tc>
          <w:tcPr>
            <w:tcW w:w="3400" w:type="dxa"/>
            <w:vAlign w:val="bottom"/>
            <w:tcBorders>
              <w:bottom w:val="single" w:sz="8" w:color="00000A"/>
              <w:right w:val="single" w:sz="8" w:color="00000A"/>
            </w:tcBorders>
            <w:shd w:val="clear" w:color="auto" w:fill="D9D9D9"/>
          </w:tcPr>
          <w:p>
            <w:pPr>
              <w:spacing w:after="0"/>
              <w:rPr>
                <w:sz w:val="24"/>
                <w:szCs w:val="24"/>
                <w:color w:val="auto"/>
              </w:rPr>
            </w:pPr>
          </w:p>
        </w:tc>
        <w:tc>
          <w:tcPr>
            <w:tcW w:w="580" w:type="dxa"/>
            <w:vAlign w:val="bottom"/>
            <w:tcBorders>
              <w:bottom w:val="single" w:sz="8" w:color="00000A"/>
            </w:tcBorders>
            <w:shd w:val="clear" w:color="auto" w:fill="D9D9D9"/>
          </w:tcPr>
          <w:p>
            <w:pPr>
              <w:spacing w:after="0"/>
              <w:rPr>
                <w:sz w:val="24"/>
                <w:szCs w:val="24"/>
                <w:color w:val="auto"/>
              </w:rPr>
            </w:pPr>
          </w:p>
        </w:tc>
        <w:tc>
          <w:tcPr>
            <w:tcW w:w="2600" w:type="dxa"/>
            <w:vAlign w:val="bottom"/>
            <w:tcBorders>
              <w:bottom w:val="single" w:sz="8" w:color="00000A"/>
              <w:right w:val="single" w:sz="8" w:color="00000A"/>
            </w:tcBorders>
            <w:shd w:val="clear" w:color="auto" w:fill="D9D9D9"/>
          </w:tcPr>
          <w:p>
            <w:pPr>
              <w:spacing w:after="0"/>
              <w:rPr>
                <w:sz w:val="24"/>
                <w:szCs w:val="24"/>
                <w:color w:val="auto"/>
              </w:rPr>
            </w:pPr>
          </w:p>
        </w:tc>
      </w:tr>
      <w:tr>
        <w:trPr>
          <w:trHeight w:val="274"/>
        </w:trPr>
        <w:tc>
          <w:tcPr>
            <w:tcW w:w="256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w w:val="88"/>
              </w:rPr>
              <w:t>JPMorgan Chase Bank, N.A.</w:t>
            </w:r>
          </w:p>
        </w:tc>
        <w:tc>
          <w:tcPr>
            <w:tcW w:w="20" w:type="dxa"/>
            <w:vAlign w:val="bottom"/>
          </w:tcPr>
          <w:p>
            <w:pPr>
              <w:spacing w:after="0"/>
              <w:rPr>
                <w:sz w:val="23"/>
                <w:szCs w:val="23"/>
                <w:color w:val="auto"/>
              </w:rPr>
            </w:pPr>
          </w:p>
        </w:tc>
        <w:tc>
          <w:tcPr>
            <w:tcW w:w="3400" w:type="dxa"/>
            <w:vAlign w:val="bottom"/>
            <w:tcBorders>
              <w:right w:val="single" w:sz="8" w:color="00000A"/>
            </w:tcBorders>
          </w:tcPr>
          <w:p>
            <w:pPr>
              <w:spacing w:after="0"/>
              <w:rPr>
                <w:sz w:val="23"/>
                <w:szCs w:val="23"/>
                <w:color w:val="auto"/>
              </w:rPr>
            </w:pPr>
          </w:p>
        </w:tc>
        <w:tc>
          <w:tcPr>
            <w:tcW w:w="3180" w:type="dxa"/>
            <w:vAlign w:val="bottom"/>
            <w:tcBorders>
              <w:right w:val="single" w:sz="8" w:color="00000A"/>
            </w:tcBorders>
            <w:gridSpan w:val="2"/>
          </w:tcPr>
          <w:p>
            <w:pPr>
              <w:jc w:val="right"/>
              <w:ind w:right="880"/>
              <w:spacing w:after="0"/>
              <w:rPr>
                <w:sz w:val="20"/>
                <w:szCs w:val="20"/>
                <w:color w:val="auto"/>
              </w:rPr>
            </w:pPr>
            <w:r>
              <w:rPr>
                <w:rFonts w:ascii="Arial" w:cs="Arial" w:eastAsia="Arial" w:hAnsi="Arial"/>
                <w:sz w:val="22"/>
                <w:szCs w:val="22"/>
                <w:color w:val="auto"/>
              </w:rPr>
              <w:t>$500,000,000.00</w:t>
            </w:r>
          </w:p>
        </w:tc>
      </w:tr>
      <w:tr>
        <w:trPr>
          <w:trHeight w:val="314"/>
        </w:trPr>
        <w:tc>
          <w:tcPr>
            <w:tcW w:w="2560" w:type="dxa"/>
            <w:vAlign w:val="bottom"/>
            <w:tcBorders>
              <w:left w:val="single" w:sz="8" w:color="00000A"/>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3400" w:type="dxa"/>
            <w:vAlign w:val="bottom"/>
            <w:tcBorders>
              <w:bottom w:val="single" w:sz="8" w:color="00000A"/>
              <w:right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600" w:type="dxa"/>
            <w:vAlign w:val="bottom"/>
            <w:tcBorders>
              <w:bottom w:val="single" w:sz="8" w:color="00000A"/>
              <w:right w:val="single" w:sz="8" w:color="00000A"/>
            </w:tcBorders>
          </w:tcPr>
          <w:p>
            <w:pPr>
              <w:spacing w:after="0"/>
              <w:rPr>
                <w:sz w:val="24"/>
                <w:szCs w:val="24"/>
                <w:color w:val="auto"/>
              </w:rPr>
            </w:pPr>
          </w:p>
        </w:tc>
      </w:tr>
      <w:tr>
        <w:trPr>
          <w:trHeight w:val="274"/>
        </w:trPr>
        <w:tc>
          <w:tcPr>
            <w:tcW w:w="2560" w:type="dxa"/>
            <w:vAlign w:val="bottom"/>
            <w:tcBorders>
              <w:left w:val="single" w:sz="8" w:color="00000A"/>
            </w:tcBorders>
          </w:tcPr>
          <w:p>
            <w:pPr>
              <w:ind w:left="40"/>
              <w:spacing w:after="0"/>
              <w:rPr>
                <w:sz w:val="20"/>
                <w:szCs w:val="20"/>
                <w:color w:val="auto"/>
              </w:rPr>
            </w:pPr>
            <w:r>
              <w:rPr>
                <w:rFonts w:ascii="Arial" w:cs="Arial" w:eastAsia="Arial" w:hAnsi="Arial"/>
                <w:sz w:val="22"/>
                <w:szCs w:val="22"/>
                <w:b w:val="1"/>
                <w:bCs w:val="1"/>
                <w:color w:val="auto"/>
              </w:rPr>
              <w:t>Total</w:t>
            </w:r>
          </w:p>
        </w:tc>
        <w:tc>
          <w:tcPr>
            <w:tcW w:w="20" w:type="dxa"/>
            <w:vAlign w:val="bottom"/>
          </w:tcPr>
          <w:p>
            <w:pPr>
              <w:spacing w:after="0"/>
              <w:rPr>
                <w:sz w:val="23"/>
                <w:szCs w:val="23"/>
                <w:color w:val="auto"/>
              </w:rPr>
            </w:pPr>
          </w:p>
        </w:tc>
        <w:tc>
          <w:tcPr>
            <w:tcW w:w="3400" w:type="dxa"/>
            <w:vAlign w:val="bottom"/>
            <w:tcBorders>
              <w:right w:val="single" w:sz="8" w:color="00000A"/>
            </w:tcBorders>
          </w:tcPr>
          <w:p>
            <w:pPr>
              <w:spacing w:after="0"/>
              <w:rPr>
                <w:sz w:val="23"/>
                <w:szCs w:val="23"/>
                <w:color w:val="auto"/>
              </w:rPr>
            </w:pPr>
          </w:p>
        </w:tc>
        <w:tc>
          <w:tcPr>
            <w:tcW w:w="3180" w:type="dxa"/>
            <w:vAlign w:val="bottom"/>
            <w:tcBorders>
              <w:right w:val="single" w:sz="8" w:color="00000A"/>
            </w:tcBorders>
            <w:gridSpan w:val="2"/>
          </w:tcPr>
          <w:p>
            <w:pPr>
              <w:jc w:val="right"/>
              <w:ind w:right="880"/>
              <w:spacing w:after="0"/>
              <w:rPr>
                <w:sz w:val="20"/>
                <w:szCs w:val="20"/>
                <w:color w:val="auto"/>
              </w:rPr>
            </w:pPr>
            <w:r>
              <w:rPr>
                <w:rFonts w:ascii="Arial" w:cs="Arial" w:eastAsia="Arial" w:hAnsi="Arial"/>
                <w:sz w:val="22"/>
                <w:szCs w:val="22"/>
                <w:b w:val="1"/>
                <w:bCs w:val="1"/>
                <w:color w:val="auto"/>
              </w:rPr>
              <w:t>$500,000,000.00</w:t>
            </w:r>
          </w:p>
        </w:tc>
      </w:tr>
      <w:tr>
        <w:trPr>
          <w:trHeight w:val="314"/>
        </w:trPr>
        <w:tc>
          <w:tcPr>
            <w:tcW w:w="2560" w:type="dxa"/>
            <w:vAlign w:val="bottom"/>
            <w:tcBorders>
              <w:left w:val="single" w:sz="8" w:color="00000A"/>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3400" w:type="dxa"/>
            <w:vAlign w:val="bottom"/>
            <w:tcBorders>
              <w:bottom w:val="single" w:sz="8" w:color="00000A"/>
              <w:right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600" w:type="dxa"/>
            <w:vAlign w:val="bottom"/>
            <w:tcBorders>
              <w:bottom w:val="single" w:sz="8" w:color="00000A"/>
              <w:right w:val="single" w:sz="8" w:color="00000A"/>
            </w:tcBorders>
          </w:tcPr>
          <w:p>
            <w:pPr>
              <w:spacing w:after="0"/>
              <w:rPr>
                <w:sz w:val="24"/>
                <w:szCs w:val="24"/>
                <w:color w:val="auto"/>
              </w:rPr>
            </w:pPr>
          </w:p>
        </w:tc>
      </w:tr>
    </w:tbl>
    <w:p>
      <w:pPr>
        <w:sectPr>
          <w:pgSz w:w="11900" w:h="16838" w:orient="portrait"/>
          <w:cols w:equalWidth="0" w:num="1">
            <w:col w:w="10280"/>
          </w:cols>
          <w:pgMar w:left="1380" w:top="807"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10</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A320 Family Aircraft Purchase Agreement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made July 20, 2011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AIRBUS S.A.S.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This Amendment No. 10 to the A320 Family Aircraft Purchase Agreement dated July 20, 2011 (the “</w:t>
      </w:r>
      <w:r>
        <w:rPr>
          <w:rFonts w:ascii="Arial" w:cs="Arial" w:eastAsia="Arial" w:hAnsi="Arial"/>
          <w:sz w:val="22"/>
          <w:szCs w:val="22"/>
          <w:b w:val="1"/>
          <w:bCs w:val="1"/>
          <w:color w:val="auto"/>
        </w:rPr>
        <w:t>Amendment</w:t>
      </w:r>
      <w:r>
        <w:rPr>
          <w:rFonts w:ascii="Arial" w:cs="Arial" w:eastAsia="Arial" w:hAnsi="Arial"/>
          <w:sz w:val="22"/>
          <w:szCs w:val="22"/>
          <w:color w:val="auto"/>
        </w:rPr>
        <w:t xml:space="preserve">”), dated as of July 16, 2018, is entered into by and between </w:t>
      </w:r>
      <w:r>
        <w:rPr>
          <w:rFonts w:ascii="Arial" w:cs="Arial" w:eastAsia="Arial" w:hAnsi="Arial"/>
          <w:sz w:val="22"/>
          <w:szCs w:val="22"/>
          <w:b w:val="1"/>
          <w:bCs w:val="1"/>
          <w:color w:val="auto"/>
        </w:rPr>
        <w:t>AIRBUS S.A.S</w:t>
      </w:r>
      <w:r>
        <w:rPr>
          <w:rFonts w:ascii="Arial" w:cs="Arial" w:eastAsia="Arial" w:hAnsi="Arial"/>
          <w:sz w:val="22"/>
          <w:szCs w:val="22"/>
          <w:color w:val="auto"/>
        </w:rPr>
        <w:t xml:space="preserve">., a </w:t>
      </w:r>
      <w:r>
        <w:rPr>
          <w:rFonts w:ascii="Arial" w:cs="Arial" w:eastAsia="Arial" w:hAnsi="Arial"/>
          <w:sz w:val="22"/>
          <w:szCs w:val="22"/>
          <w:i w:val="1"/>
          <w:iCs w:val="1"/>
          <w:color w:val="auto"/>
        </w:rPr>
        <w:t>société par actions simplifiée</w:t>
      </w:r>
      <w:r>
        <w:rPr>
          <w:rFonts w:ascii="Arial" w:cs="Arial" w:eastAsia="Arial" w:hAnsi="Arial"/>
          <w:sz w:val="22"/>
          <w:szCs w:val="22"/>
          <w:color w:val="auto"/>
        </w:rPr>
        <w:t xml:space="preserve">, created and existing under French law having its registered office at 2 Rond-Point Emile Dewoitine, 31700 Blagnac, France and registered with the Toulouse </w:t>
      </w:r>
      <w:r>
        <w:rPr>
          <w:rFonts w:ascii="Arial" w:cs="Arial" w:eastAsia="Arial" w:hAnsi="Arial"/>
          <w:sz w:val="22"/>
          <w:szCs w:val="22"/>
          <w:i w:val="1"/>
          <w:iCs w:val="1"/>
          <w:color w:val="auto"/>
        </w:rPr>
        <w:t>Registre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du Commerce </w:t>
      </w:r>
      <w:r>
        <w:rPr>
          <w:rFonts w:ascii="Arial" w:cs="Arial" w:eastAsia="Arial" w:hAnsi="Arial"/>
          <w:sz w:val="22"/>
          <w:szCs w:val="22"/>
          <w:color w:val="auto"/>
        </w:rPr>
        <w:t>under number RCS Toulouse 383 474 814 (the “</w:t>
      </w:r>
      <w:r>
        <w:rPr>
          <w:rFonts w:ascii="Arial" w:cs="Arial" w:eastAsia="Arial" w:hAnsi="Arial"/>
          <w:sz w:val="22"/>
          <w:szCs w:val="22"/>
          <w:b w:val="1"/>
          <w:bCs w:val="1"/>
          <w:color w:val="auto"/>
        </w:rPr>
        <w:t>Seller</w:t>
      </w:r>
      <w:r>
        <w:rPr>
          <w:rFonts w:ascii="Arial" w:cs="Arial" w:eastAsia="Arial" w:hAnsi="Arial"/>
          <w:sz w:val="22"/>
          <w:szCs w:val="22"/>
          <w:color w:val="auto"/>
        </w:rPr>
        <w:t>”), and</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AMERICAN AIRLINES, INC</w:t>
      </w:r>
      <w:r>
        <w:rPr>
          <w:rFonts w:ascii="Arial" w:cs="Arial" w:eastAsia="Arial" w:hAnsi="Arial"/>
          <w:sz w:val="22"/>
          <w:szCs w:val="22"/>
          <w:color w:val="auto"/>
        </w:rPr>
        <w:t>., a Delaware</w:t>
      </w:r>
      <w:r>
        <w:rPr>
          <w:rFonts w:ascii="Arial" w:cs="Arial" w:eastAsia="Arial" w:hAnsi="Arial"/>
          <w:sz w:val="22"/>
          <w:szCs w:val="22"/>
          <w:i w:val="1"/>
          <w:iCs w:val="1"/>
          <w:color w:val="auto"/>
        </w:rPr>
        <w:t xml:space="preserve"> </w:t>
      </w:r>
      <w:r>
        <w:rPr>
          <w:rFonts w:ascii="Arial" w:cs="Arial" w:eastAsia="Arial" w:hAnsi="Arial"/>
          <w:sz w:val="22"/>
          <w:szCs w:val="22"/>
          <w:color w:val="auto"/>
        </w:rPr>
        <w:t>corporation having its principal office at 4333 Amon Carter Boulevard, Fort Worth, Texas 76155, United States of America (the “</w:t>
      </w: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WHEREAS, the Buyer and the Seller entered into an Airbus A320 Family Aircraft Purchase Agreement, dated as of July 20, 2011, which, together with all Exhibits, Appendices and Letter Agreements attached thereto and as amended, modified or supplemented from time to time, is hereinafter called the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WHEREAS, pursuant to that certain letter dated 9 April 2018 from Seller and accepted by Buyer with the subject “[*CTR]” the parties agreed to defer Aircraft with CAC Id. Numbers 392669, 392671, and 392673 pursuant to Section 3.1.2(ii) of Letter Agreement No. 5 to the Scheduled Delivery Quarters set forth on Exhibit 1 to this Amendment; and</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WHEREAS, the Buyer and the Seller have agreed to defer the Scheduled Delivery Month or Scheduled Delivery Quarter, as applicable, of certain additional Aircraft;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NOW, THEREFORE, IT IS AGREED AS FOLLOWS:</w:t>
      </w: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capitalized terms used herein and not otherwise defined in this Amendment will have the meanings assigned to them in the Agreement. The terms “herein,” “hereof,” and “hereunder” and words of similar import refer to this Amendment.</w:t>
      </w:r>
    </w:p>
    <w:p>
      <w:pPr>
        <w:spacing w:after="0" w:line="186"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NEO AIRCRAFT DEFERRAL</w:t>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r>
              <w:rPr>
                <w:rFonts w:ascii="Arial" w:cs="Arial" w:eastAsia="Arial" w:hAnsi="Arial"/>
                <w:sz w:val="14"/>
                <w:szCs w:val="14"/>
                <w:color w:val="auto"/>
              </w:rPr>
              <w:t>CT1001520_AMD 10_AAL_A320 PA_EXECUTION</w:t>
            </w:r>
          </w:p>
        </w:tc>
        <w:tc>
          <w:tcPr>
            <w:tcW w:w="416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7" w:lineRule="exact"/>
        <w:rPr>
          <w:sz w:val="20"/>
          <w:szCs w:val="20"/>
          <w:color w:val="auto"/>
        </w:rPr>
      </w:pPr>
    </w:p>
    <w:p>
      <w:pPr>
        <w:ind w:right="60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333" w:right="239" w:bottom="1440" w:gutter="0" w:footer="0" w:header="0"/>
        </w:sectPr>
      </w:pPr>
    </w:p>
    <w:bookmarkStart w:id="105" w:name="page106"/>
    <w:bookmarkEnd w:id="105"/>
    <w:p>
      <w:pPr>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The Seller and the Buyer agree to defer the Scheduled Delivery Month, or Scheduled Delivery Quarter, as applicable, for each of the following Aircraft as follows (each, a “</w:t>
      </w:r>
      <w:r>
        <w:rPr>
          <w:rFonts w:ascii="Arial" w:cs="Arial" w:eastAsia="Arial" w:hAnsi="Arial"/>
          <w:sz w:val="22"/>
          <w:szCs w:val="22"/>
          <w:b w:val="1"/>
          <w:bCs w:val="1"/>
          <w:color w:val="auto"/>
        </w:rPr>
        <w:t>Deferred Aircraft</w:t>
      </w:r>
      <w:r>
        <w:rPr>
          <w:rFonts w:ascii="Arial" w:cs="Arial" w:eastAsia="Arial" w:hAnsi="Arial"/>
          <w:sz w:val="22"/>
          <w:szCs w:val="22"/>
          <w:color w:val="auto"/>
        </w:rPr>
        <w:t>”):</w:t>
      </w:r>
    </w:p>
    <w:p>
      <w:pPr>
        <w:spacing w:after="0" w:line="338" w:lineRule="exact"/>
        <w:rPr>
          <w:sz w:val="20"/>
          <w:szCs w:val="20"/>
          <w:color w:val="auto"/>
        </w:rPr>
      </w:pPr>
    </w:p>
    <w:tbl>
      <w:tblPr>
        <w:tblLayout w:type="fixed"/>
        <w:tblInd w:w="530" w:type="dxa"/>
        <w:tblCellMar>
          <w:top w:w="0" w:type="dxa"/>
          <w:left w:w="0" w:type="dxa"/>
          <w:bottom w:w="0" w:type="dxa"/>
          <w:right w:w="0" w:type="dxa"/>
        </w:tblCellMar>
      </w:tblPr>
      <w:tr>
        <w:trPr>
          <w:trHeight w:val="499"/>
        </w:trPr>
        <w:tc>
          <w:tcPr>
            <w:tcW w:w="3080" w:type="dxa"/>
            <w:vAlign w:val="bottom"/>
            <w:tcBorders>
              <w:top w:val="single" w:sz="8" w:color="00000A"/>
              <w:left w:val="single" w:sz="8" w:color="00000A"/>
              <w:right w:val="single" w:sz="8" w:color="00000A"/>
            </w:tcBorders>
          </w:tcPr>
          <w:p>
            <w:pPr>
              <w:spacing w:after="0"/>
              <w:rPr>
                <w:sz w:val="24"/>
                <w:szCs w:val="24"/>
                <w:color w:val="auto"/>
              </w:rPr>
            </w:pPr>
          </w:p>
        </w:tc>
        <w:tc>
          <w:tcPr>
            <w:tcW w:w="1960" w:type="dxa"/>
            <w:vAlign w:val="bottom"/>
            <w:tcBorders>
              <w:top w:val="single" w:sz="8" w:color="00000A"/>
              <w:right w:val="single" w:sz="8" w:color="00000A"/>
            </w:tcBorders>
          </w:tcPr>
          <w:p>
            <w:pPr>
              <w:spacing w:after="0"/>
              <w:rPr>
                <w:sz w:val="24"/>
                <w:szCs w:val="24"/>
                <w:color w:val="auto"/>
              </w:rPr>
            </w:pPr>
          </w:p>
        </w:tc>
        <w:tc>
          <w:tcPr>
            <w:tcW w:w="30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auto"/>
                <w:w w:val="88"/>
              </w:rPr>
              <w:t>Amendment 9 Scheduled</w:t>
            </w:r>
          </w:p>
        </w:tc>
        <w:tc>
          <w:tcPr>
            <w:tcW w:w="2820" w:type="dxa"/>
            <w:vAlign w:val="bottom"/>
            <w:tcBorders>
              <w:top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080" w:type="dxa"/>
            <w:vAlign w:val="bottom"/>
            <w:tcBorders>
              <w:left w:val="single" w:sz="8" w:color="00000A"/>
              <w:right w:val="single" w:sz="8" w:color="00000A"/>
            </w:tcBorders>
          </w:tcPr>
          <w:p>
            <w:pPr>
              <w:spacing w:after="0"/>
              <w:rPr>
                <w:sz w:val="21"/>
                <w:szCs w:val="21"/>
                <w:color w:val="auto"/>
              </w:rPr>
            </w:pPr>
          </w:p>
        </w:tc>
        <w:tc>
          <w:tcPr>
            <w:tcW w:w="1960" w:type="dxa"/>
            <w:vAlign w:val="bottom"/>
            <w:tcBorders>
              <w:right w:val="single" w:sz="8" w:color="00000A"/>
            </w:tcBorders>
          </w:tcPr>
          <w:p>
            <w:pPr>
              <w:spacing w:after="0"/>
              <w:rPr>
                <w:sz w:val="21"/>
                <w:szCs w:val="21"/>
                <w:color w:val="auto"/>
              </w:rPr>
            </w:pPr>
          </w:p>
        </w:tc>
        <w:tc>
          <w:tcPr>
            <w:tcW w:w="3060" w:type="dxa"/>
            <w:vAlign w:val="bottom"/>
            <w:tcBorders>
              <w:right w:val="single" w:sz="8" w:color="00000A"/>
            </w:tcBorders>
          </w:tcPr>
          <w:p>
            <w:pPr>
              <w:jc w:val="center"/>
              <w:spacing w:after="0" w:line="249" w:lineRule="exact"/>
              <w:rPr>
                <w:sz w:val="20"/>
                <w:szCs w:val="20"/>
                <w:color w:val="auto"/>
              </w:rPr>
            </w:pPr>
            <w:r>
              <w:rPr>
                <w:rFonts w:ascii="Arial" w:cs="Arial" w:eastAsia="Arial" w:hAnsi="Arial"/>
                <w:sz w:val="22"/>
                <w:szCs w:val="22"/>
                <w:b w:val="1"/>
                <w:bCs w:val="1"/>
                <w:color w:val="auto"/>
                <w:w w:val="95"/>
              </w:rPr>
              <w:t>Delivery Quarter</w:t>
            </w:r>
            <w:r>
              <w:rPr>
                <w:rFonts w:ascii="Arial" w:cs="Arial" w:eastAsia="Arial" w:hAnsi="Arial"/>
                <w:sz w:val="22"/>
                <w:szCs w:val="22"/>
                <w:color w:val="auto"/>
                <w:w w:val="95"/>
              </w:rPr>
              <w:t>”</w:t>
            </w:r>
          </w:p>
        </w:tc>
        <w:tc>
          <w:tcPr>
            <w:tcW w:w="28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auto"/>
                <w:w w:val="88"/>
              </w:rPr>
              <w:t>Amendment 10 Scheduled</w:t>
            </w:r>
          </w:p>
        </w:tc>
        <w:tc>
          <w:tcPr>
            <w:tcW w:w="0" w:type="dxa"/>
            <w:vAlign w:val="bottom"/>
          </w:tcPr>
          <w:p>
            <w:pPr>
              <w:spacing w:after="0"/>
              <w:rPr>
                <w:sz w:val="1"/>
                <w:szCs w:val="1"/>
                <w:color w:val="auto"/>
              </w:rPr>
            </w:pPr>
          </w:p>
        </w:tc>
      </w:tr>
      <w:tr>
        <w:trPr>
          <w:trHeight w:val="237"/>
        </w:trPr>
        <w:tc>
          <w:tcPr>
            <w:tcW w:w="308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2"/>
              </w:rPr>
              <w:t>Aircraft Type</w:t>
            </w:r>
          </w:p>
        </w:tc>
        <w:tc>
          <w:tcPr>
            <w:tcW w:w="19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7"/>
              </w:rPr>
              <w:t>CAC ID No.</w:t>
            </w:r>
          </w:p>
        </w:tc>
        <w:tc>
          <w:tcPr>
            <w:tcW w:w="3060" w:type="dxa"/>
            <w:vAlign w:val="bottom"/>
            <w:tcBorders>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91"/>
              </w:rPr>
              <w:t>or</w:t>
            </w:r>
          </w:p>
        </w:tc>
        <w:tc>
          <w:tcPr>
            <w:tcW w:w="2820" w:type="dxa"/>
            <w:vAlign w:val="bottom"/>
            <w:tcBorders>
              <w:right w:val="single" w:sz="8" w:color="00000A"/>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080" w:type="dxa"/>
            <w:vAlign w:val="bottom"/>
            <w:tcBorders>
              <w:left w:val="single" w:sz="8" w:color="00000A"/>
              <w:right w:val="single" w:sz="8" w:color="00000A"/>
            </w:tcBorders>
            <w:vMerge w:val="continue"/>
          </w:tcPr>
          <w:p>
            <w:pPr>
              <w:spacing w:after="0"/>
              <w:rPr>
                <w:sz w:val="13"/>
                <w:szCs w:val="13"/>
                <w:color w:val="auto"/>
              </w:rPr>
            </w:pPr>
          </w:p>
        </w:tc>
        <w:tc>
          <w:tcPr>
            <w:tcW w:w="1960" w:type="dxa"/>
            <w:vAlign w:val="bottom"/>
            <w:tcBorders>
              <w:right w:val="single" w:sz="8" w:color="00000A"/>
            </w:tcBorders>
            <w:vMerge w:val="continue"/>
          </w:tcPr>
          <w:p>
            <w:pPr>
              <w:spacing w:after="0"/>
              <w:rPr>
                <w:sz w:val="13"/>
                <w:szCs w:val="13"/>
                <w:color w:val="auto"/>
              </w:rPr>
            </w:pPr>
          </w:p>
        </w:tc>
        <w:tc>
          <w:tcPr>
            <w:tcW w:w="306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auto"/>
                <w:w w:val="88"/>
              </w:rPr>
              <w:t>Amendment 9 Scheduled</w:t>
            </w:r>
          </w:p>
        </w:tc>
        <w:tc>
          <w:tcPr>
            <w:tcW w:w="282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b w:val="1"/>
                <w:bCs w:val="1"/>
                <w:color w:val="auto"/>
                <w:w w:val="94"/>
              </w:rPr>
              <w:t>Delivery Quarter</w:t>
            </w:r>
            <w:r>
              <w:rPr>
                <w:rFonts w:ascii="Arial" w:cs="Arial" w:eastAsia="Arial" w:hAnsi="Arial"/>
                <w:sz w:val="22"/>
                <w:szCs w:val="22"/>
                <w:color w:val="auto"/>
                <w:w w:val="94"/>
              </w:rPr>
              <w:t>”</w:t>
            </w:r>
          </w:p>
        </w:tc>
        <w:tc>
          <w:tcPr>
            <w:tcW w:w="0" w:type="dxa"/>
            <w:vAlign w:val="bottom"/>
          </w:tcPr>
          <w:p>
            <w:pPr>
              <w:spacing w:after="0"/>
              <w:rPr>
                <w:sz w:val="1"/>
                <w:szCs w:val="1"/>
                <w:color w:val="auto"/>
              </w:rPr>
            </w:pPr>
          </w:p>
        </w:tc>
      </w:tr>
      <w:tr>
        <w:trPr>
          <w:trHeight w:val="84"/>
        </w:trPr>
        <w:tc>
          <w:tcPr>
            <w:tcW w:w="3080" w:type="dxa"/>
            <w:vAlign w:val="bottom"/>
            <w:tcBorders>
              <w:left w:val="single" w:sz="8" w:color="00000A"/>
              <w:right w:val="single" w:sz="8" w:color="00000A"/>
            </w:tcBorders>
          </w:tcPr>
          <w:p>
            <w:pPr>
              <w:spacing w:after="0"/>
              <w:rPr>
                <w:sz w:val="7"/>
                <w:szCs w:val="7"/>
                <w:color w:val="auto"/>
              </w:rPr>
            </w:pPr>
          </w:p>
        </w:tc>
        <w:tc>
          <w:tcPr>
            <w:tcW w:w="1960" w:type="dxa"/>
            <w:vAlign w:val="bottom"/>
            <w:tcBorders>
              <w:right w:val="single" w:sz="8" w:color="00000A"/>
            </w:tcBorders>
          </w:tcPr>
          <w:p>
            <w:pPr>
              <w:spacing w:after="0"/>
              <w:rPr>
                <w:sz w:val="7"/>
                <w:szCs w:val="7"/>
                <w:color w:val="auto"/>
              </w:rPr>
            </w:pPr>
          </w:p>
        </w:tc>
        <w:tc>
          <w:tcPr>
            <w:tcW w:w="3060" w:type="dxa"/>
            <w:vAlign w:val="bottom"/>
            <w:tcBorders>
              <w:right w:val="single" w:sz="8" w:color="00000A"/>
            </w:tcBorders>
            <w:vMerge w:val="continue"/>
          </w:tcPr>
          <w:p>
            <w:pPr>
              <w:spacing w:after="0"/>
              <w:rPr>
                <w:sz w:val="7"/>
                <w:szCs w:val="7"/>
                <w:color w:val="auto"/>
              </w:rPr>
            </w:pPr>
          </w:p>
        </w:tc>
        <w:tc>
          <w:tcPr>
            <w:tcW w:w="282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3080" w:type="dxa"/>
            <w:vAlign w:val="bottom"/>
            <w:tcBorders>
              <w:left w:val="single" w:sz="8" w:color="00000A"/>
              <w:right w:val="single" w:sz="8" w:color="00000A"/>
            </w:tcBorders>
          </w:tcPr>
          <w:p>
            <w:pPr>
              <w:spacing w:after="0"/>
              <w:rPr>
                <w:sz w:val="21"/>
                <w:szCs w:val="21"/>
                <w:color w:val="auto"/>
              </w:rPr>
            </w:pPr>
          </w:p>
        </w:tc>
        <w:tc>
          <w:tcPr>
            <w:tcW w:w="1960" w:type="dxa"/>
            <w:vAlign w:val="bottom"/>
            <w:tcBorders>
              <w:right w:val="single" w:sz="8" w:color="00000A"/>
            </w:tcBorders>
          </w:tcPr>
          <w:p>
            <w:pPr>
              <w:spacing w:after="0"/>
              <w:rPr>
                <w:sz w:val="21"/>
                <w:szCs w:val="21"/>
                <w:color w:val="auto"/>
              </w:rPr>
            </w:pPr>
          </w:p>
        </w:tc>
        <w:tc>
          <w:tcPr>
            <w:tcW w:w="3060" w:type="dxa"/>
            <w:vAlign w:val="bottom"/>
            <w:tcBorders>
              <w:right w:val="single" w:sz="8" w:color="00000A"/>
            </w:tcBorders>
          </w:tcPr>
          <w:p>
            <w:pPr>
              <w:jc w:val="center"/>
              <w:spacing w:after="0" w:line="249" w:lineRule="exact"/>
              <w:rPr>
                <w:sz w:val="20"/>
                <w:szCs w:val="20"/>
                <w:color w:val="auto"/>
              </w:rPr>
            </w:pPr>
            <w:r>
              <w:rPr>
                <w:rFonts w:ascii="Arial" w:cs="Arial" w:eastAsia="Arial" w:hAnsi="Arial"/>
                <w:sz w:val="22"/>
                <w:szCs w:val="22"/>
                <w:b w:val="1"/>
                <w:bCs w:val="1"/>
                <w:color w:val="auto"/>
                <w:w w:val="93"/>
              </w:rPr>
              <w:t>Delivery Month</w:t>
            </w:r>
            <w:r>
              <w:rPr>
                <w:rFonts w:ascii="Arial" w:cs="Arial" w:eastAsia="Arial" w:hAnsi="Arial"/>
                <w:sz w:val="22"/>
                <w:szCs w:val="22"/>
                <w:color w:val="auto"/>
                <w:w w:val="93"/>
              </w:rPr>
              <w:t>”,</w:t>
            </w:r>
          </w:p>
        </w:tc>
        <w:tc>
          <w:tcPr>
            <w:tcW w:w="28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080" w:type="dxa"/>
            <w:vAlign w:val="bottom"/>
            <w:tcBorders>
              <w:left w:val="single" w:sz="8" w:color="00000A"/>
              <w:right w:val="single" w:sz="8" w:color="00000A"/>
            </w:tcBorders>
          </w:tcPr>
          <w:p>
            <w:pPr>
              <w:spacing w:after="0"/>
              <w:rPr>
                <w:sz w:val="23"/>
                <w:szCs w:val="23"/>
                <w:color w:val="auto"/>
              </w:rPr>
            </w:pPr>
          </w:p>
        </w:tc>
        <w:tc>
          <w:tcPr>
            <w:tcW w:w="1960" w:type="dxa"/>
            <w:vAlign w:val="bottom"/>
            <w:tcBorders>
              <w:right w:val="single" w:sz="8" w:color="00000A"/>
            </w:tcBorders>
          </w:tcPr>
          <w:p>
            <w:pPr>
              <w:spacing w:after="0"/>
              <w:rPr>
                <w:sz w:val="23"/>
                <w:szCs w:val="23"/>
                <w:color w:val="auto"/>
              </w:rPr>
            </w:pPr>
          </w:p>
        </w:tc>
        <w:tc>
          <w:tcPr>
            <w:tcW w:w="30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3"/>
              </w:rPr>
              <w:t>as the case may be</w:t>
            </w:r>
          </w:p>
        </w:tc>
        <w:tc>
          <w:tcPr>
            <w:tcW w:w="282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080" w:type="dxa"/>
            <w:vAlign w:val="bottom"/>
            <w:tcBorders>
              <w:left w:val="single" w:sz="8" w:color="00000A"/>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3060" w:type="dxa"/>
            <w:vAlign w:val="bottom"/>
            <w:tcBorders>
              <w:bottom w:val="single" w:sz="8" w:color="00000A"/>
              <w:right w:val="single" w:sz="8" w:color="00000A"/>
            </w:tcBorders>
          </w:tcPr>
          <w:p>
            <w:pPr>
              <w:spacing w:after="0"/>
              <w:rPr>
                <w:sz w:val="22"/>
                <w:szCs w:val="22"/>
                <w:color w:val="auto"/>
              </w:rPr>
            </w:pPr>
          </w:p>
        </w:tc>
        <w:tc>
          <w:tcPr>
            <w:tcW w:w="282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91"/>
        </w:trPr>
        <w:tc>
          <w:tcPr>
            <w:tcW w:w="3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[*CTR]</w:t>
            </w:r>
          </w:p>
        </w:tc>
        <w:tc>
          <w:tcPr>
            <w:tcW w:w="3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In respect of the Predelivery Payments paid by the Buyer to the Seller in respect of Deferred Aircraft [*CTR] will be [*CTR] applied [*CTR].</w:t>
      </w:r>
    </w:p>
    <w:p>
      <w:pPr>
        <w:spacing w:after="0" w:line="215" w:lineRule="exact"/>
        <w:rPr>
          <w:sz w:val="20"/>
          <w:szCs w:val="20"/>
          <w:color w:val="auto"/>
        </w:rPr>
      </w:pPr>
    </w:p>
    <w:p>
      <w:pPr>
        <w:jc w:val="both"/>
        <w:ind w:left="660" w:right="20" w:hanging="647"/>
        <w:spacing w:after="0" w:line="287"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color w:val="auto"/>
        </w:rPr>
        <w:t>The deferral of the Deferred Aircraft does not have any effect on any guarantee set forth in Amended and Restated Letter Agreement No. 11K, Letter Agreement No. 11K-1, or Amended and Restated Letter Agreement No. 11L.</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r>
              <w:rPr>
                <w:rFonts w:ascii="Arial" w:cs="Arial" w:eastAsia="Arial" w:hAnsi="Arial"/>
                <w:sz w:val="14"/>
                <w:szCs w:val="14"/>
                <w:color w:val="auto"/>
              </w:rPr>
              <w:t>CT1001520_AMD 10_AAL_A320 PA_EXECUTION</w:t>
            </w:r>
          </w:p>
        </w:tc>
        <w:tc>
          <w:tcPr>
            <w:tcW w:w="416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17"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40"/>
          </w:cols>
          <w:pgMar w:left="240" w:top="631" w:right="219" w:bottom="1440" w:gutter="0" w:footer="0" w:header="0"/>
        </w:sectPr>
      </w:pPr>
    </w:p>
    <w:bookmarkStart w:id="106" w:name="page107"/>
    <w:bookmarkEnd w:id="106"/>
    <w:p>
      <w:pPr>
        <w:spacing w:after="0"/>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Clause 7.3.1 of Letter Agreement No. 2 is hereby deleted in its entirety and restated as follows:</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each Aircraft that is sold by the Seller and delivered to the Buyer on or before [*CTR]:</w:t>
      </w:r>
    </w:p>
    <w:p>
      <w:pPr>
        <w:spacing w:after="0" w:line="200" w:lineRule="exact"/>
        <w:rPr>
          <w:sz w:val="20"/>
          <w:szCs w:val="20"/>
          <w:color w:val="auto"/>
        </w:rPr>
      </w:pPr>
    </w:p>
    <w:p>
      <w:pPr>
        <w:spacing w:after="0" w:line="236"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[*CTR];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220" w:hanging="564"/>
        <w:spacing w:after="0"/>
        <w:tabs>
          <w:tab w:leader="none" w:pos="12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[*CTR];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hanging="644"/>
        <w:spacing w:after="0"/>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[*CTR]; and</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hanging="644"/>
        <w:spacing w:after="0"/>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[*CTR]”</w:t>
      </w:r>
    </w:p>
    <w:p>
      <w:pPr>
        <w:spacing w:after="0" w:line="2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Clause 7.3.2 of Letter Agreement No. 2 is hereby deleted in its entirety and restated as follows:</w:t>
      </w:r>
    </w:p>
    <w:p>
      <w:pPr>
        <w:spacing w:after="0" w:line="200" w:lineRule="exact"/>
        <w:rPr>
          <w:sz w:val="20"/>
          <w:szCs w:val="20"/>
          <w:color w:val="auto"/>
        </w:rPr>
      </w:pPr>
    </w:p>
    <w:p>
      <w:pPr>
        <w:spacing w:after="0" w:line="222"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“Except for the [*CTR], for each Aircraft that is sold by the Seller and purchased by the Buyer and delivered to the Buyer [*CTR]:</w:t>
      </w:r>
    </w:p>
    <w:p>
      <w:pPr>
        <w:spacing w:after="0" w:line="391"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[*CTR]: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60" w:hanging="655"/>
        <w:spacing w:after="0"/>
        <w:tabs>
          <w:tab w:leader="none" w:pos="19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[*CTR];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60" w:hanging="655"/>
        <w:spacing w:after="0"/>
        <w:tabs>
          <w:tab w:leader="none" w:pos="19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[*CTR];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60" w:hanging="655"/>
        <w:spacing w:after="0"/>
        <w:tabs>
          <w:tab w:leader="none" w:pos="19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[*CTR]; and</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60" w:hanging="655"/>
        <w:spacing w:after="0"/>
        <w:tabs>
          <w:tab w:leader="none" w:pos="19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[*CTR].</w:t>
      </w:r>
    </w:p>
    <w:p>
      <w:pPr>
        <w:spacing w:after="0" w:line="200" w:lineRule="exact"/>
        <w:rPr>
          <w:sz w:val="20"/>
          <w:szCs w:val="20"/>
          <w:color w:val="auto"/>
        </w:rPr>
      </w:pPr>
    </w:p>
    <w:p>
      <w:pPr>
        <w:spacing w:after="0" w:line="236"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[*CTR]: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60" w:hanging="655"/>
        <w:spacing w:after="0"/>
        <w:tabs>
          <w:tab w:leader="none" w:pos="19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[*CTR];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60" w:hanging="655"/>
        <w:spacing w:after="0"/>
        <w:tabs>
          <w:tab w:leader="none" w:pos="19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[*CTR]; and</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60" w:hanging="655"/>
        <w:spacing w:after="0"/>
        <w:tabs>
          <w:tab w:leader="none" w:pos="19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[*CTR]”</w:t>
      </w:r>
    </w:p>
    <w:p>
      <w:pPr>
        <w:spacing w:after="0" w:line="200" w:lineRule="exact"/>
        <w:rPr>
          <w:sz w:val="20"/>
          <w:szCs w:val="20"/>
          <w:color w:val="auto"/>
        </w:rPr>
      </w:pP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Notwithstanding anything to the contrary in the Agreement, with respect to the [*CTR]. The Seller [*CTR].</w:t>
      </w:r>
    </w:p>
    <w:p>
      <w:pPr>
        <w:spacing w:after="0" w:line="268"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DELIVERY SCHEDULES</w:t>
      </w:r>
    </w:p>
    <w:p>
      <w:pPr>
        <w:spacing w:after="0" w:line="266" w:lineRule="exact"/>
        <w:rPr>
          <w:sz w:val="20"/>
          <w:szCs w:val="20"/>
          <w:color w:val="auto"/>
        </w:rPr>
      </w:pPr>
    </w:p>
    <w:p>
      <w:pPr>
        <w:ind w:left="660" w:right="20" w:firstLine="648"/>
        <w:spacing w:after="0" w:line="263" w:lineRule="auto"/>
        <w:rPr>
          <w:sz w:val="20"/>
          <w:szCs w:val="20"/>
          <w:color w:val="auto"/>
        </w:rPr>
      </w:pPr>
      <w:r>
        <w:rPr>
          <w:rFonts w:ascii="Arial" w:cs="Arial" w:eastAsia="Arial" w:hAnsi="Arial"/>
          <w:sz w:val="22"/>
          <w:szCs w:val="22"/>
          <w:color w:val="auto"/>
        </w:rPr>
        <w:t>Schedule I to the Agreement is deleted in its entirety and replaced with the “Schedule I to the Agreement” attached as Exhibit 1.</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r>
              <w:rPr>
                <w:rFonts w:ascii="Arial" w:cs="Arial" w:eastAsia="Arial" w:hAnsi="Arial"/>
                <w:sz w:val="14"/>
                <w:szCs w:val="14"/>
                <w:color w:val="auto"/>
              </w:rPr>
              <w:t>CT1001520_AMD 10_AAL_A320 PA_EXECUTION</w:t>
            </w:r>
          </w:p>
        </w:tc>
        <w:tc>
          <w:tcPr>
            <w:tcW w:w="41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7" w:lineRule="exact"/>
        <w:rPr>
          <w:sz w:val="20"/>
          <w:szCs w:val="20"/>
          <w:color w:val="auto"/>
        </w:rPr>
      </w:pPr>
    </w:p>
    <w:p>
      <w:pPr>
        <w:sectPr>
          <w:pgSz w:w="11900" w:h="16838" w:orient="portrait"/>
          <w:cols w:equalWidth="0" w:num="1">
            <w:col w:w="11420"/>
          </w:cols>
          <w:pgMar w:left="240" w:top="375" w:right="239" w:bottom="1440" w:gutter="0" w:footer="0" w:header="0"/>
        </w:sectPr>
      </w:pPr>
    </w:p>
    <w:p>
      <w:pPr>
        <w:ind w:right="60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375" w:right="239" w:bottom="1440" w:gutter="0" w:footer="0" w:header="0"/>
          <w:type w:val="continuous"/>
        </w:sectPr>
      </w:pPr>
    </w:p>
    <w:bookmarkStart w:id="107" w:name="page108"/>
    <w:bookmarkEnd w:id="107"/>
    <w:p>
      <w:pPr>
        <w:ind w:left="660" w:hanging="652"/>
        <w:spacing w:after="0"/>
        <w:tabs>
          <w:tab w:leader="none" w:pos="6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REFERENCES</w:t>
      </w:r>
    </w:p>
    <w:p>
      <w:pPr>
        <w:spacing w:after="0" w:line="266"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On and after the date of this Amendment:</w:t>
      </w:r>
    </w:p>
    <w:p>
      <w:pPr>
        <w:spacing w:after="0" w:line="260" w:lineRule="exact"/>
        <w:rPr>
          <w:rFonts w:ascii="Arial" w:cs="Arial" w:eastAsia="Arial" w:hAnsi="Arial"/>
          <w:sz w:val="22"/>
          <w:szCs w:val="22"/>
          <w:b w:val="1"/>
          <w:bCs w:val="1"/>
          <w:color w:val="auto"/>
        </w:rPr>
      </w:pPr>
    </w:p>
    <w:p>
      <w:pPr>
        <w:jc w:val="both"/>
        <w:ind w:left="1300" w:hanging="644"/>
        <w:spacing w:after="0" w:line="253" w:lineRule="auto"/>
        <w:tabs>
          <w:tab w:leader="none" w:pos="1300" w:val="left"/>
        </w:tabs>
        <w:numPr>
          <w:ilvl w:val="1"/>
          <w:numId w:val="68"/>
        </w:numPr>
        <w:rPr>
          <w:rFonts w:ascii="Arial" w:cs="Arial" w:eastAsia="Arial" w:hAnsi="Arial"/>
          <w:sz w:val="22"/>
          <w:szCs w:val="22"/>
          <w:color w:val="auto"/>
        </w:rPr>
      </w:pPr>
      <w:r>
        <w:rPr>
          <w:rFonts w:ascii="Arial" w:cs="Arial" w:eastAsia="Arial" w:hAnsi="Arial"/>
          <w:sz w:val="22"/>
          <w:szCs w:val="22"/>
          <w:color w:val="auto"/>
        </w:rPr>
        <w:t>each reference in Letter Agreement No. 2 to “this Letter Agreement”, “hereunder”, “hereof” or words of like import referring to Letter Agreement No. 2 shall mean and be a reference to Letter Agreement No. 2 as amended by this Amendment; and</w:t>
      </w:r>
    </w:p>
    <w:p>
      <w:pPr>
        <w:spacing w:after="0" w:line="226" w:lineRule="exact"/>
        <w:rPr>
          <w:rFonts w:ascii="Arial" w:cs="Arial" w:eastAsia="Arial" w:hAnsi="Arial"/>
          <w:sz w:val="22"/>
          <w:szCs w:val="22"/>
          <w:color w:val="auto"/>
        </w:rPr>
      </w:pPr>
    </w:p>
    <w:p>
      <w:pPr>
        <w:ind w:left="1300" w:hanging="644"/>
        <w:spacing w:after="0" w:line="287" w:lineRule="auto"/>
        <w:tabs>
          <w:tab w:leader="none" w:pos="1300" w:val="left"/>
        </w:tabs>
        <w:numPr>
          <w:ilvl w:val="1"/>
          <w:numId w:val="68"/>
        </w:numPr>
        <w:rPr>
          <w:rFonts w:ascii="Arial" w:cs="Arial" w:eastAsia="Arial" w:hAnsi="Arial"/>
          <w:sz w:val="21"/>
          <w:szCs w:val="21"/>
          <w:color w:val="auto"/>
        </w:rPr>
      </w:pPr>
      <w:r>
        <w:rPr>
          <w:rFonts w:ascii="Arial" w:cs="Arial" w:eastAsia="Arial" w:hAnsi="Arial"/>
          <w:sz w:val="21"/>
          <w:szCs w:val="21"/>
          <w:color w:val="auto"/>
        </w:rPr>
        <w:t>each reference in the Agreement to “this Agreement”, “hereunder”, “hereof” or words of like import referring to the Agreement shall mean and be a reference to the Agreement as amended by this Amendment.</w:t>
      </w:r>
    </w:p>
    <w:p>
      <w:pPr>
        <w:spacing w:after="0" w:line="186" w:lineRule="exact"/>
        <w:rPr>
          <w:rFonts w:ascii="Arial" w:cs="Arial" w:eastAsia="Arial" w:hAnsi="Arial"/>
          <w:sz w:val="21"/>
          <w:szCs w:val="21"/>
          <w:color w:val="auto"/>
        </w:rPr>
      </w:pPr>
    </w:p>
    <w:p>
      <w:pPr>
        <w:ind w:left="660" w:hanging="652"/>
        <w:spacing w:after="0"/>
        <w:tabs>
          <w:tab w:leader="none" w:pos="6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AMENDMENT</w:t>
      </w:r>
    </w:p>
    <w:p>
      <w:pPr>
        <w:spacing w:after="0" w:line="266" w:lineRule="exact"/>
        <w:rPr>
          <w:rFonts w:ascii="Arial" w:cs="Arial" w:eastAsia="Arial" w:hAnsi="Arial"/>
          <w:sz w:val="22"/>
          <w:szCs w:val="22"/>
          <w:b w:val="1"/>
          <w:bCs w:val="1"/>
          <w:color w:val="auto"/>
        </w:rPr>
      </w:pPr>
    </w:p>
    <w:p>
      <w:pPr>
        <w:ind w:left="1300" w:hanging="648"/>
        <w:spacing w:after="0" w:line="248" w:lineRule="auto"/>
        <w:rPr>
          <w:rFonts w:ascii="Arial" w:cs="Arial" w:eastAsia="Arial" w:hAnsi="Arial"/>
          <w:sz w:val="22"/>
          <w:szCs w:val="22"/>
          <w:b w:val="1"/>
          <w:bCs w:val="1"/>
          <w:color w:val="auto"/>
        </w:rPr>
      </w:pPr>
      <w:r>
        <w:rPr>
          <w:rFonts w:ascii="Arial" w:cs="Arial" w:eastAsia="Arial" w:hAnsi="Arial"/>
          <w:sz w:val="22"/>
          <w:szCs w:val="22"/>
          <w:color w:val="auto"/>
        </w:rPr>
        <w:t>4.1 Upon execution, this Amendment will constitute a valid amendment to the Agreement and the Agreement will be deemed to be amended to the extent herein provided and, except as specifically amended hereby, will continue in full force and effect in accordance with its original terms. This Amendment supersedes any previous understandings, commitments or representations whatsoever, whether oral or written, related to the subject matter of this Amendment.</w:t>
      </w:r>
    </w:p>
    <w:p>
      <w:pPr>
        <w:spacing w:after="0" w:line="232" w:lineRule="exact"/>
        <w:rPr>
          <w:rFonts w:ascii="Arial" w:cs="Arial" w:eastAsia="Arial" w:hAnsi="Arial"/>
          <w:sz w:val="22"/>
          <w:szCs w:val="22"/>
          <w:b w:val="1"/>
          <w:bCs w:val="1"/>
          <w:color w:val="auto"/>
        </w:rPr>
      </w:pPr>
    </w:p>
    <w:p>
      <w:pPr>
        <w:ind w:left="1300" w:hanging="648"/>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4.2 This Amendment will constitute an integral, nonseverable part of the Agreement, that the provisions of the Agreement are hereby incorporated herein by reference, and that this Amendment will be governed by the provisions of the Agreement, except that if the Agreement and this Amendment have specific provisions that are inconsistent, the specific provisions contained in this Amendment will govern.</w:t>
      </w:r>
    </w:p>
    <w:p>
      <w:pPr>
        <w:spacing w:after="0" w:line="222" w:lineRule="exact"/>
        <w:rPr>
          <w:rFonts w:ascii="Arial" w:cs="Arial" w:eastAsia="Arial" w:hAnsi="Arial"/>
          <w:sz w:val="22"/>
          <w:szCs w:val="22"/>
          <w:b w:val="1"/>
          <w:bCs w:val="1"/>
          <w:color w:val="auto"/>
        </w:rPr>
      </w:pPr>
    </w:p>
    <w:p>
      <w:pPr>
        <w:ind w:left="660" w:hanging="652"/>
        <w:spacing w:after="0"/>
        <w:tabs>
          <w:tab w:leader="none" w:pos="6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ASSIGNMENT</w:t>
      </w:r>
    </w:p>
    <w:p>
      <w:pPr>
        <w:spacing w:after="0" w:line="266"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This Amendment and the rights and obligations of the parties are subject to the provisions of Clause 21 of the Agreement.</w:t>
      </w:r>
    </w:p>
    <w:p>
      <w:pPr>
        <w:spacing w:after="0" w:line="288" w:lineRule="exact"/>
        <w:rPr>
          <w:rFonts w:ascii="Arial" w:cs="Arial" w:eastAsia="Arial" w:hAnsi="Arial"/>
          <w:sz w:val="22"/>
          <w:szCs w:val="22"/>
          <w:b w:val="1"/>
          <w:bCs w:val="1"/>
          <w:color w:val="auto"/>
        </w:rPr>
      </w:pPr>
    </w:p>
    <w:p>
      <w:pPr>
        <w:ind w:left="380" w:hanging="372"/>
        <w:spacing w:after="0"/>
        <w:tabs>
          <w:tab w:leader="none" w:pos="38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6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The Seller and the Buyer agree not to disclose the terms and conditions of this Amendment to any person without the prior written consent of the other party. Notwithstanding the foregoing, the Seller and the Buyer agree that such terms and conditions may be disclosed without such prior written consent to (i) as required by law or as necessary in connection with the enforcement of such party’s rights hereunder, and (ii) to the board of directors, managers, employees, auditors, and legal, financial and technical advisors of each party.</w:t>
      </w:r>
    </w:p>
    <w:p>
      <w:pPr>
        <w:spacing w:after="0" w:line="22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21"/>
          <w:szCs w:val="21"/>
          <w:b w:val="1"/>
          <w:bCs w:val="1"/>
          <w:color w:val="auto"/>
        </w:rPr>
        <w:t>COUNTERPARTS</w:t>
      </w:r>
    </w:p>
    <w:p>
      <w:pPr>
        <w:spacing w:after="0" w:line="26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This Amendment may be executed by the parties hereto in separate counterparts, each of which when so executed and delivered (including counterparts delivered by e-mail or facsimile) will be an original, but all such counterparts will together constitute but one and the same instrument.</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r>
              <w:rPr>
                <w:rFonts w:ascii="Arial" w:cs="Arial" w:eastAsia="Arial" w:hAnsi="Arial"/>
                <w:sz w:val="14"/>
                <w:szCs w:val="14"/>
                <w:color w:val="auto"/>
              </w:rPr>
              <w:t>CT1001520_AMD 10_AAL_A320 PA_EXECUTION</w:t>
            </w:r>
          </w:p>
        </w:tc>
        <w:tc>
          <w:tcPr>
            <w:tcW w:w="416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369" w:right="239" w:bottom="1440" w:gutter="0" w:footer="0" w:header="0"/>
        </w:sectPr>
      </w:pPr>
    </w:p>
    <w:bookmarkStart w:id="108" w:name="page109"/>
    <w:bookmarkEnd w:id="108"/>
    <w:p>
      <w:pPr>
        <w:spacing w:after="0" w:line="263" w:lineRule="auto"/>
        <w:rPr>
          <w:sz w:val="20"/>
          <w:szCs w:val="20"/>
          <w:color w:val="auto"/>
        </w:rPr>
      </w:pPr>
      <w:r>
        <w:rPr>
          <w:rFonts w:ascii="Arial" w:cs="Arial" w:eastAsia="Arial" w:hAnsi="Arial"/>
          <w:sz w:val="22"/>
          <w:szCs w:val="22"/>
          <w:color w:val="auto"/>
        </w:rPr>
        <w:t>If the foregoing correctly sets forth your understanding, please execute the original and one (1) copy hereof in the space provided below and return a copy to the Seller.</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AIRBUS S.A.S.</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4751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Airbus S.A.S.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 Contracts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American Airlines,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American Airlines,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 and Treasurer</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r>
              <w:rPr>
                <w:rFonts w:ascii="Arial" w:cs="Arial" w:eastAsia="Arial" w:hAnsi="Arial"/>
                <w:sz w:val="14"/>
                <w:szCs w:val="14"/>
                <w:color w:val="auto"/>
              </w:rPr>
              <w:t>CT1001520_AMD 10_AAL_A320 PA_EXECUTION</w:t>
            </w:r>
          </w:p>
        </w:tc>
        <w:tc>
          <w:tcPr>
            <w:tcW w:w="416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375"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EXHIBIT 1 TO AMENDMENT No. 10</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0" w:type="dxa"/>
            <w:vAlign w:val="bottom"/>
            <w:gridSpan w:val="3"/>
          </w:tcPr>
          <w:p>
            <w:pPr>
              <w:jc w:val="right"/>
              <w:spacing w:after="0"/>
              <w:rPr>
                <w:sz w:val="20"/>
                <w:szCs w:val="20"/>
                <w:color w:val="auto"/>
              </w:rPr>
            </w:pPr>
            <w:r>
              <w:rPr>
                <w:rFonts w:ascii="Arial" w:cs="Arial" w:eastAsia="Arial" w:hAnsi="Arial"/>
                <w:sz w:val="22"/>
                <w:szCs w:val="22"/>
                <w:b w:val="1"/>
                <w:bCs w:val="1"/>
                <w:color w:val="auto"/>
                <w:w w:val="91"/>
              </w:rPr>
              <w:t>SCHEDULE 1 to the Agreement</w:t>
            </w:r>
          </w:p>
        </w:tc>
      </w:tr>
      <w:tr>
        <w:trPr>
          <w:trHeight w:val="382"/>
        </w:trPr>
        <w:tc>
          <w:tcPr>
            <w:tcW w:w="6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r>
      <w:tr>
        <w:trPr>
          <w:trHeight w:val="227"/>
        </w:trPr>
        <w:tc>
          <w:tcPr>
            <w:tcW w:w="6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3480" w:type="dxa"/>
            <w:vAlign w:val="bottom"/>
          </w:tcPr>
          <w:p>
            <w:pPr>
              <w:jc w:val="center"/>
              <w:ind w:left="481"/>
              <w:spacing w:after="0" w:line="228" w:lineRule="exact"/>
              <w:rPr>
                <w:sz w:val="20"/>
                <w:szCs w:val="20"/>
                <w:color w:val="auto"/>
              </w:rPr>
            </w:pPr>
            <w:r>
              <w:rPr>
                <w:rFonts w:ascii="Arial" w:cs="Arial" w:eastAsia="Arial" w:hAnsi="Arial"/>
                <w:sz w:val="20"/>
                <w:szCs w:val="20"/>
                <w:b w:val="1"/>
                <w:bCs w:val="1"/>
                <w:color w:val="auto"/>
                <w:w w:val="90"/>
              </w:rPr>
              <w:t>Scheduled Delivery Month/Year</w:t>
            </w:r>
          </w:p>
        </w:tc>
        <w:tc>
          <w:tcPr>
            <w:tcW w:w="68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6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Aircraft Rank</w:t>
            </w:r>
          </w:p>
        </w:tc>
        <w:tc>
          <w:tcPr>
            <w:tcW w:w="1020" w:type="dxa"/>
            <w:vAlign w:val="bottom"/>
          </w:tcPr>
          <w:p>
            <w:pPr>
              <w:spacing w:after="0"/>
              <w:rPr>
                <w:sz w:val="19"/>
                <w:szCs w:val="19"/>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b w:val="1"/>
                <w:bCs w:val="1"/>
                <w:color w:val="auto"/>
                <w:w w:val="89"/>
              </w:rPr>
              <w:t>Type</w:t>
            </w:r>
          </w:p>
        </w:tc>
        <w:tc>
          <w:tcPr>
            <w:tcW w:w="3480" w:type="dxa"/>
            <w:vAlign w:val="bottom"/>
          </w:tcPr>
          <w:p>
            <w:pPr>
              <w:jc w:val="center"/>
              <w:ind w:left="481"/>
              <w:spacing w:after="0"/>
              <w:rPr>
                <w:sz w:val="20"/>
                <w:szCs w:val="20"/>
                <w:color w:val="auto"/>
              </w:rPr>
            </w:pPr>
            <w:r>
              <w:rPr>
                <w:rFonts w:ascii="Arial" w:cs="Arial" w:eastAsia="Arial" w:hAnsi="Arial"/>
                <w:sz w:val="20"/>
                <w:szCs w:val="20"/>
                <w:b w:val="1"/>
                <w:bCs w:val="1"/>
                <w:color w:val="auto"/>
                <w:w w:val="89"/>
              </w:rPr>
              <w:t>or</w:t>
            </w:r>
          </w:p>
        </w:tc>
        <w:tc>
          <w:tcPr>
            <w:tcW w:w="68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CAC ID No.</w:t>
            </w:r>
          </w:p>
        </w:tc>
        <w:tc>
          <w:tcPr>
            <w:tcW w:w="380" w:type="dxa"/>
            <w:vAlign w:val="bottom"/>
          </w:tcPr>
          <w:p>
            <w:pPr>
              <w:spacing w:after="0"/>
              <w:rPr>
                <w:sz w:val="19"/>
                <w:szCs w:val="19"/>
                <w:color w:val="auto"/>
              </w:rPr>
            </w:pPr>
          </w:p>
        </w:tc>
      </w:tr>
      <w:tr>
        <w:trPr>
          <w:trHeight w:val="256"/>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c>
          <w:tcPr>
            <w:tcW w:w="3480" w:type="dxa"/>
            <w:vAlign w:val="bottom"/>
          </w:tcPr>
          <w:p>
            <w:pPr>
              <w:jc w:val="center"/>
              <w:ind w:left="521"/>
              <w:spacing w:after="0"/>
              <w:rPr>
                <w:sz w:val="20"/>
                <w:szCs w:val="20"/>
                <w:color w:val="auto"/>
              </w:rPr>
            </w:pPr>
            <w:r>
              <w:rPr>
                <w:rFonts w:ascii="Arial" w:cs="Arial" w:eastAsia="Arial" w:hAnsi="Arial"/>
                <w:sz w:val="20"/>
                <w:szCs w:val="20"/>
                <w:b w:val="1"/>
                <w:bCs w:val="1"/>
                <w:color w:val="auto"/>
                <w:w w:val="90"/>
              </w:rPr>
              <w:t>Scheduled Delivery Quarter/Year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3480" w:type="dxa"/>
            <w:vAlign w:val="bottom"/>
          </w:tcPr>
          <w:p>
            <w:pPr>
              <w:jc w:val="center"/>
              <w:ind w:left="521"/>
              <w:spacing w:after="0"/>
              <w:rPr>
                <w:sz w:val="20"/>
                <w:szCs w:val="20"/>
                <w:color w:val="auto"/>
              </w:rPr>
            </w:pPr>
            <w:r>
              <w:rPr>
                <w:rFonts w:ascii="Arial" w:cs="Arial" w:eastAsia="Arial" w:hAnsi="Arial"/>
                <w:sz w:val="20"/>
                <w:szCs w:val="20"/>
                <w:color w:val="auto"/>
              </w:rPr>
              <w:t>[*CTR]</w:t>
            </w:r>
          </w:p>
        </w:tc>
        <w:tc>
          <w:tcPr>
            <w:tcW w:w="6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8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615"/>
        </w:trPr>
        <w:tc>
          <w:tcPr>
            <w:tcW w:w="3160" w:type="dxa"/>
            <w:vAlign w:val="bottom"/>
            <w:gridSpan w:val="3"/>
          </w:tcPr>
          <w:p>
            <w:pPr>
              <w:spacing w:after="0"/>
              <w:rPr>
                <w:sz w:val="20"/>
                <w:szCs w:val="20"/>
                <w:color w:val="auto"/>
              </w:rPr>
            </w:pPr>
            <w:r>
              <w:rPr>
                <w:rFonts w:ascii="Arial" w:cs="Arial" w:eastAsia="Arial" w:hAnsi="Arial"/>
                <w:sz w:val="14"/>
                <w:szCs w:val="14"/>
                <w:color w:val="auto"/>
                <w:w w:val="98"/>
              </w:rPr>
              <w:t>CT1001520_AMD 10_AAL_A320 PA_EXECUTION</w:t>
            </w:r>
          </w:p>
        </w:tc>
        <w:tc>
          <w:tcPr>
            <w:tcW w:w="17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right="60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125" w:right="239" w:bottom="1440" w:gutter="0" w:footer="0" w:header="0"/>
          <w:type w:val="continuous"/>
        </w:sectPr>
      </w:pPr>
    </w:p>
    <w:bookmarkStart w:id="110" w:name="page111"/>
    <w:bookmarkEnd w:id="110"/>
    <w:tbl>
      <w:tblPr>
        <w:tblLayout w:type="fixed"/>
        <w:tblInd w:w="40" w:type="dxa"/>
        <w:tblCellMar>
          <w:top w:w="0" w:type="dxa"/>
          <w:left w:w="0" w:type="dxa"/>
          <w:bottom w:w="0" w:type="dxa"/>
          <w:right w:w="0" w:type="dxa"/>
        </w:tblCellMar>
      </w:tblPr>
      <w:tr>
        <w:trPr>
          <w:trHeight w:val="247"/>
        </w:trPr>
        <w:tc>
          <w:tcPr>
            <w:tcW w:w="60" w:type="dxa"/>
            <w:vAlign w:val="bottom"/>
            <w:tcBorders>
              <w:right w:val="single" w:sz="8" w:color="auto"/>
            </w:tcBorders>
          </w:tcPr>
          <w:p>
            <w:pPr>
              <w:spacing w:after="0"/>
              <w:rPr>
                <w:sz w:val="21"/>
                <w:szCs w:val="21"/>
                <w:color w:val="auto"/>
              </w:rPr>
            </w:pPr>
          </w:p>
        </w:tc>
        <w:tc>
          <w:tcPr>
            <w:tcW w:w="2080" w:type="dxa"/>
            <w:vAlign w:val="bottom"/>
            <w:tcBorders>
              <w:top w:val="single" w:sz="8" w:color="auto"/>
              <w:right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740" w:type="dxa"/>
            <w:vAlign w:val="bottom"/>
            <w:tcBorders>
              <w:top w:val="single" w:sz="8" w:color="auto"/>
              <w:right w:val="single" w:sz="8" w:color="auto"/>
            </w:tcBorders>
          </w:tcPr>
          <w:p>
            <w:pPr>
              <w:spacing w:after="0"/>
              <w:rPr>
                <w:sz w:val="21"/>
                <w:szCs w:val="21"/>
                <w:color w:val="auto"/>
              </w:rPr>
            </w:pPr>
          </w:p>
        </w:tc>
        <w:tc>
          <w:tcPr>
            <w:tcW w:w="4160" w:type="dxa"/>
            <w:vAlign w:val="bottom"/>
            <w:tcBorders>
              <w:top w:val="single" w:sz="8" w:color="auto"/>
              <w:right w:val="single" w:sz="8" w:color="auto"/>
            </w:tcBorders>
          </w:tcPr>
          <w:p>
            <w:pPr>
              <w:jc w:val="center"/>
              <w:ind w:right="1"/>
              <w:spacing w:after="0"/>
              <w:rPr>
                <w:sz w:val="20"/>
                <w:szCs w:val="20"/>
                <w:color w:val="auto"/>
              </w:rPr>
            </w:pPr>
            <w:r>
              <w:rPr>
                <w:rFonts w:ascii="Arial" w:cs="Arial" w:eastAsia="Arial" w:hAnsi="Arial"/>
                <w:sz w:val="20"/>
                <w:szCs w:val="20"/>
                <w:b w:val="1"/>
                <w:bCs w:val="1"/>
                <w:color w:val="auto"/>
                <w:w w:val="90"/>
              </w:rPr>
              <w:t>Scheduled Delivery Month/Year</w:t>
            </w:r>
          </w:p>
        </w:tc>
        <w:tc>
          <w:tcPr>
            <w:tcW w:w="1940" w:type="dxa"/>
            <w:vAlign w:val="bottom"/>
            <w:tcBorders>
              <w:top w:val="single" w:sz="8" w:color="auto"/>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r>
      <w:tr>
        <w:trPr>
          <w:trHeight w:val="230"/>
        </w:trPr>
        <w:tc>
          <w:tcPr>
            <w:tcW w:w="6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Aircraft Rank</w:t>
            </w:r>
          </w:p>
        </w:tc>
        <w:tc>
          <w:tcPr>
            <w:tcW w:w="1020" w:type="dxa"/>
            <w:vAlign w:val="bottom"/>
          </w:tcPr>
          <w:p>
            <w:pPr>
              <w:spacing w:after="0"/>
              <w:rPr>
                <w:sz w:val="19"/>
                <w:szCs w:val="19"/>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b w:val="1"/>
                <w:bCs w:val="1"/>
                <w:color w:val="auto"/>
                <w:w w:val="89"/>
              </w:rPr>
              <w:t>Type</w:t>
            </w:r>
          </w:p>
        </w:tc>
        <w:tc>
          <w:tcPr>
            <w:tcW w:w="4160" w:type="dxa"/>
            <w:vAlign w:val="bottom"/>
            <w:tcBorders>
              <w:right w:val="single" w:sz="8" w:color="auto"/>
            </w:tcBorders>
          </w:tcPr>
          <w:p>
            <w:pPr>
              <w:jc w:val="center"/>
              <w:ind w:right="1"/>
              <w:spacing w:after="0"/>
              <w:rPr>
                <w:sz w:val="20"/>
                <w:szCs w:val="20"/>
                <w:color w:val="auto"/>
              </w:rPr>
            </w:pPr>
            <w:r>
              <w:rPr>
                <w:rFonts w:ascii="Arial" w:cs="Arial" w:eastAsia="Arial" w:hAnsi="Arial"/>
                <w:sz w:val="20"/>
                <w:szCs w:val="20"/>
                <w:b w:val="1"/>
                <w:bCs w:val="1"/>
                <w:color w:val="auto"/>
                <w:w w:val="89"/>
              </w:rPr>
              <w:t>or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CAC ID No.</w:t>
            </w:r>
          </w:p>
        </w:tc>
        <w:tc>
          <w:tcPr>
            <w:tcW w:w="360" w:type="dxa"/>
            <w:vAlign w:val="bottom"/>
          </w:tcPr>
          <w:p>
            <w:pPr>
              <w:spacing w:after="0"/>
              <w:rPr>
                <w:sz w:val="19"/>
                <w:szCs w:val="19"/>
                <w:color w:val="auto"/>
              </w:rPr>
            </w:pPr>
          </w:p>
        </w:tc>
      </w:tr>
      <w:tr>
        <w:trPr>
          <w:trHeight w:val="256"/>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Quarter/Year</w:t>
            </w:r>
          </w:p>
        </w:tc>
        <w:tc>
          <w:tcPr>
            <w:tcW w:w="194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615"/>
        </w:trPr>
        <w:tc>
          <w:tcPr>
            <w:tcW w:w="3160" w:type="dxa"/>
            <w:vAlign w:val="bottom"/>
            <w:gridSpan w:val="3"/>
          </w:tcPr>
          <w:p>
            <w:pPr>
              <w:spacing w:after="0"/>
              <w:rPr>
                <w:sz w:val="20"/>
                <w:szCs w:val="20"/>
                <w:color w:val="auto"/>
              </w:rPr>
            </w:pPr>
            <w:r>
              <w:rPr>
                <w:rFonts w:ascii="Arial" w:cs="Arial" w:eastAsia="Arial" w:hAnsi="Arial"/>
                <w:sz w:val="14"/>
                <w:szCs w:val="14"/>
                <w:color w:val="auto"/>
                <w:w w:val="98"/>
              </w:rPr>
              <w:t>CT1001520_AMD 10_AAL_A320 PA_EXECUTION</w:t>
            </w:r>
          </w:p>
        </w:tc>
        <w:tc>
          <w:tcPr>
            <w:tcW w:w="17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7</w:t>
            </w:r>
          </w:p>
        </w:tc>
      </w:tr>
    </w:tbl>
    <w:p>
      <w:pPr>
        <w:spacing w:after="0" w:line="17" w:lineRule="exact"/>
        <w:rPr>
          <w:sz w:val="20"/>
          <w:szCs w:val="20"/>
          <w:color w:val="auto"/>
        </w:rPr>
      </w:pPr>
    </w:p>
    <w:p>
      <w:pPr>
        <w:sectPr>
          <w:pgSz w:w="11900" w:h="16838" w:orient="portrait"/>
          <w:cols w:equalWidth="0" w:num="1">
            <w:col w:w="11400"/>
          </w:cols>
          <w:pgMar w:left="240" w:top="498" w:right="259" w:bottom="1440" w:gutter="0" w:footer="0" w:header="0"/>
        </w:sectPr>
      </w:pPr>
    </w:p>
    <w:p>
      <w:pPr>
        <w:ind w:right="58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00"/>
          </w:cols>
          <w:pgMar w:left="240" w:top="498" w:right="259" w:bottom="1440" w:gutter="0" w:footer="0" w:header="0"/>
          <w:type w:val="continuous"/>
        </w:sectPr>
      </w:pPr>
    </w:p>
    <w:bookmarkStart w:id="111" w:name="page112"/>
    <w:bookmarkEnd w:id="111"/>
    <w:tbl>
      <w:tblPr>
        <w:tblLayout w:type="fixed"/>
        <w:tblInd w:w="40" w:type="dxa"/>
        <w:tblCellMar>
          <w:top w:w="0" w:type="dxa"/>
          <w:left w:w="0" w:type="dxa"/>
          <w:bottom w:w="0" w:type="dxa"/>
          <w:right w:w="0" w:type="dxa"/>
        </w:tblCellMar>
      </w:tblPr>
      <w:tr>
        <w:trPr>
          <w:trHeight w:val="247"/>
        </w:trPr>
        <w:tc>
          <w:tcPr>
            <w:tcW w:w="60" w:type="dxa"/>
            <w:vAlign w:val="bottom"/>
            <w:tcBorders>
              <w:right w:val="single" w:sz="8" w:color="auto"/>
            </w:tcBorders>
          </w:tcPr>
          <w:p>
            <w:pPr>
              <w:spacing w:after="0"/>
              <w:rPr>
                <w:sz w:val="21"/>
                <w:szCs w:val="21"/>
                <w:color w:val="auto"/>
              </w:rPr>
            </w:pPr>
          </w:p>
        </w:tc>
        <w:tc>
          <w:tcPr>
            <w:tcW w:w="2080" w:type="dxa"/>
            <w:vAlign w:val="bottom"/>
            <w:tcBorders>
              <w:top w:val="single" w:sz="8" w:color="auto"/>
              <w:right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740" w:type="dxa"/>
            <w:vAlign w:val="bottom"/>
            <w:tcBorders>
              <w:top w:val="single" w:sz="8" w:color="auto"/>
              <w:right w:val="single" w:sz="8" w:color="auto"/>
            </w:tcBorders>
          </w:tcPr>
          <w:p>
            <w:pPr>
              <w:spacing w:after="0"/>
              <w:rPr>
                <w:sz w:val="21"/>
                <w:szCs w:val="21"/>
                <w:color w:val="auto"/>
              </w:rPr>
            </w:pPr>
          </w:p>
        </w:tc>
        <w:tc>
          <w:tcPr>
            <w:tcW w:w="4160" w:type="dxa"/>
            <w:vAlign w:val="bottom"/>
            <w:tcBorders>
              <w:top w:val="single" w:sz="8" w:color="auto"/>
              <w:right w:val="single" w:sz="8" w:color="auto"/>
            </w:tcBorders>
          </w:tcPr>
          <w:p>
            <w:pPr>
              <w:jc w:val="center"/>
              <w:ind w:right="1"/>
              <w:spacing w:after="0"/>
              <w:rPr>
                <w:sz w:val="20"/>
                <w:szCs w:val="20"/>
                <w:color w:val="auto"/>
              </w:rPr>
            </w:pPr>
            <w:r>
              <w:rPr>
                <w:rFonts w:ascii="Arial" w:cs="Arial" w:eastAsia="Arial" w:hAnsi="Arial"/>
                <w:sz w:val="20"/>
                <w:szCs w:val="20"/>
                <w:b w:val="1"/>
                <w:bCs w:val="1"/>
                <w:color w:val="auto"/>
                <w:w w:val="90"/>
              </w:rPr>
              <w:t>Scheduled Delivery Month/Year</w:t>
            </w:r>
          </w:p>
        </w:tc>
        <w:tc>
          <w:tcPr>
            <w:tcW w:w="1940" w:type="dxa"/>
            <w:vAlign w:val="bottom"/>
            <w:tcBorders>
              <w:top w:val="single" w:sz="8" w:color="auto"/>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r>
      <w:tr>
        <w:trPr>
          <w:trHeight w:val="230"/>
        </w:trPr>
        <w:tc>
          <w:tcPr>
            <w:tcW w:w="6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Aircraft Rank</w:t>
            </w:r>
          </w:p>
        </w:tc>
        <w:tc>
          <w:tcPr>
            <w:tcW w:w="1020" w:type="dxa"/>
            <w:vAlign w:val="bottom"/>
          </w:tcPr>
          <w:p>
            <w:pPr>
              <w:spacing w:after="0"/>
              <w:rPr>
                <w:sz w:val="19"/>
                <w:szCs w:val="19"/>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b w:val="1"/>
                <w:bCs w:val="1"/>
                <w:color w:val="auto"/>
                <w:w w:val="89"/>
              </w:rPr>
              <w:t>Type</w:t>
            </w:r>
          </w:p>
        </w:tc>
        <w:tc>
          <w:tcPr>
            <w:tcW w:w="4160" w:type="dxa"/>
            <w:vAlign w:val="bottom"/>
            <w:tcBorders>
              <w:right w:val="single" w:sz="8" w:color="auto"/>
            </w:tcBorders>
          </w:tcPr>
          <w:p>
            <w:pPr>
              <w:jc w:val="center"/>
              <w:ind w:right="1"/>
              <w:spacing w:after="0"/>
              <w:rPr>
                <w:sz w:val="20"/>
                <w:szCs w:val="20"/>
                <w:color w:val="auto"/>
              </w:rPr>
            </w:pPr>
            <w:r>
              <w:rPr>
                <w:rFonts w:ascii="Arial" w:cs="Arial" w:eastAsia="Arial" w:hAnsi="Arial"/>
                <w:sz w:val="20"/>
                <w:szCs w:val="20"/>
                <w:b w:val="1"/>
                <w:bCs w:val="1"/>
                <w:color w:val="auto"/>
                <w:w w:val="89"/>
              </w:rPr>
              <w:t>or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CAC ID No.</w:t>
            </w:r>
          </w:p>
        </w:tc>
        <w:tc>
          <w:tcPr>
            <w:tcW w:w="360" w:type="dxa"/>
            <w:vAlign w:val="bottom"/>
          </w:tcPr>
          <w:p>
            <w:pPr>
              <w:spacing w:after="0"/>
              <w:rPr>
                <w:sz w:val="19"/>
                <w:szCs w:val="19"/>
                <w:color w:val="auto"/>
              </w:rPr>
            </w:pPr>
          </w:p>
        </w:tc>
      </w:tr>
      <w:tr>
        <w:trPr>
          <w:trHeight w:val="256"/>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Quarter/Year</w:t>
            </w:r>
          </w:p>
        </w:tc>
        <w:tc>
          <w:tcPr>
            <w:tcW w:w="194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615"/>
        </w:trPr>
        <w:tc>
          <w:tcPr>
            <w:tcW w:w="3160" w:type="dxa"/>
            <w:vAlign w:val="bottom"/>
            <w:gridSpan w:val="3"/>
          </w:tcPr>
          <w:p>
            <w:pPr>
              <w:spacing w:after="0"/>
              <w:rPr>
                <w:sz w:val="20"/>
                <w:szCs w:val="20"/>
                <w:color w:val="auto"/>
              </w:rPr>
            </w:pPr>
            <w:r>
              <w:rPr>
                <w:rFonts w:ascii="Arial" w:cs="Arial" w:eastAsia="Arial" w:hAnsi="Arial"/>
                <w:sz w:val="14"/>
                <w:szCs w:val="14"/>
                <w:color w:val="auto"/>
                <w:w w:val="98"/>
              </w:rPr>
              <w:t>CT1001520_AMD 10_AAL_A320 PA_EXECUTION</w:t>
            </w:r>
          </w:p>
        </w:tc>
        <w:tc>
          <w:tcPr>
            <w:tcW w:w="17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8</w:t>
            </w:r>
          </w:p>
        </w:tc>
      </w:tr>
    </w:tbl>
    <w:p>
      <w:pPr>
        <w:spacing w:after="0" w:line="17" w:lineRule="exact"/>
        <w:rPr>
          <w:sz w:val="20"/>
          <w:szCs w:val="20"/>
          <w:color w:val="auto"/>
        </w:rPr>
      </w:pPr>
    </w:p>
    <w:p>
      <w:pPr>
        <w:sectPr>
          <w:pgSz w:w="11900" w:h="16838" w:orient="portrait"/>
          <w:cols w:equalWidth="0" w:num="1">
            <w:col w:w="11400"/>
          </w:cols>
          <w:pgMar w:left="240" w:top="498" w:right="259" w:bottom="1440" w:gutter="0" w:footer="0" w:header="0"/>
        </w:sectPr>
      </w:pPr>
    </w:p>
    <w:p>
      <w:pPr>
        <w:ind w:right="58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00"/>
          </w:cols>
          <w:pgMar w:left="240" w:top="498" w:right="259" w:bottom="1440" w:gutter="0" w:footer="0" w:header="0"/>
          <w:type w:val="continuous"/>
        </w:sectPr>
      </w:pPr>
    </w:p>
    <w:bookmarkStart w:id="112" w:name="page113"/>
    <w:bookmarkEnd w:id="112"/>
    <w:tbl>
      <w:tblPr>
        <w:tblLayout w:type="fixed"/>
        <w:tblInd w:w="40" w:type="dxa"/>
        <w:tblCellMar>
          <w:top w:w="0" w:type="dxa"/>
          <w:left w:w="0" w:type="dxa"/>
          <w:bottom w:w="0" w:type="dxa"/>
          <w:right w:w="0" w:type="dxa"/>
        </w:tblCellMar>
      </w:tblPr>
      <w:tr>
        <w:trPr>
          <w:trHeight w:val="247"/>
        </w:trPr>
        <w:tc>
          <w:tcPr>
            <w:tcW w:w="60" w:type="dxa"/>
            <w:vAlign w:val="bottom"/>
            <w:tcBorders>
              <w:right w:val="single" w:sz="8" w:color="auto"/>
            </w:tcBorders>
          </w:tcPr>
          <w:p>
            <w:pPr>
              <w:spacing w:after="0"/>
              <w:rPr>
                <w:sz w:val="21"/>
                <w:szCs w:val="21"/>
                <w:color w:val="auto"/>
              </w:rPr>
            </w:pPr>
          </w:p>
        </w:tc>
        <w:tc>
          <w:tcPr>
            <w:tcW w:w="2080" w:type="dxa"/>
            <w:vAlign w:val="bottom"/>
            <w:tcBorders>
              <w:top w:val="single" w:sz="8" w:color="auto"/>
              <w:right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740" w:type="dxa"/>
            <w:vAlign w:val="bottom"/>
            <w:tcBorders>
              <w:top w:val="single" w:sz="8" w:color="auto"/>
              <w:right w:val="single" w:sz="8" w:color="auto"/>
            </w:tcBorders>
          </w:tcPr>
          <w:p>
            <w:pPr>
              <w:spacing w:after="0"/>
              <w:rPr>
                <w:sz w:val="21"/>
                <w:szCs w:val="21"/>
                <w:color w:val="auto"/>
              </w:rPr>
            </w:pPr>
          </w:p>
        </w:tc>
        <w:tc>
          <w:tcPr>
            <w:tcW w:w="4160" w:type="dxa"/>
            <w:vAlign w:val="bottom"/>
            <w:tcBorders>
              <w:top w:val="single" w:sz="8" w:color="auto"/>
              <w:right w:val="single" w:sz="8" w:color="auto"/>
            </w:tcBorders>
          </w:tcPr>
          <w:p>
            <w:pPr>
              <w:jc w:val="center"/>
              <w:ind w:right="1"/>
              <w:spacing w:after="0"/>
              <w:rPr>
                <w:sz w:val="20"/>
                <w:szCs w:val="20"/>
                <w:color w:val="auto"/>
              </w:rPr>
            </w:pPr>
            <w:r>
              <w:rPr>
                <w:rFonts w:ascii="Arial" w:cs="Arial" w:eastAsia="Arial" w:hAnsi="Arial"/>
                <w:sz w:val="20"/>
                <w:szCs w:val="20"/>
                <w:b w:val="1"/>
                <w:bCs w:val="1"/>
                <w:color w:val="auto"/>
                <w:w w:val="90"/>
              </w:rPr>
              <w:t>Scheduled Delivery Month/Year</w:t>
            </w:r>
          </w:p>
        </w:tc>
        <w:tc>
          <w:tcPr>
            <w:tcW w:w="1940" w:type="dxa"/>
            <w:vAlign w:val="bottom"/>
            <w:tcBorders>
              <w:top w:val="single" w:sz="8" w:color="auto"/>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r>
      <w:tr>
        <w:trPr>
          <w:trHeight w:val="230"/>
        </w:trPr>
        <w:tc>
          <w:tcPr>
            <w:tcW w:w="6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Aircraft Rank</w:t>
            </w:r>
          </w:p>
        </w:tc>
        <w:tc>
          <w:tcPr>
            <w:tcW w:w="1020" w:type="dxa"/>
            <w:vAlign w:val="bottom"/>
          </w:tcPr>
          <w:p>
            <w:pPr>
              <w:spacing w:after="0"/>
              <w:rPr>
                <w:sz w:val="19"/>
                <w:szCs w:val="19"/>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b w:val="1"/>
                <w:bCs w:val="1"/>
                <w:color w:val="auto"/>
                <w:w w:val="89"/>
              </w:rPr>
              <w:t>Type</w:t>
            </w:r>
          </w:p>
        </w:tc>
        <w:tc>
          <w:tcPr>
            <w:tcW w:w="4160" w:type="dxa"/>
            <w:vAlign w:val="bottom"/>
            <w:tcBorders>
              <w:right w:val="single" w:sz="8" w:color="auto"/>
            </w:tcBorders>
          </w:tcPr>
          <w:p>
            <w:pPr>
              <w:jc w:val="center"/>
              <w:ind w:right="1"/>
              <w:spacing w:after="0"/>
              <w:rPr>
                <w:sz w:val="20"/>
                <w:szCs w:val="20"/>
                <w:color w:val="auto"/>
              </w:rPr>
            </w:pPr>
            <w:r>
              <w:rPr>
                <w:rFonts w:ascii="Arial" w:cs="Arial" w:eastAsia="Arial" w:hAnsi="Arial"/>
                <w:sz w:val="20"/>
                <w:szCs w:val="20"/>
                <w:b w:val="1"/>
                <w:bCs w:val="1"/>
                <w:color w:val="auto"/>
                <w:w w:val="89"/>
              </w:rPr>
              <w:t>or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CAC ID No.</w:t>
            </w:r>
          </w:p>
        </w:tc>
        <w:tc>
          <w:tcPr>
            <w:tcW w:w="360" w:type="dxa"/>
            <w:vAlign w:val="bottom"/>
          </w:tcPr>
          <w:p>
            <w:pPr>
              <w:spacing w:after="0"/>
              <w:rPr>
                <w:sz w:val="19"/>
                <w:szCs w:val="19"/>
                <w:color w:val="auto"/>
              </w:rPr>
            </w:pPr>
          </w:p>
        </w:tc>
      </w:tr>
      <w:tr>
        <w:trPr>
          <w:trHeight w:val="256"/>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Quarter/Year</w:t>
            </w:r>
          </w:p>
        </w:tc>
        <w:tc>
          <w:tcPr>
            <w:tcW w:w="194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615"/>
        </w:trPr>
        <w:tc>
          <w:tcPr>
            <w:tcW w:w="3160" w:type="dxa"/>
            <w:vAlign w:val="bottom"/>
            <w:gridSpan w:val="3"/>
          </w:tcPr>
          <w:p>
            <w:pPr>
              <w:spacing w:after="0"/>
              <w:rPr>
                <w:sz w:val="20"/>
                <w:szCs w:val="20"/>
                <w:color w:val="auto"/>
              </w:rPr>
            </w:pPr>
            <w:r>
              <w:rPr>
                <w:rFonts w:ascii="Arial" w:cs="Arial" w:eastAsia="Arial" w:hAnsi="Arial"/>
                <w:sz w:val="14"/>
                <w:szCs w:val="14"/>
                <w:color w:val="auto"/>
                <w:w w:val="98"/>
              </w:rPr>
              <w:t>CT1001520_AMD 10_AAL_A320 PA_EXECUTION</w:t>
            </w:r>
          </w:p>
        </w:tc>
        <w:tc>
          <w:tcPr>
            <w:tcW w:w="17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9</w:t>
            </w:r>
          </w:p>
        </w:tc>
      </w:tr>
    </w:tbl>
    <w:p>
      <w:pPr>
        <w:spacing w:after="0" w:line="17" w:lineRule="exact"/>
        <w:rPr>
          <w:sz w:val="20"/>
          <w:szCs w:val="20"/>
          <w:color w:val="auto"/>
        </w:rPr>
      </w:pPr>
    </w:p>
    <w:p>
      <w:pPr>
        <w:sectPr>
          <w:pgSz w:w="11900" w:h="16838" w:orient="portrait"/>
          <w:cols w:equalWidth="0" w:num="1">
            <w:col w:w="11400"/>
          </w:cols>
          <w:pgMar w:left="240" w:top="498" w:right="259" w:bottom="1440" w:gutter="0" w:footer="0" w:header="0"/>
        </w:sectPr>
      </w:pPr>
    </w:p>
    <w:p>
      <w:pPr>
        <w:ind w:right="58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00"/>
          </w:cols>
          <w:pgMar w:left="240" w:top="498" w:right="259" w:bottom="1440" w:gutter="0" w:footer="0" w:header="0"/>
          <w:type w:val="continuous"/>
        </w:sectPr>
      </w:pPr>
    </w:p>
    <w:bookmarkStart w:id="113" w:name="page114"/>
    <w:bookmarkEnd w:id="113"/>
    <w:tbl>
      <w:tblPr>
        <w:tblLayout w:type="fixed"/>
        <w:tblInd w:w="40" w:type="dxa"/>
        <w:tblCellMar>
          <w:top w:w="0" w:type="dxa"/>
          <w:left w:w="0" w:type="dxa"/>
          <w:bottom w:w="0" w:type="dxa"/>
          <w:right w:w="0" w:type="dxa"/>
        </w:tblCellMar>
      </w:tblPr>
      <w:tr>
        <w:trPr>
          <w:trHeight w:val="247"/>
        </w:trPr>
        <w:tc>
          <w:tcPr>
            <w:tcW w:w="60" w:type="dxa"/>
            <w:vAlign w:val="bottom"/>
            <w:tcBorders>
              <w:right w:val="single" w:sz="8" w:color="auto"/>
            </w:tcBorders>
          </w:tcPr>
          <w:p>
            <w:pPr>
              <w:spacing w:after="0"/>
              <w:rPr>
                <w:sz w:val="21"/>
                <w:szCs w:val="21"/>
                <w:color w:val="auto"/>
              </w:rPr>
            </w:pPr>
          </w:p>
        </w:tc>
        <w:tc>
          <w:tcPr>
            <w:tcW w:w="2080" w:type="dxa"/>
            <w:vAlign w:val="bottom"/>
            <w:tcBorders>
              <w:top w:val="single" w:sz="8" w:color="auto"/>
              <w:right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740" w:type="dxa"/>
            <w:vAlign w:val="bottom"/>
            <w:tcBorders>
              <w:top w:val="single" w:sz="8" w:color="auto"/>
              <w:right w:val="single" w:sz="8" w:color="auto"/>
            </w:tcBorders>
          </w:tcPr>
          <w:p>
            <w:pPr>
              <w:spacing w:after="0"/>
              <w:rPr>
                <w:sz w:val="21"/>
                <w:szCs w:val="21"/>
                <w:color w:val="auto"/>
              </w:rPr>
            </w:pPr>
          </w:p>
        </w:tc>
        <w:tc>
          <w:tcPr>
            <w:tcW w:w="4160" w:type="dxa"/>
            <w:vAlign w:val="bottom"/>
            <w:tcBorders>
              <w:top w:val="single" w:sz="8" w:color="auto"/>
              <w:right w:val="single" w:sz="8" w:color="auto"/>
            </w:tcBorders>
          </w:tcPr>
          <w:p>
            <w:pPr>
              <w:jc w:val="center"/>
              <w:ind w:right="1"/>
              <w:spacing w:after="0"/>
              <w:rPr>
                <w:sz w:val="20"/>
                <w:szCs w:val="20"/>
                <w:color w:val="auto"/>
              </w:rPr>
            </w:pPr>
            <w:r>
              <w:rPr>
                <w:rFonts w:ascii="Arial" w:cs="Arial" w:eastAsia="Arial" w:hAnsi="Arial"/>
                <w:sz w:val="20"/>
                <w:szCs w:val="20"/>
                <w:b w:val="1"/>
                <w:bCs w:val="1"/>
                <w:color w:val="auto"/>
                <w:w w:val="90"/>
              </w:rPr>
              <w:t>Scheduled Delivery Month/Year</w:t>
            </w:r>
          </w:p>
        </w:tc>
        <w:tc>
          <w:tcPr>
            <w:tcW w:w="1940" w:type="dxa"/>
            <w:vAlign w:val="bottom"/>
            <w:tcBorders>
              <w:top w:val="single" w:sz="8" w:color="auto"/>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r>
      <w:tr>
        <w:trPr>
          <w:trHeight w:val="230"/>
        </w:trPr>
        <w:tc>
          <w:tcPr>
            <w:tcW w:w="6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Aircraft Rank</w:t>
            </w:r>
          </w:p>
        </w:tc>
        <w:tc>
          <w:tcPr>
            <w:tcW w:w="1020" w:type="dxa"/>
            <w:vAlign w:val="bottom"/>
          </w:tcPr>
          <w:p>
            <w:pPr>
              <w:spacing w:after="0"/>
              <w:rPr>
                <w:sz w:val="19"/>
                <w:szCs w:val="19"/>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b w:val="1"/>
                <w:bCs w:val="1"/>
                <w:color w:val="auto"/>
                <w:w w:val="89"/>
              </w:rPr>
              <w:t>Type</w:t>
            </w:r>
          </w:p>
        </w:tc>
        <w:tc>
          <w:tcPr>
            <w:tcW w:w="4160" w:type="dxa"/>
            <w:vAlign w:val="bottom"/>
            <w:tcBorders>
              <w:right w:val="single" w:sz="8" w:color="auto"/>
            </w:tcBorders>
          </w:tcPr>
          <w:p>
            <w:pPr>
              <w:jc w:val="center"/>
              <w:ind w:right="1"/>
              <w:spacing w:after="0"/>
              <w:rPr>
                <w:sz w:val="20"/>
                <w:szCs w:val="20"/>
                <w:color w:val="auto"/>
              </w:rPr>
            </w:pPr>
            <w:r>
              <w:rPr>
                <w:rFonts w:ascii="Arial" w:cs="Arial" w:eastAsia="Arial" w:hAnsi="Arial"/>
                <w:sz w:val="20"/>
                <w:szCs w:val="20"/>
                <w:b w:val="1"/>
                <w:bCs w:val="1"/>
                <w:color w:val="auto"/>
                <w:w w:val="89"/>
              </w:rPr>
              <w:t>or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CAC ID No.</w:t>
            </w:r>
          </w:p>
        </w:tc>
        <w:tc>
          <w:tcPr>
            <w:tcW w:w="360" w:type="dxa"/>
            <w:vAlign w:val="bottom"/>
          </w:tcPr>
          <w:p>
            <w:pPr>
              <w:spacing w:after="0"/>
              <w:rPr>
                <w:sz w:val="19"/>
                <w:szCs w:val="19"/>
                <w:color w:val="auto"/>
              </w:rPr>
            </w:pPr>
          </w:p>
        </w:tc>
      </w:tr>
      <w:tr>
        <w:trPr>
          <w:trHeight w:val="256"/>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Quarter/Year</w:t>
            </w:r>
          </w:p>
        </w:tc>
        <w:tc>
          <w:tcPr>
            <w:tcW w:w="194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615"/>
        </w:trPr>
        <w:tc>
          <w:tcPr>
            <w:tcW w:w="3160" w:type="dxa"/>
            <w:vAlign w:val="bottom"/>
            <w:gridSpan w:val="3"/>
          </w:tcPr>
          <w:p>
            <w:pPr>
              <w:spacing w:after="0"/>
              <w:rPr>
                <w:sz w:val="20"/>
                <w:szCs w:val="20"/>
                <w:color w:val="auto"/>
              </w:rPr>
            </w:pPr>
            <w:r>
              <w:rPr>
                <w:rFonts w:ascii="Arial" w:cs="Arial" w:eastAsia="Arial" w:hAnsi="Arial"/>
                <w:sz w:val="14"/>
                <w:szCs w:val="14"/>
                <w:color w:val="auto"/>
                <w:w w:val="98"/>
              </w:rPr>
              <w:t>CT1001520_AMD 10_AAL_A320 PA_EXECUTION</w:t>
            </w:r>
          </w:p>
        </w:tc>
        <w:tc>
          <w:tcPr>
            <w:tcW w:w="17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10</w:t>
            </w:r>
          </w:p>
        </w:tc>
      </w:tr>
    </w:tbl>
    <w:p>
      <w:pPr>
        <w:spacing w:after="0" w:line="17" w:lineRule="exact"/>
        <w:rPr>
          <w:sz w:val="20"/>
          <w:szCs w:val="20"/>
          <w:color w:val="auto"/>
        </w:rPr>
      </w:pPr>
    </w:p>
    <w:p>
      <w:pPr>
        <w:sectPr>
          <w:pgSz w:w="11900" w:h="16838" w:orient="portrait"/>
          <w:cols w:equalWidth="0" w:num="1">
            <w:col w:w="11400"/>
          </w:cols>
          <w:pgMar w:left="240" w:top="498" w:right="259" w:bottom="1440" w:gutter="0" w:footer="0" w:header="0"/>
        </w:sectPr>
      </w:pPr>
    </w:p>
    <w:p>
      <w:pPr>
        <w:ind w:right="58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00"/>
          </w:cols>
          <w:pgMar w:left="240" w:top="498" w:right="259" w:bottom="1440" w:gutter="0" w:footer="0" w:header="0"/>
          <w:type w:val="continuous"/>
        </w:sectPr>
      </w:pPr>
    </w:p>
    <w:bookmarkStart w:id="114" w:name="page115"/>
    <w:bookmarkEnd w:id="114"/>
    <w:tbl>
      <w:tblPr>
        <w:tblLayout w:type="fixed"/>
        <w:tblInd w:w="40" w:type="dxa"/>
        <w:tblCellMar>
          <w:top w:w="0" w:type="dxa"/>
          <w:left w:w="0" w:type="dxa"/>
          <w:bottom w:w="0" w:type="dxa"/>
          <w:right w:w="0" w:type="dxa"/>
        </w:tblCellMar>
      </w:tblPr>
      <w:tr>
        <w:trPr>
          <w:trHeight w:val="247"/>
        </w:trPr>
        <w:tc>
          <w:tcPr>
            <w:tcW w:w="60" w:type="dxa"/>
            <w:vAlign w:val="bottom"/>
            <w:tcBorders>
              <w:right w:val="single" w:sz="8" w:color="auto"/>
            </w:tcBorders>
          </w:tcPr>
          <w:p>
            <w:pPr>
              <w:spacing w:after="0"/>
              <w:rPr>
                <w:sz w:val="21"/>
                <w:szCs w:val="21"/>
                <w:color w:val="auto"/>
              </w:rPr>
            </w:pPr>
          </w:p>
        </w:tc>
        <w:tc>
          <w:tcPr>
            <w:tcW w:w="2080" w:type="dxa"/>
            <w:vAlign w:val="bottom"/>
            <w:tcBorders>
              <w:top w:val="single" w:sz="8" w:color="auto"/>
              <w:right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740" w:type="dxa"/>
            <w:vAlign w:val="bottom"/>
            <w:tcBorders>
              <w:top w:val="single" w:sz="8" w:color="auto"/>
              <w:right w:val="single" w:sz="8" w:color="auto"/>
            </w:tcBorders>
          </w:tcPr>
          <w:p>
            <w:pPr>
              <w:spacing w:after="0"/>
              <w:rPr>
                <w:sz w:val="21"/>
                <w:szCs w:val="21"/>
                <w:color w:val="auto"/>
              </w:rPr>
            </w:pPr>
          </w:p>
        </w:tc>
        <w:tc>
          <w:tcPr>
            <w:tcW w:w="4160" w:type="dxa"/>
            <w:vAlign w:val="bottom"/>
            <w:tcBorders>
              <w:top w:val="single" w:sz="8" w:color="auto"/>
              <w:right w:val="single" w:sz="8" w:color="auto"/>
            </w:tcBorders>
          </w:tcPr>
          <w:p>
            <w:pPr>
              <w:jc w:val="center"/>
              <w:ind w:right="1"/>
              <w:spacing w:after="0"/>
              <w:rPr>
                <w:sz w:val="20"/>
                <w:szCs w:val="20"/>
                <w:color w:val="auto"/>
              </w:rPr>
            </w:pPr>
            <w:r>
              <w:rPr>
                <w:rFonts w:ascii="Arial" w:cs="Arial" w:eastAsia="Arial" w:hAnsi="Arial"/>
                <w:sz w:val="20"/>
                <w:szCs w:val="20"/>
                <w:b w:val="1"/>
                <w:bCs w:val="1"/>
                <w:color w:val="auto"/>
                <w:w w:val="90"/>
              </w:rPr>
              <w:t>Scheduled Delivery Month/Year</w:t>
            </w:r>
          </w:p>
        </w:tc>
        <w:tc>
          <w:tcPr>
            <w:tcW w:w="1940" w:type="dxa"/>
            <w:vAlign w:val="bottom"/>
            <w:tcBorders>
              <w:top w:val="single" w:sz="8" w:color="auto"/>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r>
      <w:tr>
        <w:trPr>
          <w:trHeight w:val="230"/>
        </w:trPr>
        <w:tc>
          <w:tcPr>
            <w:tcW w:w="6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Aircraft Rank</w:t>
            </w:r>
          </w:p>
        </w:tc>
        <w:tc>
          <w:tcPr>
            <w:tcW w:w="1020" w:type="dxa"/>
            <w:vAlign w:val="bottom"/>
          </w:tcPr>
          <w:p>
            <w:pPr>
              <w:spacing w:after="0"/>
              <w:rPr>
                <w:sz w:val="19"/>
                <w:szCs w:val="19"/>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b w:val="1"/>
                <w:bCs w:val="1"/>
                <w:color w:val="auto"/>
                <w:w w:val="89"/>
              </w:rPr>
              <w:t>Type</w:t>
            </w:r>
          </w:p>
        </w:tc>
        <w:tc>
          <w:tcPr>
            <w:tcW w:w="4160" w:type="dxa"/>
            <w:vAlign w:val="bottom"/>
            <w:tcBorders>
              <w:right w:val="single" w:sz="8" w:color="auto"/>
            </w:tcBorders>
          </w:tcPr>
          <w:p>
            <w:pPr>
              <w:jc w:val="center"/>
              <w:ind w:right="1"/>
              <w:spacing w:after="0"/>
              <w:rPr>
                <w:sz w:val="20"/>
                <w:szCs w:val="20"/>
                <w:color w:val="auto"/>
              </w:rPr>
            </w:pPr>
            <w:r>
              <w:rPr>
                <w:rFonts w:ascii="Arial" w:cs="Arial" w:eastAsia="Arial" w:hAnsi="Arial"/>
                <w:sz w:val="20"/>
                <w:szCs w:val="20"/>
                <w:b w:val="1"/>
                <w:bCs w:val="1"/>
                <w:color w:val="auto"/>
                <w:w w:val="89"/>
              </w:rPr>
              <w:t>or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CAC ID No.</w:t>
            </w:r>
          </w:p>
        </w:tc>
        <w:tc>
          <w:tcPr>
            <w:tcW w:w="360" w:type="dxa"/>
            <w:vAlign w:val="bottom"/>
          </w:tcPr>
          <w:p>
            <w:pPr>
              <w:spacing w:after="0"/>
              <w:rPr>
                <w:sz w:val="19"/>
                <w:szCs w:val="19"/>
                <w:color w:val="auto"/>
              </w:rPr>
            </w:pPr>
          </w:p>
        </w:tc>
      </w:tr>
      <w:tr>
        <w:trPr>
          <w:trHeight w:val="256"/>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Scheduled Delivery Quarter/Year</w:t>
            </w:r>
          </w:p>
        </w:tc>
        <w:tc>
          <w:tcPr>
            <w:tcW w:w="194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54"/>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[*CTR]</w:t>
            </w:r>
          </w:p>
        </w:tc>
        <w:tc>
          <w:tcPr>
            <w:tcW w:w="1020" w:type="dxa"/>
            <w:vAlign w:val="bottom"/>
          </w:tcPr>
          <w:p>
            <w:pPr>
              <w:spacing w:after="0"/>
              <w:rPr>
                <w:sz w:val="22"/>
                <w:szCs w:val="22"/>
                <w:color w:val="auto"/>
              </w:rPr>
            </w:pPr>
          </w:p>
        </w:tc>
        <w:tc>
          <w:tcPr>
            <w:tcW w:w="1740" w:type="dxa"/>
            <w:vAlign w:val="bottom"/>
            <w:tcBorders>
              <w:right w:val="single" w:sz="8" w:color="auto"/>
            </w:tcBorders>
          </w:tcPr>
          <w:p>
            <w:pPr>
              <w:jc w:val="center"/>
              <w:ind w:right="941"/>
              <w:spacing w:after="0"/>
              <w:rPr>
                <w:sz w:val="20"/>
                <w:szCs w:val="20"/>
                <w:color w:val="auto"/>
              </w:rPr>
            </w:pPr>
            <w:r>
              <w:rPr>
                <w:rFonts w:ascii="Arial" w:cs="Arial" w:eastAsia="Arial" w:hAnsi="Arial"/>
                <w:sz w:val="20"/>
                <w:szCs w:val="20"/>
                <w:color w:val="auto"/>
              </w:rPr>
              <w:t>[*CTR]</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360" w:type="dxa"/>
            <w:vAlign w:val="bottom"/>
          </w:tcPr>
          <w:p>
            <w:pPr>
              <w:spacing w:after="0"/>
              <w:rPr>
                <w:sz w:val="22"/>
                <w:szCs w:val="22"/>
                <w:color w:val="auto"/>
              </w:rPr>
            </w:pPr>
          </w:p>
        </w:tc>
      </w:tr>
      <w:tr>
        <w:trPr>
          <w:trHeight w:val="23"/>
        </w:trPr>
        <w:tc>
          <w:tcPr>
            <w:tcW w:w="6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871"/>
        </w:trPr>
        <w:tc>
          <w:tcPr>
            <w:tcW w:w="3160" w:type="dxa"/>
            <w:vAlign w:val="bottom"/>
            <w:gridSpan w:val="3"/>
          </w:tcPr>
          <w:p>
            <w:pPr>
              <w:spacing w:after="0"/>
              <w:rPr>
                <w:sz w:val="20"/>
                <w:szCs w:val="20"/>
                <w:color w:val="auto"/>
              </w:rPr>
            </w:pPr>
            <w:r>
              <w:rPr>
                <w:rFonts w:ascii="Arial" w:cs="Arial" w:eastAsia="Arial" w:hAnsi="Arial"/>
                <w:sz w:val="14"/>
                <w:szCs w:val="14"/>
                <w:color w:val="auto"/>
                <w:w w:val="98"/>
              </w:rPr>
              <w:t>CT1001520_AMD 10_AAL_A320 PA_EXECUTION</w:t>
            </w:r>
          </w:p>
        </w:tc>
        <w:tc>
          <w:tcPr>
            <w:tcW w:w="17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11</w:t>
            </w:r>
          </w:p>
        </w:tc>
      </w:tr>
    </w:tbl>
    <w:p>
      <w:pPr>
        <w:spacing w:after="0" w:line="17" w:lineRule="exact"/>
        <w:rPr>
          <w:sz w:val="20"/>
          <w:szCs w:val="20"/>
          <w:color w:val="auto"/>
        </w:rPr>
      </w:pPr>
    </w:p>
    <w:p>
      <w:pPr>
        <w:ind w:right="58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00"/>
          </w:cols>
          <w:pgMar w:left="240" w:top="498" w:right="25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tcPr>
          <w:p>
            <w:pPr>
              <w:jc w:val="center"/>
              <w:ind w:left="2097"/>
              <w:spacing w:after="0"/>
              <w:rPr>
                <w:sz w:val="20"/>
                <w:szCs w:val="20"/>
                <w:color w:val="auto"/>
              </w:rPr>
            </w:pPr>
            <w:r>
              <w:rPr>
                <w:rFonts w:ascii="Arial" w:cs="Arial" w:eastAsia="Arial" w:hAnsi="Arial"/>
                <w:sz w:val="18"/>
                <w:szCs w:val="18"/>
                <w:b w:val="1"/>
                <w:bCs w:val="1"/>
                <w:color w:val="auto"/>
                <w:w w:val="99"/>
              </w:rPr>
              <w:t>American Airlines Group Inc.</w:t>
            </w: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9260" w:type="dxa"/>
            <w:vAlign w:val="bottom"/>
          </w:tcPr>
          <w:p>
            <w:pPr>
              <w:jc w:val="center"/>
              <w:ind w:left="2077"/>
              <w:spacing w:after="0"/>
              <w:rPr>
                <w:sz w:val="20"/>
                <w:szCs w:val="20"/>
                <w:color w:val="auto"/>
              </w:rPr>
            </w:pPr>
            <w:r>
              <w:rPr>
                <w:rFonts w:ascii="Arial" w:cs="Arial" w:eastAsia="Arial" w:hAnsi="Arial"/>
                <w:sz w:val="18"/>
                <w:szCs w:val="18"/>
                <w:b w:val="1"/>
                <w:bCs w:val="1"/>
                <w:color w:val="auto"/>
                <w:w w:val="99"/>
              </w:rPr>
              <w:t>Computation of Ratio of Earnings to Fixed Charges</w:t>
            </w: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9"/>
        </w:trPr>
        <w:tc>
          <w:tcPr>
            <w:tcW w:w="9260" w:type="dxa"/>
            <w:vAlign w:val="bottom"/>
          </w:tcPr>
          <w:p>
            <w:pPr>
              <w:jc w:val="center"/>
              <w:ind w:left="2077"/>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569"/>
        </w:trPr>
        <w:tc>
          <w:tcPr>
            <w:tcW w:w="9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ind w:right="279"/>
              <w:spacing w:after="0"/>
              <w:rPr>
                <w:sz w:val="20"/>
                <w:szCs w:val="20"/>
                <w:color w:val="auto"/>
              </w:rPr>
            </w:pPr>
            <w:r>
              <w:rPr>
                <w:rFonts w:ascii="Arial" w:cs="Arial" w:eastAsia="Arial" w:hAnsi="Arial"/>
                <w:sz w:val="16"/>
                <w:szCs w:val="16"/>
                <w:color w:val="auto"/>
              </w:rPr>
              <w:t>Nine Months Ended</w:t>
            </w:r>
          </w:p>
        </w:tc>
      </w:tr>
      <w:tr>
        <w:trPr>
          <w:trHeight w:val="208"/>
        </w:trPr>
        <w:tc>
          <w:tcPr>
            <w:tcW w:w="9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September 30, 2018</w:t>
            </w:r>
          </w:p>
        </w:tc>
      </w:tr>
      <w:tr>
        <w:trPr>
          <w:trHeight w:val="257"/>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1,498</w:t>
            </w:r>
          </w:p>
        </w:tc>
      </w:tr>
      <w:tr>
        <w:trPr>
          <w:trHeight w:val="260"/>
        </w:trPr>
        <w:tc>
          <w:tcPr>
            <w:tcW w:w="9260" w:type="dxa"/>
            <w:vAlign w:val="bottom"/>
          </w:tcPr>
          <w:p>
            <w:pPr>
              <w:ind w:left="200"/>
              <w:spacing w:after="0"/>
              <w:rPr>
                <w:sz w:val="20"/>
                <w:szCs w:val="20"/>
                <w:color w:val="auto"/>
              </w:rPr>
            </w:pPr>
            <w:r>
              <w:rPr>
                <w:rFonts w:ascii="Arial" w:cs="Arial" w:eastAsia="Arial" w:hAnsi="Arial"/>
                <w:sz w:val="16"/>
                <w:szCs w:val="16"/>
                <w:color w:val="auto"/>
              </w:rPr>
              <w:t>Add: Total fixed charges (per below)</w:t>
            </w:r>
          </w:p>
        </w:tc>
        <w:tc>
          <w:tcPr>
            <w:tcW w:w="240" w:type="dxa"/>
            <w:vAlign w:val="bottom"/>
          </w:tcPr>
          <w:p>
            <w:pPr>
              <w:spacing w:after="0"/>
              <w:rPr>
                <w:sz w:val="22"/>
                <w:szCs w:val="22"/>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1,570</w:t>
            </w:r>
          </w:p>
        </w:tc>
      </w:tr>
      <w:tr>
        <w:trPr>
          <w:trHeight w:val="273"/>
        </w:trPr>
        <w:tc>
          <w:tcPr>
            <w:tcW w:w="9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Less: Interest capitalized</w:t>
            </w:r>
          </w:p>
        </w:tc>
        <w:tc>
          <w:tcPr>
            <w:tcW w:w="24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80"/>
        </w:trPr>
        <w:tc>
          <w:tcPr>
            <w:tcW w:w="9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earnings before income taxes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3,012</w:t>
            </w:r>
          </w:p>
        </w:tc>
      </w:tr>
      <w:tr>
        <w:trPr>
          <w:trHeight w:val="254"/>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p>
        </w:tc>
        <w:tc>
          <w:tcPr>
            <w:tcW w:w="24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r>
      <w:tr>
        <w:trPr>
          <w:trHeight w:val="260"/>
        </w:trPr>
        <w:tc>
          <w:tcPr>
            <w:tcW w:w="9260" w:type="dxa"/>
            <w:vAlign w:val="bottom"/>
          </w:tcPr>
          <w:p>
            <w:pPr>
              <w:ind w:left="200"/>
              <w:spacing w:after="0"/>
              <w:rPr>
                <w:sz w:val="20"/>
                <w:szCs w:val="20"/>
                <w:color w:val="auto"/>
              </w:rPr>
            </w:pPr>
            <w:r>
              <w:rPr>
                <w:rFonts w:ascii="Arial" w:cs="Arial" w:eastAsia="Arial" w:hAnsi="Arial"/>
                <w:sz w:val="16"/>
                <w:szCs w:val="16"/>
                <w:color w:val="auto"/>
              </w:rPr>
              <w:t>Interest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851</w:t>
            </w:r>
          </w:p>
        </w:tc>
      </w:tr>
      <w:tr>
        <w:trPr>
          <w:trHeight w:val="273"/>
        </w:trPr>
        <w:tc>
          <w:tcPr>
            <w:tcW w:w="9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Portion of rental expense representative of the interest factor</w:t>
            </w:r>
          </w:p>
        </w:tc>
        <w:tc>
          <w:tcPr>
            <w:tcW w:w="24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719</w:t>
            </w:r>
          </w:p>
        </w:tc>
      </w:tr>
      <w:tr>
        <w:trPr>
          <w:trHeight w:val="250"/>
        </w:trPr>
        <w:tc>
          <w:tcPr>
            <w:tcW w:w="9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fixed charges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1,570</w:t>
            </w:r>
          </w:p>
        </w:tc>
      </w:tr>
      <w:tr>
        <w:trPr>
          <w:trHeight w:val="24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earnings to fixed charges</w:t>
            </w:r>
          </w:p>
        </w:tc>
        <w:tc>
          <w:tcPr>
            <w:tcW w:w="24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12.2</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tcPr>
          <w:p>
            <w:pPr>
              <w:jc w:val="center"/>
              <w:ind w:left="2077"/>
              <w:spacing w:after="0"/>
              <w:rPr>
                <w:sz w:val="20"/>
                <w:szCs w:val="20"/>
                <w:color w:val="auto"/>
              </w:rPr>
            </w:pPr>
            <w:r>
              <w:rPr>
                <w:rFonts w:ascii="Arial" w:cs="Arial" w:eastAsia="Arial" w:hAnsi="Arial"/>
                <w:sz w:val="18"/>
                <w:szCs w:val="18"/>
                <w:b w:val="1"/>
                <w:bCs w:val="1"/>
                <w:color w:val="auto"/>
                <w:w w:val="99"/>
              </w:rPr>
              <w:t>American Airlines, Inc.</w:t>
            </w: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9260" w:type="dxa"/>
            <w:vAlign w:val="bottom"/>
          </w:tcPr>
          <w:p>
            <w:pPr>
              <w:jc w:val="center"/>
              <w:ind w:left="2077"/>
              <w:spacing w:after="0"/>
              <w:rPr>
                <w:sz w:val="20"/>
                <w:szCs w:val="20"/>
                <w:color w:val="auto"/>
              </w:rPr>
            </w:pPr>
            <w:r>
              <w:rPr>
                <w:rFonts w:ascii="Arial" w:cs="Arial" w:eastAsia="Arial" w:hAnsi="Arial"/>
                <w:sz w:val="18"/>
                <w:szCs w:val="18"/>
                <w:b w:val="1"/>
                <w:bCs w:val="1"/>
                <w:color w:val="auto"/>
                <w:w w:val="99"/>
              </w:rPr>
              <w:t>Computation of Ratio of Earnings to Fixed Charges</w:t>
            </w: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9"/>
        </w:trPr>
        <w:tc>
          <w:tcPr>
            <w:tcW w:w="9260" w:type="dxa"/>
            <w:vAlign w:val="bottom"/>
          </w:tcPr>
          <w:p>
            <w:pPr>
              <w:jc w:val="center"/>
              <w:ind w:left="2077"/>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569"/>
        </w:trPr>
        <w:tc>
          <w:tcPr>
            <w:tcW w:w="9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ind w:right="279"/>
              <w:spacing w:after="0"/>
              <w:rPr>
                <w:sz w:val="20"/>
                <w:szCs w:val="20"/>
                <w:color w:val="auto"/>
              </w:rPr>
            </w:pPr>
            <w:r>
              <w:rPr>
                <w:rFonts w:ascii="Arial" w:cs="Arial" w:eastAsia="Arial" w:hAnsi="Arial"/>
                <w:sz w:val="16"/>
                <w:szCs w:val="16"/>
                <w:color w:val="auto"/>
              </w:rPr>
              <w:t>Nine Months Ended</w:t>
            </w:r>
          </w:p>
        </w:tc>
      </w:tr>
      <w:tr>
        <w:trPr>
          <w:trHeight w:val="208"/>
        </w:trPr>
        <w:tc>
          <w:tcPr>
            <w:tcW w:w="9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September 30, 2018</w:t>
            </w:r>
          </w:p>
        </w:tc>
      </w:tr>
      <w:tr>
        <w:trPr>
          <w:trHeight w:val="257"/>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1,725</w:t>
            </w:r>
          </w:p>
        </w:tc>
      </w:tr>
      <w:tr>
        <w:trPr>
          <w:trHeight w:val="260"/>
        </w:trPr>
        <w:tc>
          <w:tcPr>
            <w:tcW w:w="9260" w:type="dxa"/>
            <w:vAlign w:val="bottom"/>
          </w:tcPr>
          <w:p>
            <w:pPr>
              <w:ind w:left="200"/>
              <w:spacing w:after="0"/>
              <w:rPr>
                <w:sz w:val="20"/>
                <w:szCs w:val="20"/>
                <w:color w:val="auto"/>
              </w:rPr>
            </w:pPr>
            <w:r>
              <w:rPr>
                <w:rFonts w:ascii="Arial" w:cs="Arial" w:eastAsia="Arial" w:hAnsi="Arial"/>
                <w:sz w:val="16"/>
                <w:szCs w:val="16"/>
                <w:color w:val="auto"/>
              </w:rPr>
              <w:t>Add: Total fixed charges (per below)</w:t>
            </w:r>
          </w:p>
        </w:tc>
        <w:tc>
          <w:tcPr>
            <w:tcW w:w="240" w:type="dxa"/>
            <w:vAlign w:val="bottom"/>
          </w:tcPr>
          <w:p>
            <w:pPr>
              <w:spacing w:after="0"/>
              <w:rPr>
                <w:sz w:val="22"/>
                <w:szCs w:val="22"/>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1,539</w:t>
            </w:r>
          </w:p>
        </w:tc>
      </w:tr>
      <w:tr>
        <w:trPr>
          <w:trHeight w:val="273"/>
        </w:trPr>
        <w:tc>
          <w:tcPr>
            <w:tcW w:w="9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Less: Interest capitalized</w:t>
            </w:r>
          </w:p>
        </w:tc>
        <w:tc>
          <w:tcPr>
            <w:tcW w:w="24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80"/>
        </w:trPr>
        <w:tc>
          <w:tcPr>
            <w:tcW w:w="9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earnings before income taxes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3,208</w:t>
            </w:r>
          </w:p>
        </w:tc>
      </w:tr>
      <w:tr>
        <w:trPr>
          <w:trHeight w:val="254"/>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p>
        </w:tc>
        <w:tc>
          <w:tcPr>
            <w:tcW w:w="24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r>
      <w:tr>
        <w:trPr>
          <w:trHeight w:val="260"/>
        </w:trPr>
        <w:tc>
          <w:tcPr>
            <w:tcW w:w="9260" w:type="dxa"/>
            <w:vAlign w:val="bottom"/>
          </w:tcPr>
          <w:p>
            <w:pPr>
              <w:ind w:left="200"/>
              <w:spacing w:after="0"/>
              <w:rPr>
                <w:sz w:val="20"/>
                <w:szCs w:val="20"/>
                <w:color w:val="auto"/>
              </w:rPr>
            </w:pPr>
            <w:r>
              <w:rPr>
                <w:rFonts w:ascii="Arial" w:cs="Arial" w:eastAsia="Arial" w:hAnsi="Arial"/>
                <w:sz w:val="16"/>
                <w:szCs w:val="16"/>
                <w:color w:val="auto"/>
              </w:rPr>
              <w:t>Interest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827</w:t>
            </w:r>
          </w:p>
        </w:tc>
      </w:tr>
      <w:tr>
        <w:trPr>
          <w:trHeight w:val="273"/>
        </w:trPr>
        <w:tc>
          <w:tcPr>
            <w:tcW w:w="9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Portion of rental expense representative of the interest factor</w:t>
            </w:r>
          </w:p>
        </w:tc>
        <w:tc>
          <w:tcPr>
            <w:tcW w:w="24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712</w:t>
            </w:r>
          </w:p>
        </w:tc>
      </w:tr>
      <w:tr>
        <w:trPr>
          <w:trHeight w:val="250"/>
        </w:trPr>
        <w:tc>
          <w:tcPr>
            <w:tcW w:w="9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fixed charges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1,539</w:t>
            </w:r>
          </w:p>
        </w:tc>
      </w:tr>
      <w:tr>
        <w:trPr>
          <w:trHeight w:val="24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earnings to fixed charges</w:t>
            </w:r>
          </w:p>
        </w:tc>
        <w:tc>
          <w:tcPr>
            <w:tcW w:w="24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2018</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22898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740"/>
        <w:spacing w:after="0"/>
        <w:tabs>
          <w:tab w:leader="none" w:pos="73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576"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2018</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22898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Executive Vice President and Chief</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576"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2018</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22898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576"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2018</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22898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Executive Vice President and Chief</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576" w:right="239" w:bottom="1440" w:gutter="0" w:footer="0" w:header="0"/>
        </w:sectPr>
      </w:pPr>
    </w:p>
    <w:bookmarkStart w:id="121" w:name="page122"/>
    <w:bookmarkEnd w:id="121"/>
    <w:p>
      <w:pPr>
        <w:ind w:left="10420"/>
        <w:spacing w:after="0"/>
        <w:rPr>
          <w:sz w:val="20"/>
          <w:szCs w:val="20"/>
          <w:color w:val="auto"/>
        </w:rPr>
      </w:pPr>
      <w:r>
        <w:rPr>
          <w:rFonts w:ascii="Arial" w:cs="Arial" w:eastAsia="Arial" w:hAnsi="Arial"/>
          <w:sz w:val="17"/>
          <w:szCs w:val="17"/>
          <w:b w:val="1"/>
          <w:bCs w:val="1"/>
          <w:color w:val="auto"/>
        </w:rPr>
        <w:t>Exhibit 32.1</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September 30, 2018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13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25, 2018</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13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25, 2018</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576"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September 30, 2018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13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25, 2018</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13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25, 2018</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1)"/>
      <w:numFmt w:val="lowerLetter"/>
      <w:start w:val="1"/>
    </w:lvl>
  </w:abstractNum>
  <w:abstractNum w:abstractNumId="2">
    <w:nsid w:val="2463B9EA"/>
    <w:multiLevelType w:val="hybridMultilevel"/>
    <w:lvl w:ilvl="0">
      <w:lvlJc w:val="left"/>
      <w:lvlText w:val="(%1)"/>
      <w:numFmt w:val="lowerLetter"/>
      <w:start w:val="2"/>
    </w:lvl>
  </w:abstractNum>
  <w:abstractNum w:abstractNumId="3">
    <w:nsid w:val="5E884ADC"/>
    <w:multiLevelType w:val="hybridMultilevel"/>
    <w:lvl w:ilvl="0">
      <w:lvlJc w:val="left"/>
      <w:lvlText w:val="%1."/>
      <w:numFmt w:val="decimal"/>
      <w:start w:val="2"/>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1"/>
      <w:numFmt w:val="decimal"/>
      <w:start w:val="1"/>
    </w:lvl>
    <w:lvl w:ilvl="1">
      <w:lvlJc w:val="left"/>
      <w:lvlText w:val="(%2)"/>
      <w:numFmt w:val="decimal"/>
      <w:start w:val="6"/>
    </w:lvl>
  </w:abstractNum>
  <w:abstractNum w:abstractNumId="6">
    <w:nsid w:val="580BD78F"/>
    <w:multiLevelType w:val="hybridMultilevel"/>
    <w:lvl w:ilvl="0">
      <w:lvlJc w:val="left"/>
      <w:lvlText w:val="%1."/>
      <w:numFmt w:val="decimal"/>
      <w:start w:val="3"/>
    </w:lvl>
    <w:lvl w:ilvl="1">
      <w:lvlJc w:val="left"/>
      <w:lvlText w:val="%2"/>
      <w:numFmt w:val="decimal"/>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6"/>
    </w:lvl>
  </w:abstractNum>
  <w:abstractNum w:abstractNumId="10">
    <w:nsid w:val="6A2342EC"/>
    <w:multiLevelType w:val="hybridMultilevel"/>
    <w:lvl w:ilvl="0">
      <w:lvlJc w:val="left"/>
      <w:lvlText w:val="%1."/>
      <w:numFmt w:val="decimal"/>
      <w:start w:val="8"/>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1."/>
      <w:numFmt w:val="decimal"/>
      <w:start w:val="13"/>
    </w:lvl>
  </w:abstractNum>
  <w:abstractNum w:abstractNumId="14">
    <w:nsid w:val="2CD89A32"/>
    <w:multiLevelType w:val="hybridMultilevel"/>
    <w:lvl w:ilvl="0">
      <w:lvlJc w:val="left"/>
      <w:lvlText w:val="(%1)"/>
      <w:numFmt w:val="lowerLetter"/>
      <w:start w:val="1"/>
    </w:lvl>
  </w:abstractNum>
  <w:abstractNum w:abstractNumId="15">
    <w:nsid w:val="57E4CCAF"/>
    <w:multiLevelType w:val="hybridMultilevel"/>
    <w:lvl w:ilvl="0">
      <w:lvlJc w:val="left"/>
      <w:lvlText w:val="%1."/>
      <w:numFmt w:val="decimal"/>
      <w:start w:val="1"/>
    </w:lvl>
    <w:lvl w:ilvl="1">
      <w:lvlJc w:val="left"/>
      <w:lvlText w:val="(%2)"/>
      <w:numFmt w:val="lowerLetter"/>
      <w:start w:val="1"/>
    </w:lvl>
  </w:abstractNum>
  <w:abstractNum w:abstractNumId="16">
    <w:nsid w:val="7A6D8D3C"/>
    <w:multiLevelType w:val="hybridMultilevel"/>
    <w:lvl w:ilvl="0">
      <w:lvlJc w:val="left"/>
      <w:lvlText w:val="(%1)"/>
      <w:numFmt w:val="lowerLetter"/>
      <w:start w:val="2"/>
    </w:lvl>
  </w:abstractNum>
  <w:abstractNum w:abstractNumId="17">
    <w:nsid w:val="4B588F54"/>
    <w:multiLevelType w:val="hybridMultilevel"/>
    <w:lvl w:ilvl="0">
      <w:lvlJc w:val="left"/>
      <w:lvlText w:val="%1."/>
      <w:numFmt w:val="decimal"/>
      <w:start w:val="2"/>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20">
    <w:nsid w:val="38437FDB"/>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1."/>
      <w:numFmt w:val="decimal"/>
      <w:start w:val="6"/>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1."/>
      <w:numFmt w:val="decimal"/>
      <w:start w:val="7"/>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12"/>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1)"/>
      <w:numFmt w:val="lowerLetter"/>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1)"/>
      <w:numFmt w:val="decimal"/>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1)"/>
      <w:numFmt w:val="lowerLetter"/>
      <w:start w:val="1"/>
    </w:lvl>
  </w:abstractNum>
  <w:abstractNum w:abstractNumId="44">
    <w:nsid w:val="15B5AF5C"/>
    <w:multiLevelType w:val="hybridMultilevel"/>
    <w:lvl w:ilvl="0">
      <w:lvlJc w:val="left"/>
      <w:lvlText w:val="•"/>
      <w:numFmt w:val="bullet"/>
      <w:start w:val="1"/>
    </w:lvl>
    <w:lvl w:ilvl="1">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1)"/>
      <w:numFmt w:val="lowerRoman"/>
      <w:start w:val="2"/>
    </w:lvl>
  </w:abstractNum>
  <w:abstractNum w:abstractNumId="53">
    <w:nsid w:val="310C50B3"/>
    <w:multiLevelType w:val="hybridMultilevel"/>
    <w:lvl w:ilvl="0">
      <w:lvlJc w:val="left"/>
      <w:lvlText w:val="(%1)"/>
      <w:numFmt w:val="lowerRoman"/>
      <w:start w:val="3"/>
    </w:lvl>
  </w:abstractNum>
  <w:abstractNum w:abstractNumId="54">
    <w:nsid w:val="5FF87E05"/>
    <w:multiLevelType w:val="hybridMultilevel"/>
    <w:lvl w:ilvl="0">
      <w:lvlJc w:val="left"/>
      <w:lvlText w:val="(%1)"/>
      <w:numFmt w:val="lowerRoman"/>
      <w:start w:val="4"/>
    </w:lvl>
  </w:abstractNum>
  <w:abstractNum w:abstractNumId="55">
    <w:nsid w:val="2F305DEF"/>
    <w:multiLevelType w:val="hybridMultilevel"/>
    <w:lvl w:ilvl="0">
      <w:lvlJc w:val="left"/>
      <w:lvlText w:val="(%1)"/>
      <w:numFmt w:val="lowerRoman"/>
      <w:start w:val="5"/>
    </w:lvl>
  </w:abstractNum>
  <w:abstractNum w:abstractNumId="56">
    <w:nsid w:val="25A70BF7"/>
    <w:multiLevelType w:val="hybridMultilevel"/>
    <w:lvl w:ilvl="0">
      <w:lvlJc w:val="left"/>
      <w:lvlText w:val="(%1)"/>
      <w:numFmt w:val="lowerRoman"/>
      <w:start w:val="8"/>
    </w:lvl>
  </w:abstractNum>
  <w:abstractNum w:abstractNumId="57">
    <w:nsid w:val="1DBABF00"/>
    <w:multiLevelType w:val="hybridMultilevel"/>
    <w:lvl w:ilvl="0">
      <w:lvlJc w:val="left"/>
      <w:lvlText w:val="(%1)"/>
      <w:numFmt w:val="lowerLetter"/>
      <w:start w:val="1"/>
    </w:lvl>
  </w:abstractNum>
  <w:abstractNum w:abstractNumId="58">
    <w:nsid w:val="4AD084E9"/>
    <w:multiLevelType w:val="hybridMultilevel"/>
    <w:lvl w:ilvl="0">
      <w:lvlJc w:val="left"/>
      <w:lvlText w:val="(%1)"/>
      <w:numFmt w:val="lowerLetter"/>
      <w:start w:val="1"/>
    </w:lvl>
  </w:abstractNum>
  <w:abstractNum w:abstractNumId="59">
    <w:nsid w:val="1F48EAA1"/>
    <w:multiLevelType w:val="hybridMultilevel"/>
    <w:lvl w:ilvl="0">
      <w:lvlJc w:val="left"/>
      <w:lvlText w:val="(%1)"/>
      <w:numFmt w:val="lowerLetter"/>
      <w:start w:val="2"/>
    </w:lvl>
  </w:abstractNum>
  <w:abstractNum w:abstractNumId="60">
    <w:nsid w:val="1381823A"/>
    <w:multiLevelType w:val="hybridMultilevel"/>
    <w:lvl w:ilvl="0">
      <w:lvlJc w:val="left"/>
      <w:lvlText w:val="(%1)"/>
      <w:numFmt w:val="lowerLetter"/>
      <w:start w:val="7"/>
    </w:lvl>
  </w:abstractNum>
  <w:abstractNum w:abstractNumId="61">
    <w:nsid w:val="5DB70AE5"/>
    <w:multiLevelType w:val="hybridMultilevel"/>
    <w:lvl w:ilvl="0">
      <w:lvlJc w:val="left"/>
      <w:lvlText w:val="(%1)"/>
      <w:numFmt w:val="lowerLetter"/>
      <w:start w:val="2"/>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lowerRoman"/>
      <w:start w:val="1"/>
    </w:lvl>
  </w:abstractNum>
  <w:abstractNum w:abstractNumId="64">
    <w:nsid w:val="15014ACB"/>
    <w:multiLevelType w:val="hybridMultilevel"/>
    <w:lvl w:ilvl="0">
      <w:lvlJc w:val="left"/>
      <w:lvlText w:val="(%1)"/>
      <w:numFmt w:val="lowerLetter"/>
      <w:start w:val="9"/>
    </w:lvl>
    <w:lvl w:ilvl="1">
      <w:lvlJc w:val="left"/>
      <w:lvlText w:val="(%2)"/>
      <w:numFmt w:val="lowerLetter"/>
      <w:start w:val="1"/>
    </w:lvl>
  </w:abstractNum>
  <w:abstractNum w:abstractNumId="65">
    <w:nsid w:val="5F5E7FD0"/>
    <w:multiLevelType w:val="hybridMultilevel"/>
    <w:lvl w:ilvl="0">
      <w:lvlJc w:val="left"/>
      <w:lvlText w:val="(%1)"/>
      <w:numFmt w:val="lowerLetter"/>
      <w:start w:val="35"/>
    </w:lvl>
    <w:lvl w:ilvl="1">
      <w:lvlJc w:val="left"/>
      <w:lvlText w:val="(%2)"/>
      <w:numFmt w:val="lowerLetter"/>
      <w:start w:val="1"/>
    </w:lvl>
  </w:abstractNum>
  <w:abstractNum w:abstractNumId="66">
    <w:nsid w:val="98A3148"/>
    <w:multiLevelType w:val="hybridMultilevel"/>
    <w:lvl w:ilvl="0">
      <w:lvlJc w:val="left"/>
      <w:lvlText w:val="%1."/>
      <w:numFmt w:val="decimal"/>
      <w:start w:val="2"/>
    </w:lvl>
  </w:abstractNum>
  <w:abstractNum w:abstractNumId="67">
    <w:nsid w:val="799D0247"/>
    <w:multiLevelType w:val="hybridMultilevel"/>
    <w:lvl w:ilvl="0">
      <w:lvlJc w:val="left"/>
      <w:lvlText w:val="%1."/>
      <w:numFmt w:val="decimal"/>
      <w:start w:val="3"/>
    </w:lvl>
    <w:lvl w:ilvl="1">
      <w:lvlJc w:val="left"/>
      <w:lvlText w:val="(%2)"/>
      <w:numFmt w:val="lowerRoman"/>
      <w:start w:val="1"/>
    </w:lvl>
  </w:abstractNum>
  <w:abstractNum w:abstractNumId="68">
    <w:nsid w:val="6B94764"/>
    <w:multiLevelType w:val="hybridMultilevel"/>
    <w:lvl w:ilvl="0">
      <w:lvlJc w:val="left"/>
      <w:lvlText w:val="%1."/>
      <w:numFmt w:val="decimal"/>
      <w:start w:val="1"/>
    </w:lvl>
    <w:lvl w:ilvl="1">
      <w:lvlJc w:val="left"/>
      <w:lvlText w:val="(%2)"/>
      <w:numFmt w:val="lowerLetter"/>
      <w:start w:val="1"/>
    </w:lvl>
  </w:abstractNum>
  <w:abstractNum w:abstractNumId="69">
    <w:nsid w:val="42C296BD"/>
    <w:multiLevelType w:val="hybridMultilevel"/>
    <w:lvl w:ilvl="0">
      <w:lvlJc w:val="left"/>
      <w:lvlText w:val="%1."/>
      <w:numFmt w:val="decimal"/>
      <w:start w:val="1"/>
    </w:lvl>
    <w:lvl w:ilvl="1">
      <w:lvlJc w:val="left"/>
      <w:lvlText w:val="(%2)"/>
      <w:numFmt w:val="lowerLetter"/>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2019-12-28T19:06:49Z</dcterms:created>
  <dcterms:modified xsi:type="dcterms:W3CDTF">2019-12-28T19:06:49Z</dcterms:modified>
</cp:coreProperties>
</file>