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4_a1eus0000092o7vmau-live.xml.htm"/>
      <w:bookmarkStart w:id="1" w:name="ksf4_a1eus0000092o7vmaulive"/>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Smith Gregory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AIRLINES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SKYVIEW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Airlines Group Inc.</w:t>
              </w:r>
            </w:hyperlink>
            <w:r>
              <w:rPr/>
              <w:t xml:space="preserve"> [ </w:t>
            </w:r>
            <w:r>
              <w:rPr>
                <w:rFonts w:ascii="Times;serif" w:hAnsi="Times;serif"/>
                <w:color w:val="0000FF"/>
                <w:sz w:val="24"/>
                <w:shd w:fill="FFFFFF" w:val="clear"/>
              </w:rPr>
              <w:t>AAL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26,080</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124,798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will vest fully upon the earlier of June 10, 2027, or the next annual meeting of stockholders following the grant date, subject to the continued service of the reporting person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A. Earley,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4277" TargetMode="External"/><Relationship Id="rId5" Type="http://schemas.openxmlformats.org/officeDocument/2006/relationships/hyperlink" Target="http://www.sec.gov/cgi-bin/browse-edgar?action=getcompany&amp;CIK=00000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3287</Characters>
  <CharactersWithSpaces>3835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